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5DD2CE9">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36"/>
          <w:szCs w:val="36"/>
          <w:highlight w:val="none"/>
        </w:rPr>
      </w:pPr>
    </w:p>
    <w:p w14:paraId="279EBDF4">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36"/>
          <w:szCs w:val="36"/>
          <w:highlight w:val="none"/>
        </w:rPr>
      </w:pPr>
    </w:p>
    <w:p w14:paraId="6E18E5CF">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36"/>
          <w:szCs w:val="36"/>
          <w:highlight w:val="none"/>
        </w:rPr>
      </w:pPr>
    </w:p>
    <w:p w14:paraId="37DA9EE7">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36"/>
          <w:szCs w:val="36"/>
          <w:highlight w:val="none"/>
        </w:rPr>
      </w:pPr>
    </w:p>
    <w:p w14:paraId="61116CC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pacing w:val="0"/>
          <w:position w:val="0"/>
          <w:sz w:val="72"/>
          <w:szCs w:val="72"/>
          <w:highlight w:val="none"/>
        </w:rPr>
      </w:pPr>
      <w:bookmarkStart w:id="0" w:name="_Toc28271"/>
      <w:bookmarkStart w:id="1" w:name="_Toc5905"/>
      <w:r>
        <w:rPr>
          <w:rFonts w:hint="default" w:ascii="Times New Roman" w:hAnsi="Times New Roman" w:eastAsia="方正小标宋_GBK" w:cs="Times New Roman"/>
          <w:bCs/>
          <w:color w:val="auto"/>
          <w:spacing w:val="0"/>
          <w:position w:val="0"/>
          <w:sz w:val="72"/>
          <w:szCs w:val="72"/>
          <w:highlight w:val="none"/>
        </w:rPr>
        <w:t>建设项目环境影响报告表</w:t>
      </w:r>
      <w:bookmarkEnd w:id="0"/>
      <w:bookmarkEnd w:id="1"/>
    </w:p>
    <w:p w14:paraId="424016A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pacing w:val="0"/>
          <w:position w:val="0"/>
          <w:sz w:val="48"/>
          <w:szCs w:val="48"/>
          <w:highlight w:val="none"/>
        </w:rPr>
      </w:pPr>
      <w:r>
        <w:rPr>
          <w:rFonts w:hint="default" w:ascii="Times New Roman" w:hAnsi="Times New Roman" w:eastAsia="宋体" w:cs="Times New Roman"/>
          <w:bCs/>
          <w:color w:val="auto"/>
          <w:spacing w:val="0"/>
          <w:position w:val="0"/>
          <w:sz w:val="48"/>
          <w:szCs w:val="48"/>
          <w:highlight w:val="none"/>
        </w:rPr>
        <w:t>（污染影响类）</w:t>
      </w:r>
    </w:p>
    <w:p w14:paraId="5071545C">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0"/>
          <w:kern w:val="44"/>
          <w:position w:val="0"/>
          <w:sz w:val="44"/>
          <w:szCs w:val="44"/>
          <w:highlight w:val="none"/>
        </w:rPr>
      </w:pPr>
    </w:p>
    <w:p w14:paraId="60729AEE">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0"/>
          <w:position w:val="0"/>
          <w:sz w:val="52"/>
          <w:szCs w:val="52"/>
          <w:highlight w:val="none"/>
        </w:rPr>
      </w:pPr>
    </w:p>
    <w:p w14:paraId="4935E15C">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0"/>
          <w:position w:val="0"/>
          <w:sz w:val="44"/>
          <w:szCs w:val="44"/>
          <w:highlight w:val="none"/>
        </w:rPr>
      </w:pPr>
    </w:p>
    <w:p w14:paraId="4CCA88D8">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right="0" w:rightChars="0" w:firstLine="720" w:firstLineChars="200"/>
        <w:textAlignment w:val="auto"/>
        <w:outlineLvl w:val="9"/>
        <w:rPr>
          <w:rFonts w:hint="default" w:ascii="Times New Roman" w:hAnsi="Times New Roman" w:eastAsia="宋体" w:cs="Times New Roman"/>
          <w:color w:val="auto"/>
          <w:spacing w:val="0"/>
          <w:position w:val="0"/>
          <w:sz w:val="36"/>
          <w:szCs w:val="36"/>
          <w:highlight w:val="none"/>
          <w:u w:val="single"/>
        </w:rPr>
      </w:pPr>
      <w:r>
        <w:rPr>
          <w:rFonts w:hint="default" w:ascii="Times New Roman" w:hAnsi="Times New Roman" w:eastAsia="宋体" w:cs="Times New Roman"/>
          <w:color w:val="auto"/>
          <w:spacing w:val="0"/>
          <w:kern w:val="0"/>
          <w:position w:val="0"/>
          <w:sz w:val="36"/>
          <w:szCs w:val="36"/>
          <w:highlight w:val="none"/>
          <w:fitText w:val="1800" w:id="954419830"/>
        </w:rPr>
        <w:t>项目名称：</w:t>
      </w:r>
      <w:r>
        <w:rPr>
          <w:rFonts w:hint="default" w:ascii="Times New Roman" w:hAnsi="Times New Roman" w:eastAsia="宋体" w:cs="Times New Roman"/>
          <w:color w:val="auto"/>
          <w:spacing w:val="0"/>
          <w:position w:val="0"/>
          <w:sz w:val="36"/>
          <w:szCs w:val="36"/>
          <w:highlight w:val="none"/>
          <w:u w:val="single"/>
        </w:rPr>
        <w:t>黑龙江龙粮油脂有限公司10万吨米糠及</w:t>
      </w:r>
    </w:p>
    <w:p w14:paraId="3C3F9FDB">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right="0" w:rightChars="0" w:firstLine="2520" w:firstLineChars="700"/>
        <w:textAlignment w:val="auto"/>
        <w:rPr>
          <w:rFonts w:hint="default" w:ascii="Times New Roman" w:hAnsi="Times New Roman" w:eastAsia="宋体" w:cs="Times New Roman"/>
          <w:color w:val="auto"/>
          <w:spacing w:val="0"/>
          <w:position w:val="0"/>
          <w:sz w:val="36"/>
          <w:szCs w:val="36"/>
          <w:highlight w:val="none"/>
          <w:u w:val="single"/>
        </w:rPr>
      </w:pPr>
      <w:r>
        <w:rPr>
          <w:rFonts w:hint="default" w:ascii="Times New Roman" w:hAnsi="Times New Roman" w:eastAsia="宋体" w:cs="Times New Roman"/>
          <w:color w:val="auto"/>
          <w:spacing w:val="0"/>
          <w:position w:val="0"/>
          <w:sz w:val="36"/>
          <w:szCs w:val="36"/>
          <w:highlight w:val="none"/>
          <w:u w:val="single"/>
        </w:rPr>
        <w:t>3万吨大豆制油加工项目</w:t>
      </w:r>
    </w:p>
    <w:p w14:paraId="79CE2248">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720" w:firstLineChars="200"/>
        <w:jc w:val="both"/>
        <w:textAlignment w:val="auto"/>
        <w:rPr>
          <w:rFonts w:hint="default" w:ascii="Times New Roman" w:hAnsi="Times New Roman" w:eastAsia="宋体" w:cs="Times New Roman"/>
          <w:color w:val="auto"/>
          <w:spacing w:val="0"/>
          <w:position w:val="0"/>
          <w:sz w:val="36"/>
          <w:szCs w:val="36"/>
          <w:highlight w:val="none"/>
          <w:u w:val="single"/>
        </w:rPr>
      </w:pPr>
      <w:r>
        <w:rPr>
          <w:rFonts w:hint="default" w:ascii="Times New Roman" w:hAnsi="Times New Roman" w:eastAsia="宋体" w:cs="Times New Roman"/>
          <w:color w:val="auto"/>
          <w:spacing w:val="0"/>
          <w:position w:val="0"/>
          <w:sz w:val="36"/>
          <w:szCs w:val="36"/>
          <w:highlight w:val="none"/>
        </w:rPr>
        <w:t>建设单位（盖章）</w:t>
      </w:r>
      <w:r>
        <w:rPr>
          <w:rFonts w:hint="default" w:ascii="Times New Roman" w:hAnsi="Times New Roman" w:eastAsia="宋体" w:cs="Times New Roman"/>
          <w:color w:val="auto"/>
          <w:spacing w:val="0"/>
          <w:position w:val="0"/>
          <w:sz w:val="36"/>
          <w:szCs w:val="36"/>
          <w:highlight w:val="none"/>
          <w:lang w:eastAsia="zh-CN"/>
        </w:rPr>
        <w:t>：</w:t>
      </w:r>
      <w:r>
        <w:rPr>
          <w:rFonts w:hint="default" w:ascii="Times New Roman" w:hAnsi="Times New Roman" w:eastAsia="宋体" w:cs="Times New Roman"/>
          <w:color w:val="auto"/>
          <w:spacing w:val="0"/>
          <w:position w:val="0"/>
          <w:sz w:val="36"/>
          <w:szCs w:val="36"/>
          <w:highlight w:val="none"/>
          <w:u w:val="single"/>
        </w:rPr>
        <w:t>黑龙江龙粮油脂有限公司</w:t>
      </w:r>
    </w:p>
    <w:p w14:paraId="169FF5EF">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720" w:firstLineChars="200"/>
        <w:textAlignment w:val="auto"/>
        <w:rPr>
          <w:rFonts w:hint="default" w:ascii="Times New Roman" w:hAnsi="Times New Roman" w:eastAsia="宋体" w:cs="Times New Roman"/>
          <w:color w:val="auto"/>
          <w:spacing w:val="0"/>
          <w:position w:val="0"/>
          <w:sz w:val="36"/>
          <w:szCs w:val="36"/>
          <w:highlight w:val="none"/>
        </w:rPr>
      </w:pPr>
      <w:r>
        <w:rPr>
          <w:rFonts w:hint="default" w:ascii="Times New Roman" w:hAnsi="Times New Roman" w:eastAsia="宋体" w:cs="Times New Roman"/>
          <w:color w:val="auto"/>
          <w:spacing w:val="0"/>
          <w:position w:val="0"/>
          <w:sz w:val="36"/>
          <w:szCs w:val="36"/>
          <w:highlight w:val="none"/>
        </w:rPr>
        <w:t>编制日期：</w:t>
      </w:r>
      <w:r>
        <w:rPr>
          <w:rFonts w:hint="default" w:ascii="Times New Roman" w:hAnsi="Times New Roman" w:cs="Times New Roman"/>
          <w:color w:val="auto"/>
          <w:spacing w:val="0"/>
          <w:position w:val="0"/>
          <w:sz w:val="36"/>
          <w:szCs w:val="36"/>
          <w:highlight w:val="none"/>
          <w:u w:val="single"/>
          <w:lang w:eastAsia="zh-CN"/>
        </w:rPr>
        <w:t>二○二</w:t>
      </w:r>
      <w:r>
        <w:rPr>
          <w:rFonts w:hint="default" w:ascii="Times New Roman" w:hAnsi="Times New Roman" w:eastAsia="宋体" w:cs="Times New Roman"/>
          <w:color w:val="auto"/>
          <w:spacing w:val="0"/>
          <w:position w:val="0"/>
          <w:sz w:val="36"/>
          <w:szCs w:val="36"/>
          <w:highlight w:val="none"/>
          <w:u w:val="single"/>
          <w:lang w:val="en-US" w:eastAsia="zh-CN"/>
        </w:rPr>
        <w:t>六</w:t>
      </w:r>
      <w:r>
        <w:rPr>
          <w:rFonts w:hint="default" w:ascii="Times New Roman" w:hAnsi="Times New Roman" w:eastAsia="宋体" w:cs="Times New Roman"/>
          <w:color w:val="auto"/>
          <w:spacing w:val="0"/>
          <w:position w:val="0"/>
          <w:sz w:val="36"/>
          <w:szCs w:val="36"/>
          <w:highlight w:val="none"/>
          <w:u w:val="single"/>
        </w:rPr>
        <w:t>年</w:t>
      </w:r>
      <w:r>
        <w:rPr>
          <w:rFonts w:hint="default" w:ascii="Times New Roman" w:hAnsi="Times New Roman" w:eastAsia="宋体" w:cs="Times New Roman"/>
          <w:color w:val="auto"/>
          <w:spacing w:val="0"/>
          <w:position w:val="0"/>
          <w:sz w:val="36"/>
          <w:szCs w:val="36"/>
          <w:highlight w:val="none"/>
          <w:u w:val="single"/>
          <w:lang w:val="en-US" w:eastAsia="zh-CN"/>
        </w:rPr>
        <w:t>四</w:t>
      </w:r>
      <w:r>
        <w:rPr>
          <w:rFonts w:hint="default" w:ascii="Times New Roman" w:hAnsi="Times New Roman" w:eastAsia="宋体" w:cs="Times New Roman"/>
          <w:color w:val="auto"/>
          <w:spacing w:val="0"/>
          <w:position w:val="0"/>
          <w:sz w:val="36"/>
          <w:szCs w:val="36"/>
          <w:highlight w:val="none"/>
          <w:u w:val="single"/>
        </w:rPr>
        <w:t>月</w:t>
      </w:r>
      <w:bookmarkStart w:id="2" w:name="_Hlk57884087"/>
    </w:p>
    <w:p w14:paraId="00A5AB0C">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36"/>
          <w:szCs w:val="36"/>
          <w:highlight w:val="none"/>
        </w:rPr>
      </w:pPr>
    </w:p>
    <w:p w14:paraId="06E24C56">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36"/>
          <w:szCs w:val="36"/>
          <w:highlight w:val="none"/>
        </w:rPr>
      </w:pPr>
    </w:p>
    <w:bookmarkEnd w:id="2"/>
    <w:p w14:paraId="1727B844">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36"/>
          <w:szCs w:val="36"/>
          <w:highlight w:val="none"/>
        </w:rPr>
      </w:pPr>
      <w:r>
        <w:rPr>
          <w:rFonts w:hint="default" w:ascii="Times New Roman" w:hAnsi="Times New Roman" w:eastAsia="宋体" w:cs="Times New Roman"/>
          <w:color w:val="auto"/>
          <w:spacing w:val="0"/>
          <w:position w:val="0"/>
          <w:sz w:val="36"/>
          <w:szCs w:val="36"/>
          <w:highlight w:val="none"/>
        </w:rPr>
        <w:t>中华人民共和国生态环境部制</w:t>
      </w:r>
    </w:p>
    <w:p w14:paraId="12CA17E2">
      <w:pPr>
        <w:keepNext w:val="0"/>
        <w:keepLines w:val="0"/>
        <w:pageBreakBefore w:val="0"/>
        <w:kinsoku/>
        <w:wordWrap/>
        <w:overflowPunct/>
        <w:topLinePunct w:val="0"/>
        <w:bidi w:val="0"/>
        <w:adjustRightInd w:val="0"/>
        <w:snapToGrid w:val="0"/>
        <w:spacing w:beforeAutospacing="0" w:afterAutospacing="0" w:line="288" w:lineRule="auto"/>
        <w:ind w:left="0" w:leftChars="0" w:right="0" w:rightChars="0" w:firstLine="1040"/>
        <w:rPr>
          <w:rFonts w:hint="default" w:ascii="Times New Roman" w:hAnsi="Times New Roman" w:eastAsia="宋体" w:cs="Times New Roman"/>
          <w:color w:val="auto"/>
          <w:spacing w:val="0"/>
          <w:position w:val="0"/>
          <w:sz w:val="36"/>
          <w:szCs w:val="36"/>
          <w:highlight w:val="none"/>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545A0D68">
      <w:pPr>
        <w:pStyle w:val="28"/>
        <w:ind w:left="0" w:leftChars="0" w:firstLine="0" w:firstLineChars="0"/>
        <w:jc w:val="center"/>
        <w:rPr>
          <w:rFonts w:hint="default" w:ascii="Times New Roman" w:hAnsi="Times New Roman" w:cs="Times New Roman"/>
          <w:color w:val="auto"/>
          <w:spacing w:val="0"/>
          <w:position w:val="0"/>
          <w:highlight w:val="none"/>
        </w:rPr>
      </w:pPr>
    </w:p>
    <w:p w14:paraId="0DE9D306">
      <w:pPr>
        <w:pStyle w:val="26"/>
        <w:rPr>
          <w:rFonts w:hint="default" w:ascii="Times New Roman" w:hAnsi="Times New Roman" w:cs="Times New Roman"/>
          <w:color w:val="auto"/>
          <w:spacing w:val="0"/>
          <w:position w:val="0"/>
          <w:highlight w:val="none"/>
        </w:rPr>
      </w:pPr>
    </w:p>
    <w:p w14:paraId="7AF461C5">
      <w:pPr>
        <w:pStyle w:val="27"/>
        <w:rPr>
          <w:rFonts w:hint="default" w:ascii="Times New Roman" w:hAnsi="Times New Roman" w:cs="Times New Roman"/>
          <w:color w:val="auto"/>
          <w:spacing w:val="0"/>
          <w:position w:val="0"/>
          <w:highlight w:val="none"/>
        </w:rPr>
      </w:pPr>
    </w:p>
    <w:p w14:paraId="5410A449">
      <w:pPr>
        <w:pStyle w:val="19"/>
        <w:jc w:val="center"/>
        <w:rPr>
          <w:rFonts w:hint="eastAsia" w:eastAsia="宋体"/>
          <w:lang w:eastAsia="zh-CN"/>
        </w:rPr>
        <w:sectPr>
          <w:pgSz w:w="11906" w:h="16838"/>
          <w:pgMar w:top="0" w:right="0" w:bottom="0" w:left="0" w:header="851" w:footer="1077" w:gutter="0"/>
          <w:pgBorders>
            <w:top w:val="none" w:sz="0" w:space="0"/>
            <w:left w:val="none" w:sz="0" w:space="0"/>
            <w:bottom w:val="none" w:sz="0" w:space="0"/>
            <w:right w:val="none" w:sz="0" w:space="0"/>
          </w:pgBorders>
          <w:pgNumType w:start="3"/>
          <w:cols w:space="0" w:num="1"/>
          <w:rtlGutter w:val="0"/>
          <w:docGrid w:linePitch="312" w:charSpace="0"/>
        </w:sectPr>
      </w:pPr>
      <w:bookmarkStart w:id="118" w:name="_GoBack"/>
      <w:r>
        <w:rPr>
          <w:rFonts w:hint="eastAsia" w:eastAsia="宋体"/>
          <w:lang w:eastAsia="zh-CN"/>
        </w:rPr>
        <w:drawing>
          <wp:inline distT="0" distB="0" distL="114300" distR="114300">
            <wp:extent cx="6784340" cy="7915275"/>
            <wp:effectExtent l="0" t="0" r="16510" b="9525"/>
            <wp:docPr id="3" name="图片 3" descr="1dbd7518-1f00-4571-924d-b6843e73bc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dbd7518-1f00-4571-924d-b6843e73bca1"/>
                    <pic:cNvPicPr>
                      <a:picLocks noChangeAspect="1"/>
                    </pic:cNvPicPr>
                  </pic:nvPicPr>
                  <pic:blipFill>
                    <a:blip r:embed="rId19"/>
                    <a:stretch>
                      <a:fillRect/>
                    </a:stretch>
                  </pic:blipFill>
                  <pic:spPr>
                    <a:xfrm>
                      <a:off x="0" y="0"/>
                      <a:ext cx="6784340" cy="7915275"/>
                    </a:xfrm>
                    <a:prstGeom prst="rect">
                      <a:avLst/>
                    </a:prstGeom>
                  </pic:spPr>
                </pic:pic>
              </a:graphicData>
            </a:graphic>
          </wp:inline>
        </w:drawing>
      </w:r>
      <w:bookmarkEnd w:id="118"/>
    </w:p>
    <w:p w14:paraId="35E3A635">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b/>
          <w:bCs/>
          <w:color w:val="auto"/>
          <w:spacing w:val="0"/>
          <w:position w:val="0"/>
          <w:sz w:val="44"/>
          <w:szCs w:val="44"/>
          <w:highlight w:val="none"/>
        </w:rPr>
        <w:t>目</w:t>
      </w:r>
      <w:r>
        <w:rPr>
          <w:rFonts w:hint="default" w:ascii="Times New Roman" w:hAnsi="Times New Roman" w:eastAsia="宋体" w:cs="Times New Roman"/>
          <w:b/>
          <w:bCs/>
          <w:color w:val="auto"/>
          <w:spacing w:val="0"/>
          <w:position w:val="0"/>
          <w:sz w:val="44"/>
          <w:szCs w:val="44"/>
          <w:highlight w:val="none"/>
          <w:lang w:val="en-US" w:eastAsia="zh-CN"/>
        </w:rPr>
        <w:t xml:space="preserve">  </w:t>
      </w:r>
      <w:r>
        <w:rPr>
          <w:rFonts w:hint="default" w:ascii="Times New Roman" w:hAnsi="Times New Roman" w:eastAsia="宋体" w:cs="Times New Roman"/>
          <w:b/>
          <w:bCs/>
          <w:color w:val="auto"/>
          <w:spacing w:val="0"/>
          <w:position w:val="0"/>
          <w:sz w:val="44"/>
          <w:szCs w:val="44"/>
          <w:highlight w:val="none"/>
        </w:rPr>
        <w:t>录</w:t>
      </w:r>
    </w:p>
    <w:p w14:paraId="4111D1DD">
      <w:pPr>
        <w:pStyle w:val="19"/>
        <w:keepNext w:val="0"/>
        <w:keepLines w:val="0"/>
        <w:pageBreakBefore w:val="0"/>
        <w:tabs>
          <w:tab w:val="right" w:leader="dot" w:pos="8959"/>
        </w:tabs>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p w14:paraId="20E3D049">
      <w:pPr>
        <w:pStyle w:val="19"/>
        <w:tabs>
          <w:tab w:val="right" w:leader="dot" w:pos="8844"/>
        </w:tabs>
        <w:rPr>
          <w:rFonts w:hint="default" w:ascii="Times New Roman" w:hAnsi="Times New Roman" w:cs="Times New Roman"/>
          <w:color w:val="auto"/>
          <w:highlight w:val="none"/>
        </w:rPr>
      </w:pPr>
      <w:r>
        <w:rPr>
          <w:rFonts w:hint="default" w:ascii="Times New Roman" w:hAnsi="Times New Roman" w:eastAsia="宋体" w:cs="Times New Roman"/>
          <w:b w:val="0"/>
          <w:bCs/>
          <w:color w:val="auto"/>
          <w:spacing w:val="0"/>
          <w:position w:val="0"/>
          <w:highlight w:val="none"/>
        </w:rPr>
        <w:fldChar w:fldCharType="begin"/>
      </w:r>
      <w:r>
        <w:rPr>
          <w:rFonts w:hint="default" w:ascii="Times New Roman" w:hAnsi="Times New Roman" w:eastAsia="宋体" w:cs="Times New Roman"/>
          <w:b w:val="0"/>
          <w:bCs/>
          <w:color w:val="auto"/>
          <w:spacing w:val="0"/>
          <w:position w:val="0"/>
          <w:highlight w:val="none"/>
        </w:rPr>
        <w:instrText xml:space="preserve">TOC \o "1-1" \h \u </w:instrText>
      </w:r>
      <w:r>
        <w:rPr>
          <w:rFonts w:hint="default" w:ascii="Times New Roman" w:hAnsi="Times New Roman" w:eastAsia="宋体" w:cs="Times New Roman"/>
          <w:b w:val="0"/>
          <w:bCs/>
          <w:color w:val="auto"/>
          <w:spacing w:val="0"/>
          <w:position w:val="0"/>
          <w:highlight w:val="none"/>
        </w:rPr>
        <w:fldChar w:fldCharType="separate"/>
      </w:r>
      <w:r>
        <w:rPr>
          <w:rFonts w:hint="default" w:ascii="Times New Roman" w:hAnsi="Times New Roman" w:eastAsia="宋体" w:cs="Times New Roman"/>
          <w:bCs/>
          <w:color w:val="auto"/>
          <w:spacing w:val="0"/>
          <w:position w:val="0"/>
          <w:highlight w:val="none"/>
        </w:rPr>
        <w:fldChar w:fldCharType="begin"/>
      </w:r>
      <w:r>
        <w:rPr>
          <w:rFonts w:hint="default" w:ascii="Times New Roman" w:hAnsi="Times New Roman" w:eastAsia="宋体" w:cs="Times New Roman"/>
          <w:bCs/>
          <w:color w:val="auto"/>
          <w:spacing w:val="0"/>
          <w:position w:val="0"/>
          <w:highlight w:val="none"/>
        </w:rPr>
        <w:instrText xml:space="preserve"> HYPERLINK \l _Toc23536 </w:instrText>
      </w:r>
      <w:r>
        <w:rPr>
          <w:rFonts w:hint="default" w:ascii="Times New Roman" w:hAnsi="Times New Roman" w:eastAsia="宋体" w:cs="Times New Roman"/>
          <w:bCs/>
          <w:color w:val="auto"/>
          <w:spacing w:val="0"/>
          <w:position w:val="0"/>
          <w:highlight w:val="none"/>
        </w:rPr>
        <w:fldChar w:fldCharType="separate"/>
      </w:r>
      <w:r>
        <w:rPr>
          <w:rFonts w:hint="default" w:ascii="Times New Roman" w:hAnsi="Times New Roman" w:eastAsia="宋体" w:cs="Times New Roman"/>
          <w:snapToGrid w:val="0"/>
          <w:color w:val="auto"/>
          <w:spacing w:val="0"/>
          <w:position w:val="0"/>
          <w:szCs w:val="30"/>
          <w:highlight w:val="none"/>
        </w:rPr>
        <w:t>一、建设项目基本情况</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_Toc23536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- 1 -</w:t>
      </w:r>
      <w:r>
        <w:rPr>
          <w:rFonts w:hint="default" w:ascii="Times New Roman" w:hAnsi="Times New Roman" w:cs="Times New Roman"/>
          <w:color w:val="auto"/>
          <w:highlight w:val="none"/>
        </w:rPr>
        <w:fldChar w:fldCharType="end"/>
      </w:r>
      <w:r>
        <w:rPr>
          <w:rFonts w:hint="default" w:ascii="Times New Roman" w:hAnsi="Times New Roman" w:eastAsia="宋体" w:cs="Times New Roman"/>
          <w:bCs/>
          <w:color w:val="auto"/>
          <w:spacing w:val="0"/>
          <w:position w:val="0"/>
          <w:highlight w:val="none"/>
        </w:rPr>
        <w:fldChar w:fldCharType="end"/>
      </w:r>
    </w:p>
    <w:p w14:paraId="7224A488">
      <w:pPr>
        <w:pStyle w:val="19"/>
        <w:tabs>
          <w:tab w:val="right" w:leader="dot" w:pos="8844"/>
        </w:tabs>
        <w:rPr>
          <w:rFonts w:hint="default" w:ascii="Times New Roman" w:hAnsi="Times New Roman" w:cs="Times New Roman"/>
          <w:color w:val="auto"/>
          <w:highlight w:val="none"/>
        </w:rPr>
      </w:pPr>
      <w:r>
        <w:rPr>
          <w:rFonts w:hint="default" w:ascii="Times New Roman" w:hAnsi="Times New Roman" w:eastAsia="宋体" w:cs="Times New Roman"/>
          <w:bCs/>
          <w:color w:val="auto"/>
          <w:spacing w:val="0"/>
          <w:position w:val="0"/>
          <w:highlight w:val="none"/>
        </w:rPr>
        <w:fldChar w:fldCharType="begin"/>
      </w:r>
      <w:r>
        <w:rPr>
          <w:rFonts w:hint="default" w:ascii="Times New Roman" w:hAnsi="Times New Roman" w:eastAsia="宋体" w:cs="Times New Roman"/>
          <w:bCs/>
          <w:color w:val="auto"/>
          <w:spacing w:val="0"/>
          <w:position w:val="0"/>
          <w:highlight w:val="none"/>
        </w:rPr>
        <w:instrText xml:space="preserve"> HYPERLINK \l _Toc13834 </w:instrText>
      </w:r>
      <w:r>
        <w:rPr>
          <w:rFonts w:hint="default" w:ascii="Times New Roman" w:hAnsi="Times New Roman" w:eastAsia="宋体" w:cs="Times New Roman"/>
          <w:bCs/>
          <w:color w:val="auto"/>
          <w:spacing w:val="0"/>
          <w:position w:val="0"/>
          <w:highlight w:val="none"/>
        </w:rPr>
        <w:fldChar w:fldCharType="separate"/>
      </w:r>
      <w:r>
        <w:rPr>
          <w:rFonts w:hint="default" w:ascii="Times New Roman" w:hAnsi="Times New Roman" w:eastAsia="宋体" w:cs="Times New Roman"/>
          <w:snapToGrid w:val="0"/>
          <w:color w:val="auto"/>
          <w:spacing w:val="0"/>
          <w:position w:val="0"/>
          <w:szCs w:val="30"/>
          <w:highlight w:val="none"/>
        </w:rPr>
        <w:t>二、建设项目工程分析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_Toc13834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- 20 -</w:t>
      </w:r>
      <w:r>
        <w:rPr>
          <w:rFonts w:hint="default" w:ascii="Times New Roman" w:hAnsi="Times New Roman" w:cs="Times New Roman"/>
          <w:color w:val="auto"/>
          <w:highlight w:val="none"/>
        </w:rPr>
        <w:fldChar w:fldCharType="end"/>
      </w:r>
      <w:r>
        <w:rPr>
          <w:rFonts w:hint="default" w:ascii="Times New Roman" w:hAnsi="Times New Roman" w:eastAsia="宋体" w:cs="Times New Roman"/>
          <w:bCs/>
          <w:color w:val="auto"/>
          <w:spacing w:val="0"/>
          <w:position w:val="0"/>
          <w:highlight w:val="none"/>
        </w:rPr>
        <w:fldChar w:fldCharType="end"/>
      </w:r>
    </w:p>
    <w:p w14:paraId="03456E8F">
      <w:pPr>
        <w:pStyle w:val="19"/>
        <w:tabs>
          <w:tab w:val="right" w:leader="dot" w:pos="8844"/>
        </w:tabs>
        <w:rPr>
          <w:rFonts w:hint="default" w:ascii="Times New Roman" w:hAnsi="Times New Roman" w:cs="Times New Roman"/>
          <w:color w:val="auto"/>
          <w:highlight w:val="none"/>
        </w:rPr>
      </w:pPr>
      <w:r>
        <w:rPr>
          <w:rFonts w:hint="default" w:ascii="Times New Roman" w:hAnsi="Times New Roman" w:eastAsia="宋体" w:cs="Times New Roman"/>
          <w:bCs/>
          <w:color w:val="auto"/>
          <w:spacing w:val="0"/>
          <w:position w:val="0"/>
          <w:highlight w:val="none"/>
        </w:rPr>
        <w:fldChar w:fldCharType="begin"/>
      </w:r>
      <w:r>
        <w:rPr>
          <w:rFonts w:hint="default" w:ascii="Times New Roman" w:hAnsi="Times New Roman" w:eastAsia="宋体" w:cs="Times New Roman"/>
          <w:bCs/>
          <w:color w:val="auto"/>
          <w:spacing w:val="0"/>
          <w:position w:val="0"/>
          <w:highlight w:val="none"/>
        </w:rPr>
        <w:instrText xml:space="preserve"> HYPERLINK \l _Toc28539 </w:instrText>
      </w:r>
      <w:r>
        <w:rPr>
          <w:rFonts w:hint="default" w:ascii="Times New Roman" w:hAnsi="Times New Roman" w:eastAsia="宋体" w:cs="Times New Roman"/>
          <w:bCs/>
          <w:color w:val="auto"/>
          <w:spacing w:val="0"/>
          <w:position w:val="0"/>
          <w:highlight w:val="none"/>
        </w:rPr>
        <w:fldChar w:fldCharType="separate"/>
      </w:r>
      <w:r>
        <w:rPr>
          <w:rFonts w:hint="default" w:ascii="Times New Roman" w:hAnsi="Times New Roman" w:eastAsia="宋体" w:cs="Times New Roman"/>
          <w:snapToGrid w:val="0"/>
          <w:color w:val="auto"/>
          <w:spacing w:val="0"/>
          <w:position w:val="0"/>
          <w:szCs w:val="30"/>
          <w:highlight w:val="none"/>
        </w:rPr>
        <w:t>三、区域环境质量现状、环境保护目标及评价标准</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_Toc28539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- 39 -</w:t>
      </w:r>
      <w:r>
        <w:rPr>
          <w:rFonts w:hint="default" w:ascii="Times New Roman" w:hAnsi="Times New Roman" w:cs="Times New Roman"/>
          <w:color w:val="auto"/>
          <w:highlight w:val="none"/>
        </w:rPr>
        <w:fldChar w:fldCharType="end"/>
      </w:r>
      <w:r>
        <w:rPr>
          <w:rFonts w:hint="default" w:ascii="Times New Roman" w:hAnsi="Times New Roman" w:eastAsia="宋体" w:cs="Times New Roman"/>
          <w:bCs/>
          <w:color w:val="auto"/>
          <w:spacing w:val="0"/>
          <w:position w:val="0"/>
          <w:highlight w:val="none"/>
        </w:rPr>
        <w:fldChar w:fldCharType="end"/>
      </w:r>
    </w:p>
    <w:p w14:paraId="13ACE4BC">
      <w:pPr>
        <w:pStyle w:val="19"/>
        <w:tabs>
          <w:tab w:val="right" w:leader="dot" w:pos="8844"/>
        </w:tabs>
        <w:rPr>
          <w:rFonts w:hint="default" w:ascii="Times New Roman" w:hAnsi="Times New Roman" w:cs="Times New Roman"/>
          <w:color w:val="auto"/>
          <w:highlight w:val="none"/>
        </w:rPr>
      </w:pPr>
      <w:r>
        <w:rPr>
          <w:rFonts w:hint="default" w:ascii="Times New Roman" w:hAnsi="Times New Roman" w:eastAsia="宋体" w:cs="Times New Roman"/>
          <w:bCs/>
          <w:color w:val="auto"/>
          <w:spacing w:val="0"/>
          <w:position w:val="0"/>
          <w:highlight w:val="none"/>
        </w:rPr>
        <w:fldChar w:fldCharType="begin"/>
      </w:r>
      <w:r>
        <w:rPr>
          <w:rFonts w:hint="default" w:ascii="Times New Roman" w:hAnsi="Times New Roman" w:eastAsia="宋体" w:cs="Times New Roman"/>
          <w:bCs/>
          <w:color w:val="auto"/>
          <w:spacing w:val="0"/>
          <w:position w:val="0"/>
          <w:highlight w:val="none"/>
        </w:rPr>
        <w:instrText xml:space="preserve"> HYPERLINK \l _Toc5530 </w:instrText>
      </w:r>
      <w:r>
        <w:rPr>
          <w:rFonts w:hint="default" w:ascii="Times New Roman" w:hAnsi="Times New Roman" w:eastAsia="宋体" w:cs="Times New Roman"/>
          <w:bCs/>
          <w:color w:val="auto"/>
          <w:spacing w:val="0"/>
          <w:position w:val="0"/>
          <w:highlight w:val="none"/>
        </w:rPr>
        <w:fldChar w:fldCharType="separate"/>
      </w:r>
      <w:r>
        <w:rPr>
          <w:rFonts w:hint="default" w:ascii="Times New Roman" w:hAnsi="Times New Roman" w:eastAsia="宋体" w:cs="Times New Roman"/>
          <w:snapToGrid w:val="0"/>
          <w:color w:val="auto"/>
          <w:spacing w:val="0"/>
          <w:position w:val="0"/>
          <w:szCs w:val="30"/>
          <w:highlight w:val="none"/>
        </w:rPr>
        <w:t>四、主要环境影响和保护措施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_Toc5530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- 47 -</w:t>
      </w:r>
      <w:r>
        <w:rPr>
          <w:rFonts w:hint="default" w:ascii="Times New Roman" w:hAnsi="Times New Roman" w:cs="Times New Roman"/>
          <w:color w:val="auto"/>
          <w:highlight w:val="none"/>
        </w:rPr>
        <w:fldChar w:fldCharType="end"/>
      </w:r>
      <w:r>
        <w:rPr>
          <w:rFonts w:hint="default" w:ascii="Times New Roman" w:hAnsi="Times New Roman" w:eastAsia="宋体" w:cs="Times New Roman"/>
          <w:bCs/>
          <w:color w:val="auto"/>
          <w:spacing w:val="0"/>
          <w:position w:val="0"/>
          <w:highlight w:val="none"/>
        </w:rPr>
        <w:fldChar w:fldCharType="end"/>
      </w:r>
    </w:p>
    <w:p w14:paraId="0AAAF96C">
      <w:pPr>
        <w:pStyle w:val="19"/>
        <w:tabs>
          <w:tab w:val="right" w:leader="dot" w:pos="8844"/>
        </w:tabs>
        <w:rPr>
          <w:rFonts w:hint="default" w:ascii="Times New Roman" w:hAnsi="Times New Roman" w:cs="Times New Roman"/>
          <w:color w:val="auto"/>
          <w:highlight w:val="none"/>
        </w:rPr>
      </w:pPr>
      <w:r>
        <w:rPr>
          <w:rFonts w:hint="default" w:ascii="Times New Roman" w:hAnsi="Times New Roman" w:eastAsia="宋体" w:cs="Times New Roman"/>
          <w:bCs/>
          <w:color w:val="auto"/>
          <w:spacing w:val="0"/>
          <w:position w:val="0"/>
          <w:highlight w:val="none"/>
        </w:rPr>
        <w:fldChar w:fldCharType="begin"/>
      </w:r>
      <w:r>
        <w:rPr>
          <w:rFonts w:hint="default" w:ascii="Times New Roman" w:hAnsi="Times New Roman" w:eastAsia="宋体" w:cs="Times New Roman"/>
          <w:bCs/>
          <w:color w:val="auto"/>
          <w:spacing w:val="0"/>
          <w:position w:val="0"/>
          <w:highlight w:val="none"/>
        </w:rPr>
        <w:instrText xml:space="preserve"> HYPERLINK \l _Toc28370 </w:instrText>
      </w:r>
      <w:r>
        <w:rPr>
          <w:rFonts w:hint="default" w:ascii="Times New Roman" w:hAnsi="Times New Roman" w:eastAsia="宋体" w:cs="Times New Roman"/>
          <w:bCs/>
          <w:color w:val="auto"/>
          <w:spacing w:val="0"/>
          <w:position w:val="0"/>
          <w:highlight w:val="none"/>
        </w:rPr>
        <w:fldChar w:fldCharType="separate"/>
      </w:r>
      <w:r>
        <w:rPr>
          <w:rFonts w:hint="default" w:ascii="Times New Roman" w:hAnsi="Times New Roman" w:eastAsia="宋体" w:cs="Times New Roman"/>
          <w:snapToGrid w:val="0"/>
          <w:color w:val="auto"/>
          <w:spacing w:val="0"/>
          <w:position w:val="0"/>
          <w:szCs w:val="30"/>
          <w:highlight w:val="none"/>
        </w:rPr>
        <w:t>五、环境保护措施监督检查清单</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_Toc28370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- 92 -</w:t>
      </w:r>
      <w:r>
        <w:rPr>
          <w:rFonts w:hint="default" w:ascii="Times New Roman" w:hAnsi="Times New Roman" w:cs="Times New Roman"/>
          <w:color w:val="auto"/>
          <w:highlight w:val="none"/>
        </w:rPr>
        <w:fldChar w:fldCharType="end"/>
      </w:r>
      <w:r>
        <w:rPr>
          <w:rFonts w:hint="default" w:ascii="Times New Roman" w:hAnsi="Times New Roman" w:eastAsia="宋体" w:cs="Times New Roman"/>
          <w:bCs/>
          <w:color w:val="auto"/>
          <w:spacing w:val="0"/>
          <w:position w:val="0"/>
          <w:highlight w:val="none"/>
        </w:rPr>
        <w:fldChar w:fldCharType="end"/>
      </w:r>
    </w:p>
    <w:p w14:paraId="1D69ED6A">
      <w:pPr>
        <w:pStyle w:val="19"/>
        <w:tabs>
          <w:tab w:val="right" w:leader="dot" w:pos="8844"/>
        </w:tabs>
        <w:rPr>
          <w:rFonts w:hint="default" w:ascii="Times New Roman" w:hAnsi="Times New Roman" w:cs="Times New Roman"/>
          <w:color w:val="auto"/>
          <w:highlight w:val="none"/>
        </w:rPr>
      </w:pPr>
      <w:r>
        <w:rPr>
          <w:rFonts w:hint="default" w:ascii="Times New Roman" w:hAnsi="Times New Roman" w:eastAsia="宋体" w:cs="Times New Roman"/>
          <w:bCs/>
          <w:color w:val="auto"/>
          <w:spacing w:val="0"/>
          <w:position w:val="0"/>
          <w:highlight w:val="none"/>
        </w:rPr>
        <w:fldChar w:fldCharType="begin"/>
      </w:r>
      <w:r>
        <w:rPr>
          <w:rFonts w:hint="default" w:ascii="Times New Roman" w:hAnsi="Times New Roman" w:eastAsia="宋体" w:cs="Times New Roman"/>
          <w:bCs/>
          <w:color w:val="auto"/>
          <w:spacing w:val="0"/>
          <w:position w:val="0"/>
          <w:highlight w:val="none"/>
        </w:rPr>
        <w:instrText xml:space="preserve"> HYPERLINK \l _Toc30623 </w:instrText>
      </w:r>
      <w:r>
        <w:rPr>
          <w:rFonts w:hint="default" w:ascii="Times New Roman" w:hAnsi="Times New Roman" w:eastAsia="宋体" w:cs="Times New Roman"/>
          <w:bCs/>
          <w:color w:val="auto"/>
          <w:spacing w:val="0"/>
          <w:position w:val="0"/>
          <w:highlight w:val="none"/>
        </w:rPr>
        <w:fldChar w:fldCharType="separate"/>
      </w:r>
      <w:r>
        <w:rPr>
          <w:rFonts w:hint="default" w:ascii="Times New Roman" w:hAnsi="Times New Roman" w:eastAsia="宋体" w:cs="Times New Roman"/>
          <w:snapToGrid w:val="0"/>
          <w:color w:val="auto"/>
          <w:spacing w:val="0"/>
          <w:position w:val="0"/>
          <w:szCs w:val="30"/>
          <w:highlight w:val="none"/>
        </w:rPr>
        <w:t>六、结论</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_Toc30623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- 95 -</w:t>
      </w:r>
      <w:r>
        <w:rPr>
          <w:rFonts w:hint="default" w:ascii="Times New Roman" w:hAnsi="Times New Roman" w:cs="Times New Roman"/>
          <w:color w:val="auto"/>
          <w:highlight w:val="none"/>
        </w:rPr>
        <w:fldChar w:fldCharType="end"/>
      </w:r>
      <w:r>
        <w:rPr>
          <w:rFonts w:hint="default" w:ascii="Times New Roman" w:hAnsi="Times New Roman" w:eastAsia="宋体" w:cs="Times New Roman"/>
          <w:bCs/>
          <w:color w:val="auto"/>
          <w:spacing w:val="0"/>
          <w:position w:val="0"/>
          <w:highlight w:val="none"/>
        </w:rPr>
        <w:fldChar w:fldCharType="end"/>
      </w:r>
    </w:p>
    <w:p w14:paraId="2A648F78">
      <w:pPr>
        <w:pStyle w:val="19"/>
        <w:tabs>
          <w:tab w:val="right" w:leader="dot" w:pos="8844"/>
        </w:tabs>
        <w:rPr>
          <w:rFonts w:hint="default" w:ascii="Times New Roman" w:hAnsi="Times New Roman" w:cs="Times New Roman"/>
          <w:color w:val="auto"/>
          <w:highlight w:val="none"/>
        </w:rPr>
      </w:pPr>
      <w:r>
        <w:rPr>
          <w:rFonts w:hint="default" w:ascii="Times New Roman" w:hAnsi="Times New Roman" w:eastAsia="宋体" w:cs="Times New Roman"/>
          <w:bCs/>
          <w:color w:val="auto"/>
          <w:spacing w:val="0"/>
          <w:position w:val="0"/>
          <w:highlight w:val="none"/>
        </w:rPr>
        <w:fldChar w:fldCharType="begin"/>
      </w:r>
      <w:r>
        <w:rPr>
          <w:rFonts w:hint="default" w:ascii="Times New Roman" w:hAnsi="Times New Roman" w:eastAsia="宋体" w:cs="Times New Roman"/>
          <w:bCs/>
          <w:color w:val="auto"/>
          <w:spacing w:val="0"/>
          <w:position w:val="0"/>
          <w:highlight w:val="none"/>
        </w:rPr>
        <w:instrText xml:space="preserve"> HYPERLINK \l _Toc31307 </w:instrText>
      </w:r>
      <w:r>
        <w:rPr>
          <w:rFonts w:hint="default" w:ascii="Times New Roman" w:hAnsi="Times New Roman" w:eastAsia="宋体" w:cs="Times New Roman"/>
          <w:bCs/>
          <w:color w:val="auto"/>
          <w:spacing w:val="0"/>
          <w:position w:val="0"/>
          <w:highlight w:val="none"/>
        </w:rPr>
        <w:fldChar w:fldCharType="separate"/>
      </w:r>
      <w:r>
        <w:rPr>
          <w:rFonts w:hint="default" w:ascii="Times New Roman" w:hAnsi="Times New Roman" w:eastAsia="宋体" w:cs="Times New Roman"/>
          <w:bCs/>
          <w:snapToGrid w:val="0"/>
          <w:color w:val="auto"/>
          <w:spacing w:val="0"/>
          <w:position w:val="0"/>
          <w:szCs w:val="24"/>
          <w:highlight w:val="none"/>
        </w:rPr>
        <w:t>建设项目污染物排放量汇总表</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_Toc31307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- 96 -</w:t>
      </w:r>
      <w:r>
        <w:rPr>
          <w:rFonts w:hint="default" w:ascii="Times New Roman" w:hAnsi="Times New Roman" w:cs="Times New Roman"/>
          <w:color w:val="auto"/>
          <w:highlight w:val="none"/>
        </w:rPr>
        <w:fldChar w:fldCharType="end"/>
      </w:r>
      <w:r>
        <w:rPr>
          <w:rFonts w:hint="default" w:ascii="Times New Roman" w:hAnsi="Times New Roman" w:eastAsia="宋体" w:cs="Times New Roman"/>
          <w:bCs/>
          <w:color w:val="auto"/>
          <w:spacing w:val="0"/>
          <w:position w:val="0"/>
          <w:highlight w:val="none"/>
        </w:rPr>
        <w:fldChar w:fldCharType="end"/>
      </w:r>
    </w:p>
    <w:p w14:paraId="7D1BDAB4">
      <w:pPr>
        <w:pStyle w:val="19"/>
        <w:tabs>
          <w:tab w:val="right" w:leader="dot" w:pos="8844"/>
        </w:tabs>
        <w:rPr>
          <w:rFonts w:hint="default" w:ascii="Times New Roman" w:hAnsi="Times New Roman" w:cs="Times New Roman"/>
          <w:color w:val="auto"/>
          <w:highlight w:val="none"/>
        </w:rPr>
      </w:pPr>
      <w:r>
        <w:rPr>
          <w:rFonts w:hint="default" w:ascii="Times New Roman" w:hAnsi="Times New Roman" w:eastAsia="宋体" w:cs="Times New Roman"/>
          <w:bCs/>
          <w:color w:val="auto"/>
          <w:spacing w:val="0"/>
          <w:position w:val="0"/>
          <w:highlight w:val="none"/>
        </w:rPr>
        <w:fldChar w:fldCharType="begin"/>
      </w:r>
      <w:r>
        <w:rPr>
          <w:rFonts w:hint="default" w:ascii="Times New Roman" w:hAnsi="Times New Roman" w:eastAsia="宋体" w:cs="Times New Roman"/>
          <w:bCs/>
          <w:color w:val="auto"/>
          <w:spacing w:val="0"/>
          <w:position w:val="0"/>
          <w:highlight w:val="none"/>
        </w:rPr>
        <w:instrText xml:space="preserve"> HYPERLINK \l _Toc19386 </w:instrText>
      </w:r>
      <w:r>
        <w:rPr>
          <w:rFonts w:hint="default" w:ascii="Times New Roman" w:hAnsi="Times New Roman" w:eastAsia="宋体" w:cs="Times New Roman"/>
          <w:bCs/>
          <w:color w:val="auto"/>
          <w:spacing w:val="0"/>
          <w:position w:val="0"/>
          <w:highlight w:val="none"/>
        </w:rPr>
        <w:fldChar w:fldCharType="separate"/>
      </w:r>
      <w:r>
        <w:rPr>
          <w:rFonts w:hint="default" w:ascii="Times New Roman" w:hAnsi="Times New Roman" w:eastAsia="宋体" w:cs="Times New Roman"/>
          <w:bCs/>
          <w:snapToGrid w:val="0"/>
          <w:color w:val="auto"/>
          <w:spacing w:val="0"/>
          <w:position w:val="0"/>
          <w:szCs w:val="24"/>
          <w:highlight w:val="none"/>
        </w:rPr>
        <w:t>附图1</w:t>
      </w:r>
      <w:r>
        <w:rPr>
          <w:rFonts w:hint="default" w:ascii="Times New Roman" w:hAnsi="Times New Roman" w:cs="Times New Roman"/>
          <w:bCs/>
          <w:snapToGrid w:val="0"/>
          <w:color w:val="auto"/>
          <w:spacing w:val="0"/>
          <w:position w:val="0"/>
          <w:szCs w:val="24"/>
          <w:highlight w:val="none"/>
          <w:lang w:val="en-US" w:eastAsia="zh-CN"/>
        </w:rPr>
        <w:t xml:space="preserve"> </w:t>
      </w:r>
      <w:r>
        <w:rPr>
          <w:rFonts w:hint="default" w:ascii="Times New Roman" w:hAnsi="Times New Roman" w:eastAsia="宋体" w:cs="Times New Roman"/>
          <w:bCs/>
          <w:snapToGrid w:val="0"/>
          <w:color w:val="auto"/>
          <w:spacing w:val="0"/>
          <w:position w:val="0"/>
          <w:szCs w:val="24"/>
          <w:highlight w:val="none"/>
        </w:rPr>
        <w:t>地理位置图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_Toc19386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- 97 -</w:t>
      </w:r>
      <w:r>
        <w:rPr>
          <w:rFonts w:hint="default" w:ascii="Times New Roman" w:hAnsi="Times New Roman" w:cs="Times New Roman"/>
          <w:color w:val="auto"/>
          <w:highlight w:val="none"/>
        </w:rPr>
        <w:fldChar w:fldCharType="end"/>
      </w:r>
      <w:r>
        <w:rPr>
          <w:rFonts w:hint="default" w:ascii="Times New Roman" w:hAnsi="Times New Roman" w:eastAsia="宋体" w:cs="Times New Roman"/>
          <w:bCs/>
          <w:color w:val="auto"/>
          <w:spacing w:val="0"/>
          <w:position w:val="0"/>
          <w:highlight w:val="none"/>
        </w:rPr>
        <w:fldChar w:fldCharType="end"/>
      </w:r>
    </w:p>
    <w:p w14:paraId="55F3F2EA">
      <w:pPr>
        <w:pStyle w:val="19"/>
        <w:tabs>
          <w:tab w:val="right" w:leader="dot" w:pos="8844"/>
        </w:tabs>
        <w:rPr>
          <w:rFonts w:hint="default" w:ascii="Times New Roman" w:hAnsi="Times New Roman" w:cs="Times New Roman"/>
          <w:color w:val="auto"/>
          <w:highlight w:val="none"/>
        </w:rPr>
      </w:pPr>
      <w:r>
        <w:rPr>
          <w:rFonts w:hint="default" w:ascii="Times New Roman" w:hAnsi="Times New Roman" w:eastAsia="宋体" w:cs="Times New Roman"/>
          <w:bCs/>
          <w:color w:val="auto"/>
          <w:spacing w:val="0"/>
          <w:position w:val="0"/>
          <w:highlight w:val="none"/>
        </w:rPr>
        <w:fldChar w:fldCharType="begin"/>
      </w:r>
      <w:r>
        <w:rPr>
          <w:rFonts w:hint="default" w:ascii="Times New Roman" w:hAnsi="Times New Roman" w:eastAsia="宋体" w:cs="Times New Roman"/>
          <w:bCs/>
          <w:color w:val="auto"/>
          <w:spacing w:val="0"/>
          <w:position w:val="0"/>
          <w:highlight w:val="none"/>
        </w:rPr>
        <w:instrText xml:space="preserve"> HYPERLINK \l _Toc30981 </w:instrText>
      </w:r>
      <w:r>
        <w:rPr>
          <w:rFonts w:hint="default" w:ascii="Times New Roman" w:hAnsi="Times New Roman" w:eastAsia="宋体" w:cs="Times New Roman"/>
          <w:bCs/>
          <w:color w:val="auto"/>
          <w:spacing w:val="0"/>
          <w:position w:val="0"/>
          <w:highlight w:val="none"/>
        </w:rPr>
        <w:fldChar w:fldCharType="separate"/>
      </w:r>
      <w:r>
        <w:rPr>
          <w:rFonts w:hint="default" w:ascii="Times New Roman" w:hAnsi="Times New Roman" w:eastAsia="宋体" w:cs="Times New Roman"/>
          <w:bCs/>
          <w:snapToGrid w:val="0"/>
          <w:color w:val="auto"/>
          <w:spacing w:val="0"/>
          <w:position w:val="0"/>
          <w:szCs w:val="24"/>
          <w:highlight w:val="none"/>
        </w:rPr>
        <w:t>附图</w:t>
      </w:r>
      <w:r>
        <w:rPr>
          <w:rFonts w:hint="default" w:ascii="Times New Roman" w:hAnsi="Times New Roman" w:cs="Times New Roman"/>
          <w:bCs/>
          <w:snapToGrid w:val="0"/>
          <w:color w:val="auto"/>
          <w:spacing w:val="0"/>
          <w:position w:val="0"/>
          <w:szCs w:val="24"/>
          <w:highlight w:val="none"/>
          <w:lang w:val="en-US" w:eastAsia="zh-CN"/>
        </w:rPr>
        <w:t>2</w:t>
      </w:r>
      <w:r>
        <w:rPr>
          <w:rFonts w:hint="default" w:ascii="Times New Roman" w:hAnsi="Times New Roman" w:eastAsia="宋体" w:cs="Times New Roman"/>
          <w:bCs/>
          <w:snapToGrid w:val="0"/>
          <w:color w:val="auto"/>
          <w:spacing w:val="0"/>
          <w:position w:val="0"/>
          <w:szCs w:val="24"/>
          <w:highlight w:val="none"/>
          <w:lang w:val="en-US" w:eastAsia="zh-CN"/>
        </w:rPr>
        <w:t xml:space="preserve"> </w:t>
      </w:r>
      <w:r>
        <w:rPr>
          <w:rFonts w:hint="default" w:ascii="Times New Roman" w:hAnsi="Times New Roman" w:eastAsia="宋体" w:cs="Times New Roman"/>
          <w:bCs/>
          <w:snapToGrid w:val="0"/>
          <w:color w:val="auto"/>
          <w:spacing w:val="0"/>
          <w:position w:val="0"/>
          <w:szCs w:val="24"/>
          <w:highlight w:val="none"/>
        </w:rPr>
        <w:t>平面布置图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_Toc30981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- 98 -</w:t>
      </w:r>
      <w:r>
        <w:rPr>
          <w:rFonts w:hint="default" w:ascii="Times New Roman" w:hAnsi="Times New Roman" w:cs="Times New Roman"/>
          <w:color w:val="auto"/>
          <w:highlight w:val="none"/>
        </w:rPr>
        <w:fldChar w:fldCharType="end"/>
      </w:r>
      <w:r>
        <w:rPr>
          <w:rFonts w:hint="default" w:ascii="Times New Roman" w:hAnsi="Times New Roman" w:eastAsia="宋体" w:cs="Times New Roman"/>
          <w:bCs/>
          <w:color w:val="auto"/>
          <w:spacing w:val="0"/>
          <w:position w:val="0"/>
          <w:highlight w:val="none"/>
        </w:rPr>
        <w:fldChar w:fldCharType="end"/>
      </w:r>
    </w:p>
    <w:p w14:paraId="3D8CABFA">
      <w:pPr>
        <w:pStyle w:val="19"/>
        <w:tabs>
          <w:tab w:val="right" w:leader="dot" w:pos="8844"/>
        </w:tabs>
        <w:rPr>
          <w:rFonts w:hint="default" w:ascii="Times New Roman" w:hAnsi="Times New Roman" w:cs="Times New Roman"/>
          <w:color w:val="auto"/>
          <w:highlight w:val="none"/>
        </w:rPr>
      </w:pPr>
      <w:r>
        <w:rPr>
          <w:rFonts w:hint="default" w:ascii="Times New Roman" w:hAnsi="Times New Roman" w:eastAsia="宋体" w:cs="Times New Roman"/>
          <w:bCs/>
          <w:color w:val="auto"/>
          <w:spacing w:val="0"/>
          <w:position w:val="0"/>
          <w:highlight w:val="none"/>
        </w:rPr>
        <w:fldChar w:fldCharType="begin"/>
      </w:r>
      <w:r>
        <w:rPr>
          <w:rFonts w:hint="default" w:ascii="Times New Roman" w:hAnsi="Times New Roman" w:eastAsia="宋体" w:cs="Times New Roman"/>
          <w:bCs/>
          <w:color w:val="auto"/>
          <w:spacing w:val="0"/>
          <w:position w:val="0"/>
          <w:highlight w:val="none"/>
        </w:rPr>
        <w:instrText xml:space="preserve"> HYPERLINK \l _Toc17038 </w:instrText>
      </w:r>
      <w:r>
        <w:rPr>
          <w:rFonts w:hint="default" w:ascii="Times New Roman" w:hAnsi="Times New Roman" w:eastAsia="宋体" w:cs="Times New Roman"/>
          <w:bCs/>
          <w:color w:val="auto"/>
          <w:spacing w:val="0"/>
          <w:position w:val="0"/>
          <w:highlight w:val="none"/>
        </w:rPr>
        <w:fldChar w:fldCharType="separate"/>
      </w:r>
      <w:r>
        <w:rPr>
          <w:rFonts w:hint="default" w:ascii="Times New Roman" w:hAnsi="Times New Roman" w:eastAsia="宋体" w:cs="Times New Roman"/>
          <w:bCs/>
          <w:snapToGrid w:val="0"/>
          <w:color w:val="auto"/>
          <w:spacing w:val="0"/>
          <w:position w:val="0"/>
          <w:szCs w:val="24"/>
          <w:highlight w:val="none"/>
        </w:rPr>
        <w:t>附图</w:t>
      </w:r>
      <w:r>
        <w:rPr>
          <w:rFonts w:hint="default" w:ascii="Times New Roman" w:hAnsi="Times New Roman" w:cs="Times New Roman"/>
          <w:bCs/>
          <w:snapToGrid w:val="0"/>
          <w:color w:val="auto"/>
          <w:spacing w:val="0"/>
          <w:position w:val="0"/>
          <w:szCs w:val="24"/>
          <w:highlight w:val="none"/>
          <w:lang w:val="en-US" w:eastAsia="zh-CN"/>
        </w:rPr>
        <w:t xml:space="preserve">3 </w:t>
      </w:r>
      <w:r>
        <w:rPr>
          <w:rFonts w:hint="default" w:ascii="Times New Roman" w:hAnsi="Times New Roman" w:cs="Times New Roman"/>
          <w:bCs/>
          <w:color w:val="auto"/>
          <w:spacing w:val="0"/>
          <w:position w:val="0"/>
          <w:szCs w:val="24"/>
          <w:highlight w:val="none"/>
          <w:lang w:val="en-US" w:eastAsia="zh-CN"/>
        </w:rPr>
        <w:t>分区防渗</w:t>
      </w:r>
      <w:r>
        <w:rPr>
          <w:rFonts w:hint="default" w:ascii="Times New Roman" w:hAnsi="Times New Roman" w:eastAsia="宋体" w:cs="Times New Roman"/>
          <w:bCs/>
          <w:color w:val="auto"/>
          <w:spacing w:val="0"/>
          <w:position w:val="0"/>
          <w:szCs w:val="24"/>
          <w:highlight w:val="none"/>
          <w:lang w:eastAsia="zh-CN"/>
        </w:rPr>
        <w:t>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_Toc17038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- 99 -</w:t>
      </w:r>
      <w:r>
        <w:rPr>
          <w:rFonts w:hint="default" w:ascii="Times New Roman" w:hAnsi="Times New Roman" w:cs="Times New Roman"/>
          <w:color w:val="auto"/>
          <w:highlight w:val="none"/>
        </w:rPr>
        <w:fldChar w:fldCharType="end"/>
      </w:r>
      <w:r>
        <w:rPr>
          <w:rFonts w:hint="default" w:ascii="Times New Roman" w:hAnsi="Times New Roman" w:eastAsia="宋体" w:cs="Times New Roman"/>
          <w:bCs/>
          <w:color w:val="auto"/>
          <w:spacing w:val="0"/>
          <w:position w:val="0"/>
          <w:highlight w:val="none"/>
        </w:rPr>
        <w:fldChar w:fldCharType="end"/>
      </w:r>
    </w:p>
    <w:p w14:paraId="00779D29">
      <w:pPr>
        <w:pStyle w:val="19"/>
        <w:tabs>
          <w:tab w:val="right" w:leader="dot" w:pos="8844"/>
        </w:tabs>
        <w:rPr>
          <w:rFonts w:hint="default" w:ascii="Times New Roman" w:hAnsi="Times New Roman" w:cs="Times New Roman"/>
          <w:color w:val="auto"/>
          <w:highlight w:val="none"/>
        </w:rPr>
      </w:pPr>
      <w:r>
        <w:rPr>
          <w:rFonts w:hint="default" w:ascii="Times New Roman" w:hAnsi="Times New Roman" w:eastAsia="宋体" w:cs="Times New Roman"/>
          <w:bCs/>
          <w:color w:val="auto"/>
          <w:spacing w:val="0"/>
          <w:position w:val="0"/>
          <w:highlight w:val="none"/>
        </w:rPr>
        <w:fldChar w:fldCharType="begin"/>
      </w:r>
      <w:r>
        <w:rPr>
          <w:rFonts w:hint="default" w:ascii="Times New Roman" w:hAnsi="Times New Roman" w:eastAsia="宋体" w:cs="Times New Roman"/>
          <w:bCs/>
          <w:color w:val="auto"/>
          <w:spacing w:val="0"/>
          <w:position w:val="0"/>
          <w:highlight w:val="none"/>
        </w:rPr>
        <w:instrText xml:space="preserve"> HYPERLINK \l _Toc3882 </w:instrText>
      </w:r>
      <w:r>
        <w:rPr>
          <w:rFonts w:hint="default" w:ascii="Times New Roman" w:hAnsi="Times New Roman" w:eastAsia="宋体" w:cs="Times New Roman"/>
          <w:bCs/>
          <w:color w:val="auto"/>
          <w:spacing w:val="0"/>
          <w:position w:val="0"/>
          <w:highlight w:val="none"/>
        </w:rPr>
        <w:fldChar w:fldCharType="separate"/>
      </w:r>
      <w:r>
        <w:rPr>
          <w:rFonts w:hint="default" w:ascii="Times New Roman" w:hAnsi="Times New Roman" w:eastAsia="宋体" w:cs="Times New Roman"/>
          <w:bCs/>
          <w:snapToGrid w:val="0"/>
          <w:color w:val="auto"/>
          <w:spacing w:val="0"/>
          <w:position w:val="0"/>
          <w:szCs w:val="24"/>
          <w:highlight w:val="none"/>
        </w:rPr>
        <w:t>附图</w:t>
      </w:r>
      <w:r>
        <w:rPr>
          <w:rFonts w:hint="default" w:ascii="Times New Roman" w:hAnsi="Times New Roman" w:cs="Times New Roman"/>
          <w:bCs/>
          <w:snapToGrid w:val="0"/>
          <w:color w:val="auto"/>
          <w:spacing w:val="0"/>
          <w:position w:val="0"/>
          <w:szCs w:val="24"/>
          <w:highlight w:val="none"/>
          <w:lang w:val="en-US" w:eastAsia="zh-CN"/>
        </w:rPr>
        <w:t xml:space="preserve">4 </w:t>
      </w:r>
      <w:r>
        <w:rPr>
          <w:rFonts w:hint="default" w:ascii="Times New Roman" w:hAnsi="Times New Roman" w:cs="Times New Roman"/>
          <w:bCs/>
          <w:color w:val="auto"/>
          <w:spacing w:val="0"/>
          <w:position w:val="0"/>
          <w:szCs w:val="24"/>
          <w:highlight w:val="none"/>
          <w:lang w:val="en-US" w:eastAsia="zh-CN"/>
        </w:rPr>
        <w:t>本项目位于园区位置</w:t>
      </w:r>
      <w:r>
        <w:rPr>
          <w:rFonts w:hint="default" w:ascii="Times New Roman" w:hAnsi="Times New Roman" w:eastAsia="宋体" w:cs="Times New Roman"/>
          <w:bCs/>
          <w:color w:val="auto"/>
          <w:spacing w:val="0"/>
          <w:position w:val="0"/>
          <w:szCs w:val="24"/>
          <w:highlight w:val="none"/>
          <w:lang w:eastAsia="zh-CN"/>
        </w:rPr>
        <w:t>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_Toc3882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- 100 -</w:t>
      </w:r>
      <w:r>
        <w:rPr>
          <w:rFonts w:hint="default" w:ascii="Times New Roman" w:hAnsi="Times New Roman" w:cs="Times New Roman"/>
          <w:color w:val="auto"/>
          <w:highlight w:val="none"/>
        </w:rPr>
        <w:fldChar w:fldCharType="end"/>
      </w:r>
      <w:r>
        <w:rPr>
          <w:rFonts w:hint="default" w:ascii="Times New Roman" w:hAnsi="Times New Roman" w:eastAsia="宋体" w:cs="Times New Roman"/>
          <w:bCs/>
          <w:color w:val="auto"/>
          <w:spacing w:val="0"/>
          <w:position w:val="0"/>
          <w:highlight w:val="none"/>
        </w:rPr>
        <w:fldChar w:fldCharType="end"/>
      </w:r>
    </w:p>
    <w:p w14:paraId="25E5DE54">
      <w:pPr>
        <w:pStyle w:val="19"/>
        <w:tabs>
          <w:tab w:val="right" w:leader="dot" w:pos="8844"/>
        </w:tabs>
        <w:rPr>
          <w:rFonts w:hint="default" w:ascii="Times New Roman" w:hAnsi="Times New Roman" w:cs="Times New Roman"/>
          <w:color w:val="auto"/>
          <w:highlight w:val="none"/>
        </w:rPr>
      </w:pPr>
      <w:r>
        <w:rPr>
          <w:rFonts w:hint="default" w:ascii="Times New Roman" w:hAnsi="Times New Roman" w:eastAsia="宋体" w:cs="Times New Roman"/>
          <w:bCs/>
          <w:color w:val="auto"/>
          <w:spacing w:val="0"/>
          <w:position w:val="0"/>
          <w:highlight w:val="none"/>
        </w:rPr>
        <w:fldChar w:fldCharType="begin"/>
      </w:r>
      <w:r>
        <w:rPr>
          <w:rFonts w:hint="default" w:ascii="Times New Roman" w:hAnsi="Times New Roman" w:eastAsia="宋体" w:cs="Times New Roman"/>
          <w:bCs/>
          <w:color w:val="auto"/>
          <w:spacing w:val="0"/>
          <w:position w:val="0"/>
          <w:highlight w:val="none"/>
        </w:rPr>
        <w:instrText xml:space="preserve"> HYPERLINK \l _Toc5474 </w:instrText>
      </w:r>
      <w:r>
        <w:rPr>
          <w:rFonts w:hint="default" w:ascii="Times New Roman" w:hAnsi="Times New Roman" w:eastAsia="宋体" w:cs="Times New Roman"/>
          <w:bCs/>
          <w:color w:val="auto"/>
          <w:spacing w:val="0"/>
          <w:position w:val="0"/>
          <w:highlight w:val="none"/>
        </w:rPr>
        <w:fldChar w:fldCharType="separate"/>
      </w:r>
      <w:r>
        <w:rPr>
          <w:rFonts w:hint="default" w:ascii="Times New Roman" w:hAnsi="Times New Roman" w:eastAsia="宋体" w:cs="Times New Roman"/>
          <w:bCs/>
          <w:snapToGrid w:val="0"/>
          <w:color w:val="auto"/>
          <w:spacing w:val="0"/>
          <w:position w:val="0"/>
          <w:szCs w:val="24"/>
          <w:highlight w:val="none"/>
        </w:rPr>
        <w:t>附图</w:t>
      </w:r>
      <w:r>
        <w:rPr>
          <w:rFonts w:hint="default" w:ascii="Times New Roman" w:hAnsi="Times New Roman" w:cs="Times New Roman"/>
          <w:bCs/>
          <w:snapToGrid w:val="0"/>
          <w:color w:val="auto"/>
          <w:spacing w:val="0"/>
          <w:position w:val="0"/>
          <w:szCs w:val="24"/>
          <w:highlight w:val="none"/>
          <w:lang w:val="en-US" w:eastAsia="zh-CN"/>
        </w:rPr>
        <w:t xml:space="preserve">5 </w:t>
      </w:r>
      <w:r>
        <w:rPr>
          <w:rFonts w:hint="default" w:ascii="Times New Roman" w:hAnsi="Times New Roman" w:cs="Times New Roman"/>
          <w:bCs/>
          <w:color w:val="auto"/>
          <w:spacing w:val="0"/>
          <w:position w:val="0"/>
          <w:szCs w:val="24"/>
          <w:highlight w:val="none"/>
          <w:lang w:val="en-US" w:eastAsia="zh-CN"/>
        </w:rPr>
        <w:t>桦川县城区声环境功能区区划图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_Toc5474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- 101 -</w:t>
      </w:r>
      <w:r>
        <w:rPr>
          <w:rFonts w:hint="default" w:ascii="Times New Roman" w:hAnsi="Times New Roman" w:cs="Times New Roman"/>
          <w:color w:val="auto"/>
          <w:highlight w:val="none"/>
        </w:rPr>
        <w:fldChar w:fldCharType="end"/>
      </w:r>
      <w:r>
        <w:rPr>
          <w:rFonts w:hint="default" w:ascii="Times New Roman" w:hAnsi="Times New Roman" w:eastAsia="宋体" w:cs="Times New Roman"/>
          <w:bCs/>
          <w:color w:val="auto"/>
          <w:spacing w:val="0"/>
          <w:position w:val="0"/>
          <w:highlight w:val="none"/>
        </w:rPr>
        <w:fldChar w:fldCharType="end"/>
      </w:r>
    </w:p>
    <w:p w14:paraId="6C4C1620">
      <w:pPr>
        <w:pStyle w:val="19"/>
        <w:tabs>
          <w:tab w:val="right" w:leader="dot" w:pos="8844"/>
        </w:tabs>
        <w:rPr>
          <w:rFonts w:hint="default" w:ascii="Times New Roman" w:hAnsi="Times New Roman" w:cs="Times New Roman"/>
          <w:color w:val="auto"/>
          <w:highlight w:val="none"/>
        </w:rPr>
      </w:pPr>
      <w:r>
        <w:rPr>
          <w:rFonts w:hint="default" w:ascii="Times New Roman" w:hAnsi="Times New Roman" w:eastAsia="宋体" w:cs="Times New Roman"/>
          <w:bCs/>
          <w:color w:val="auto"/>
          <w:spacing w:val="0"/>
          <w:position w:val="0"/>
          <w:highlight w:val="none"/>
        </w:rPr>
        <w:fldChar w:fldCharType="begin"/>
      </w:r>
      <w:r>
        <w:rPr>
          <w:rFonts w:hint="default" w:ascii="Times New Roman" w:hAnsi="Times New Roman" w:eastAsia="宋体" w:cs="Times New Roman"/>
          <w:bCs/>
          <w:color w:val="auto"/>
          <w:spacing w:val="0"/>
          <w:position w:val="0"/>
          <w:highlight w:val="none"/>
        </w:rPr>
        <w:instrText xml:space="preserve"> HYPERLINK \l _Toc18304 </w:instrText>
      </w:r>
      <w:r>
        <w:rPr>
          <w:rFonts w:hint="default" w:ascii="Times New Roman" w:hAnsi="Times New Roman" w:eastAsia="宋体" w:cs="Times New Roman"/>
          <w:bCs/>
          <w:color w:val="auto"/>
          <w:spacing w:val="0"/>
          <w:position w:val="0"/>
          <w:highlight w:val="none"/>
        </w:rPr>
        <w:fldChar w:fldCharType="separate"/>
      </w:r>
      <w:r>
        <w:rPr>
          <w:rFonts w:hint="default" w:ascii="Times New Roman" w:hAnsi="Times New Roman" w:eastAsia="宋体" w:cs="Times New Roman"/>
          <w:bCs/>
          <w:snapToGrid w:val="0"/>
          <w:color w:val="auto"/>
          <w:spacing w:val="0"/>
          <w:position w:val="0"/>
          <w:szCs w:val="24"/>
          <w:highlight w:val="none"/>
        </w:rPr>
        <w:t>附件1</w:t>
      </w:r>
      <w:r>
        <w:rPr>
          <w:rFonts w:hint="default" w:ascii="Times New Roman" w:hAnsi="Times New Roman" w:cs="Times New Roman"/>
          <w:bCs/>
          <w:snapToGrid w:val="0"/>
          <w:color w:val="auto"/>
          <w:spacing w:val="0"/>
          <w:position w:val="0"/>
          <w:szCs w:val="24"/>
          <w:highlight w:val="none"/>
          <w:lang w:val="en-US" w:eastAsia="zh-CN"/>
        </w:rPr>
        <w:t xml:space="preserve"> </w:t>
      </w:r>
      <w:r>
        <w:rPr>
          <w:rFonts w:hint="default" w:ascii="Times New Roman" w:hAnsi="Times New Roman" w:eastAsia="宋体" w:cs="Times New Roman"/>
          <w:bCs/>
          <w:snapToGrid w:val="0"/>
          <w:color w:val="auto"/>
          <w:spacing w:val="0"/>
          <w:position w:val="0"/>
          <w:szCs w:val="24"/>
          <w:highlight w:val="none"/>
        </w:rPr>
        <w:t>营业执照</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_Toc18304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- 102 -</w:t>
      </w:r>
      <w:r>
        <w:rPr>
          <w:rFonts w:hint="default" w:ascii="Times New Roman" w:hAnsi="Times New Roman" w:cs="Times New Roman"/>
          <w:color w:val="auto"/>
          <w:highlight w:val="none"/>
        </w:rPr>
        <w:fldChar w:fldCharType="end"/>
      </w:r>
      <w:r>
        <w:rPr>
          <w:rFonts w:hint="default" w:ascii="Times New Roman" w:hAnsi="Times New Roman" w:eastAsia="宋体" w:cs="Times New Roman"/>
          <w:bCs/>
          <w:color w:val="auto"/>
          <w:spacing w:val="0"/>
          <w:position w:val="0"/>
          <w:highlight w:val="none"/>
        </w:rPr>
        <w:fldChar w:fldCharType="end"/>
      </w:r>
    </w:p>
    <w:p w14:paraId="3E9087A9">
      <w:pPr>
        <w:pStyle w:val="19"/>
        <w:tabs>
          <w:tab w:val="right" w:leader="dot" w:pos="8844"/>
        </w:tabs>
        <w:rPr>
          <w:rFonts w:hint="default" w:ascii="Times New Roman" w:hAnsi="Times New Roman" w:cs="Times New Roman"/>
          <w:color w:val="auto"/>
          <w:highlight w:val="none"/>
        </w:rPr>
      </w:pPr>
      <w:r>
        <w:rPr>
          <w:rFonts w:hint="default" w:ascii="Times New Roman" w:hAnsi="Times New Roman" w:eastAsia="宋体" w:cs="Times New Roman"/>
          <w:bCs/>
          <w:color w:val="auto"/>
          <w:spacing w:val="0"/>
          <w:position w:val="0"/>
          <w:highlight w:val="none"/>
        </w:rPr>
        <w:fldChar w:fldCharType="begin"/>
      </w:r>
      <w:r>
        <w:rPr>
          <w:rFonts w:hint="default" w:ascii="Times New Roman" w:hAnsi="Times New Roman" w:eastAsia="宋体" w:cs="Times New Roman"/>
          <w:bCs/>
          <w:color w:val="auto"/>
          <w:spacing w:val="0"/>
          <w:position w:val="0"/>
          <w:highlight w:val="none"/>
        </w:rPr>
        <w:instrText xml:space="preserve"> HYPERLINK \l _Toc2048 </w:instrText>
      </w:r>
      <w:r>
        <w:rPr>
          <w:rFonts w:hint="default" w:ascii="Times New Roman" w:hAnsi="Times New Roman" w:eastAsia="宋体" w:cs="Times New Roman"/>
          <w:bCs/>
          <w:color w:val="auto"/>
          <w:spacing w:val="0"/>
          <w:position w:val="0"/>
          <w:highlight w:val="none"/>
        </w:rPr>
        <w:fldChar w:fldCharType="separate"/>
      </w:r>
      <w:r>
        <w:rPr>
          <w:rFonts w:hint="default" w:ascii="Times New Roman" w:hAnsi="Times New Roman" w:eastAsia="宋体" w:cs="Times New Roman"/>
          <w:bCs/>
          <w:snapToGrid w:val="0"/>
          <w:color w:val="auto"/>
          <w:spacing w:val="0"/>
          <w:position w:val="0"/>
          <w:szCs w:val="24"/>
          <w:highlight w:val="none"/>
        </w:rPr>
        <w:t>附件2</w:t>
      </w:r>
      <w:r>
        <w:rPr>
          <w:rFonts w:hint="default" w:ascii="Times New Roman" w:hAnsi="Times New Roman" w:cs="Times New Roman"/>
          <w:bCs/>
          <w:snapToGrid w:val="0"/>
          <w:color w:val="auto"/>
          <w:spacing w:val="0"/>
          <w:position w:val="0"/>
          <w:szCs w:val="24"/>
          <w:highlight w:val="none"/>
          <w:lang w:val="en-US" w:eastAsia="zh-CN"/>
        </w:rPr>
        <w:t xml:space="preserve"> 合作经营协议书</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_Toc2048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- 103 -</w:t>
      </w:r>
      <w:r>
        <w:rPr>
          <w:rFonts w:hint="default" w:ascii="Times New Roman" w:hAnsi="Times New Roman" w:cs="Times New Roman"/>
          <w:color w:val="auto"/>
          <w:highlight w:val="none"/>
        </w:rPr>
        <w:fldChar w:fldCharType="end"/>
      </w:r>
      <w:r>
        <w:rPr>
          <w:rFonts w:hint="default" w:ascii="Times New Roman" w:hAnsi="Times New Roman" w:eastAsia="宋体" w:cs="Times New Roman"/>
          <w:bCs/>
          <w:color w:val="auto"/>
          <w:spacing w:val="0"/>
          <w:position w:val="0"/>
          <w:highlight w:val="none"/>
        </w:rPr>
        <w:fldChar w:fldCharType="end"/>
      </w:r>
    </w:p>
    <w:p w14:paraId="3C361EEF">
      <w:pPr>
        <w:pStyle w:val="19"/>
        <w:tabs>
          <w:tab w:val="right" w:leader="dot" w:pos="8844"/>
        </w:tabs>
        <w:rPr>
          <w:rFonts w:hint="default" w:ascii="Times New Roman" w:hAnsi="Times New Roman" w:cs="Times New Roman"/>
          <w:color w:val="auto"/>
          <w:highlight w:val="none"/>
        </w:rPr>
      </w:pPr>
      <w:r>
        <w:rPr>
          <w:rFonts w:hint="default" w:ascii="Times New Roman" w:hAnsi="Times New Roman" w:eastAsia="宋体" w:cs="Times New Roman"/>
          <w:bCs/>
          <w:color w:val="auto"/>
          <w:spacing w:val="0"/>
          <w:position w:val="0"/>
          <w:highlight w:val="none"/>
        </w:rPr>
        <w:fldChar w:fldCharType="begin"/>
      </w:r>
      <w:r>
        <w:rPr>
          <w:rFonts w:hint="default" w:ascii="Times New Roman" w:hAnsi="Times New Roman" w:eastAsia="宋体" w:cs="Times New Roman"/>
          <w:bCs/>
          <w:color w:val="auto"/>
          <w:spacing w:val="0"/>
          <w:position w:val="0"/>
          <w:highlight w:val="none"/>
        </w:rPr>
        <w:instrText xml:space="preserve"> HYPERLINK \l _Toc4708 </w:instrText>
      </w:r>
      <w:r>
        <w:rPr>
          <w:rFonts w:hint="default" w:ascii="Times New Roman" w:hAnsi="Times New Roman" w:eastAsia="宋体" w:cs="Times New Roman"/>
          <w:bCs/>
          <w:color w:val="auto"/>
          <w:spacing w:val="0"/>
          <w:position w:val="0"/>
          <w:highlight w:val="none"/>
        </w:rPr>
        <w:fldChar w:fldCharType="separate"/>
      </w:r>
      <w:r>
        <w:rPr>
          <w:rFonts w:hint="default" w:ascii="Times New Roman" w:hAnsi="Times New Roman" w:eastAsia="宋体" w:cs="Times New Roman"/>
          <w:bCs/>
          <w:snapToGrid w:val="0"/>
          <w:color w:val="auto"/>
          <w:spacing w:val="0"/>
          <w:position w:val="0"/>
          <w:szCs w:val="24"/>
          <w:highlight w:val="none"/>
        </w:rPr>
        <w:t>附件</w:t>
      </w:r>
      <w:r>
        <w:rPr>
          <w:rFonts w:hint="default" w:ascii="Times New Roman" w:hAnsi="Times New Roman" w:eastAsia="宋体" w:cs="Times New Roman"/>
          <w:bCs/>
          <w:snapToGrid w:val="0"/>
          <w:color w:val="auto"/>
          <w:spacing w:val="0"/>
          <w:position w:val="0"/>
          <w:szCs w:val="24"/>
          <w:highlight w:val="none"/>
          <w:lang w:val="en-US" w:eastAsia="zh-CN"/>
        </w:rPr>
        <w:t>3</w:t>
      </w:r>
      <w:r>
        <w:rPr>
          <w:rFonts w:hint="default" w:ascii="Times New Roman" w:hAnsi="Times New Roman" w:cs="Times New Roman"/>
          <w:bCs/>
          <w:snapToGrid w:val="0"/>
          <w:color w:val="auto"/>
          <w:spacing w:val="0"/>
          <w:position w:val="0"/>
          <w:szCs w:val="24"/>
          <w:highlight w:val="none"/>
          <w:lang w:val="en-US" w:eastAsia="zh-CN"/>
        </w:rPr>
        <w:t xml:space="preserve"> 情况说明</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_Toc4708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- 105 -</w:t>
      </w:r>
      <w:r>
        <w:rPr>
          <w:rFonts w:hint="default" w:ascii="Times New Roman" w:hAnsi="Times New Roman" w:cs="Times New Roman"/>
          <w:color w:val="auto"/>
          <w:highlight w:val="none"/>
        </w:rPr>
        <w:fldChar w:fldCharType="end"/>
      </w:r>
      <w:r>
        <w:rPr>
          <w:rFonts w:hint="default" w:ascii="Times New Roman" w:hAnsi="Times New Roman" w:eastAsia="宋体" w:cs="Times New Roman"/>
          <w:bCs/>
          <w:color w:val="auto"/>
          <w:spacing w:val="0"/>
          <w:position w:val="0"/>
          <w:highlight w:val="none"/>
        </w:rPr>
        <w:fldChar w:fldCharType="end"/>
      </w:r>
    </w:p>
    <w:p w14:paraId="7337B8B6">
      <w:pPr>
        <w:pStyle w:val="19"/>
        <w:tabs>
          <w:tab w:val="right" w:leader="dot" w:pos="8844"/>
        </w:tabs>
        <w:rPr>
          <w:rFonts w:hint="default" w:ascii="Times New Roman" w:hAnsi="Times New Roman" w:cs="Times New Roman"/>
          <w:color w:val="auto"/>
          <w:highlight w:val="none"/>
        </w:rPr>
      </w:pPr>
      <w:r>
        <w:rPr>
          <w:rFonts w:hint="default" w:ascii="Times New Roman" w:hAnsi="Times New Roman" w:eastAsia="宋体" w:cs="Times New Roman"/>
          <w:bCs/>
          <w:color w:val="auto"/>
          <w:spacing w:val="0"/>
          <w:position w:val="0"/>
          <w:highlight w:val="none"/>
        </w:rPr>
        <w:fldChar w:fldCharType="begin"/>
      </w:r>
      <w:r>
        <w:rPr>
          <w:rFonts w:hint="default" w:ascii="Times New Roman" w:hAnsi="Times New Roman" w:eastAsia="宋体" w:cs="Times New Roman"/>
          <w:bCs/>
          <w:color w:val="auto"/>
          <w:spacing w:val="0"/>
          <w:position w:val="0"/>
          <w:highlight w:val="none"/>
        </w:rPr>
        <w:instrText xml:space="preserve"> HYPERLINK \l _Toc24124 </w:instrText>
      </w:r>
      <w:r>
        <w:rPr>
          <w:rFonts w:hint="default" w:ascii="Times New Roman" w:hAnsi="Times New Roman" w:eastAsia="宋体" w:cs="Times New Roman"/>
          <w:bCs/>
          <w:color w:val="auto"/>
          <w:spacing w:val="0"/>
          <w:position w:val="0"/>
          <w:highlight w:val="none"/>
        </w:rPr>
        <w:fldChar w:fldCharType="separate"/>
      </w:r>
      <w:r>
        <w:rPr>
          <w:rFonts w:hint="default" w:ascii="Times New Roman" w:hAnsi="Times New Roman" w:eastAsia="宋体" w:cs="Times New Roman"/>
          <w:bCs/>
          <w:snapToGrid w:val="0"/>
          <w:color w:val="auto"/>
          <w:spacing w:val="0"/>
          <w:position w:val="0"/>
          <w:szCs w:val="24"/>
          <w:highlight w:val="none"/>
        </w:rPr>
        <w:t>附件</w:t>
      </w:r>
      <w:r>
        <w:rPr>
          <w:rFonts w:hint="default" w:ascii="Times New Roman" w:hAnsi="Times New Roman" w:cs="Times New Roman"/>
          <w:bCs/>
          <w:snapToGrid w:val="0"/>
          <w:color w:val="auto"/>
          <w:spacing w:val="0"/>
          <w:position w:val="0"/>
          <w:szCs w:val="24"/>
          <w:highlight w:val="none"/>
          <w:lang w:val="en-US" w:eastAsia="zh-CN"/>
        </w:rPr>
        <w:t xml:space="preserve">4 </w:t>
      </w:r>
      <w:r>
        <w:rPr>
          <w:rFonts w:hint="default" w:ascii="Times New Roman" w:hAnsi="Times New Roman" w:eastAsia="宋体" w:cs="Times New Roman"/>
          <w:bCs/>
          <w:snapToGrid w:val="0"/>
          <w:color w:val="auto"/>
          <w:spacing w:val="0"/>
          <w:position w:val="0"/>
          <w:szCs w:val="24"/>
          <w:highlight w:val="none"/>
        </w:rPr>
        <w:t>生物质燃料特性分析单</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_Toc24124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- 106 -</w:t>
      </w:r>
      <w:r>
        <w:rPr>
          <w:rFonts w:hint="default" w:ascii="Times New Roman" w:hAnsi="Times New Roman" w:cs="Times New Roman"/>
          <w:color w:val="auto"/>
          <w:highlight w:val="none"/>
        </w:rPr>
        <w:fldChar w:fldCharType="end"/>
      </w:r>
      <w:r>
        <w:rPr>
          <w:rFonts w:hint="default" w:ascii="Times New Roman" w:hAnsi="Times New Roman" w:eastAsia="宋体" w:cs="Times New Roman"/>
          <w:bCs/>
          <w:color w:val="auto"/>
          <w:spacing w:val="0"/>
          <w:position w:val="0"/>
          <w:highlight w:val="none"/>
        </w:rPr>
        <w:fldChar w:fldCharType="end"/>
      </w:r>
    </w:p>
    <w:p w14:paraId="106D5059">
      <w:pPr>
        <w:pStyle w:val="19"/>
        <w:tabs>
          <w:tab w:val="right" w:leader="dot" w:pos="8844"/>
        </w:tabs>
        <w:rPr>
          <w:rFonts w:hint="default" w:ascii="Times New Roman" w:hAnsi="Times New Roman" w:cs="Times New Roman"/>
          <w:color w:val="auto"/>
          <w:highlight w:val="none"/>
        </w:rPr>
      </w:pPr>
      <w:r>
        <w:rPr>
          <w:rFonts w:hint="default" w:ascii="Times New Roman" w:hAnsi="Times New Roman" w:eastAsia="宋体" w:cs="Times New Roman"/>
          <w:bCs/>
          <w:color w:val="auto"/>
          <w:spacing w:val="0"/>
          <w:position w:val="0"/>
          <w:highlight w:val="none"/>
        </w:rPr>
        <w:fldChar w:fldCharType="begin"/>
      </w:r>
      <w:r>
        <w:rPr>
          <w:rFonts w:hint="default" w:ascii="Times New Roman" w:hAnsi="Times New Roman" w:eastAsia="宋体" w:cs="Times New Roman"/>
          <w:bCs/>
          <w:color w:val="auto"/>
          <w:spacing w:val="0"/>
          <w:position w:val="0"/>
          <w:highlight w:val="none"/>
        </w:rPr>
        <w:instrText xml:space="preserve"> HYPERLINK \l _Toc3480 </w:instrText>
      </w:r>
      <w:r>
        <w:rPr>
          <w:rFonts w:hint="default" w:ascii="Times New Roman" w:hAnsi="Times New Roman" w:eastAsia="宋体" w:cs="Times New Roman"/>
          <w:bCs/>
          <w:color w:val="auto"/>
          <w:spacing w:val="0"/>
          <w:position w:val="0"/>
          <w:highlight w:val="none"/>
        </w:rPr>
        <w:fldChar w:fldCharType="separate"/>
      </w:r>
      <w:r>
        <w:rPr>
          <w:rFonts w:hint="default" w:ascii="Times New Roman" w:hAnsi="Times New Roman" w:eastAsia="宋体" w:cs="Times New Roman"/>
          <w:bCs/>
          <w:snapToGrid w:val="0"/>
          <w:color w:val="auto"/>
          <w:spacing w:val="0"/>
          <w:position w:val="0"/>
          <w:szCs w:val="24"/>
          <w:highlight w:val="none"/>
        </w:rPr>
        <w:t>附件</w:t>
      </w:r>
      <w:r>
        <w:rPr>
          <w:rFonts w:hint="default" w:ascii="Times New Roman" w:hAnsi="Times New Roman" w:cs="Times New Roman"/>
          <w:bCs/>
          <w:snapToGrid w:val="0"/>
          <w:color w:val="auto"/>
          <w:spacing w:val="0"/>
          <w:position w:val="0"/>
          <w:szCs w:val="24"/>
          <w:highlight w:val="none"/>
          <w:lang w:val="en-US" w:eastAsia="zh-CN"/>
        </w:rPr>
        <w:t>5 引用</w:t>
      </w:r>
      <w:r>
        <w:rPr>
          <w:rFonts w:hint="default" w:ascii="Times New Roman" w:hAnsi="Times New Roman" w:eastAsia="宋体" w:cs="Times New Roman"/>
          <w:bCs/>
          <w:snapToGrid w:val="0"/>
          <w:color w:val="auto"/>
          <w:spacing w:val="0"/>
          <w:position w:val="0"/>
          <w:szCs w:val="24"/>
          <w:highlight w:val="none"/>
        </w:rPr>
        <w:t>现状监测报告</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_Toc3480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- 107 -</w:t>
      </w:r>
      <w:r>
        <w:rPr>
          <w:rFonts w:hint="default" w:ascii="Times New Roman" w:hAnsi="Times New Roman" w:cs="Times New Roman"/>
          <w:color w:val="auto"/>
          <w:highlight w:val="none"/>
        </w:rPr>
        <w:fldChar w:fldCharType="end"/>
      </w:r>
      <w:r>
        <w:rPr>
          <w:rFonts w:hint="default" w:ascii="Times New Roman" w:hAnsi="Times New Roman" w:eastAsia="宋体" w:cs="Times New Roman"/>
          <w:bCs/>
          <w:color w:val="auto"/>
          <w:spacing w:val="0"/>
          <w:position w:val="0"/>
          <w:highlight w:val="none"/>
        </w:rPr>
        <w:fldChar w:fldCharType="end"/>
      </w:r>
    </w:p>
    <w:p w14:paraId="4F426A83">
      <w:pPr>
        <w:pStyle w:val="19"/>
        <w:tabs>
          <w:tab w:val="right" w:leader="dot" w:pos="8844"/>
        </w:tabs>
        <w:rPr>
          <w:rFonts w:hint="default" w:ascii="Times New Roman" w:hAnsi="Times New Roman" w:cs="Times New Roman"/>
          <w:color w:val="auto"/>
          <w:highlight w:val="none"/>
        </w:rPr>
      </w:pPr>
      <w:r>
        <w:rPr>
          <w:rFonts w:hint="default" w:ascii="Times New Roman" w:hAnsi="Times New Roman" w:eastAsia="宋体" w:cs="Times New Roman"/>
          <w:bCs/>
          <w:color w:val="auto"/>
          <w:spacing w:val="0"/>
          <w:position w:val="0"/>
          <w:highlight w:val="none"/>
        </w:rPr>
        <w:fldChar w:fldCharType="begin"/>
      </w:r>
      <w:r>
        <w:rPr>
          <w:rFonts w:hint="default" w:ascii="Times New Roman" w:hAnsi="Times New Roman" w:eastAsia="宋体" w:cs="Times New Roman"/>
          <w:bCs/>
          <w:color w:val="auto"/>
          <w:spacing w:val="0"/>
          <w:position w:val="0"/>
          <w:highlight w:val="none"/>
        </w:rPr>
        <w:instrText xml:space="preserve"> HYPERLINK \l _Toc2827 </w:instrText>
      </w:r>
      <w:r>
        <w:rPr>
          <w:rFonts w:hint="default" w:ascii="Times New Roman" w:hAnsi="Times New Roman" w:eastAsia="宋体" w:cs="Times New Roman"/>
          <w:bCs/>
          <w:color w:val="auto"/>
          <w:spacing w:val="0"/>
          <w:position w:val="0"/>
          <w:highlight w:val="none"/>
        </w:rPr>
        <w:fldChar w:fldCharType="separate"/>
      </w:r>
      <w:r>
        <w:rPr>
          <w:rFonts w:hint="default" w:ascii="Times New Roman" w:hAnsi="Times New Roman" w:eastAsia="宋体" w:cs="Times New Roman"/>
          <w:bCs/>
          <w:snapToGrid w:val="0"/>
          <w:color w:val="auto"/>
          <w:spacing w:val="0"/>
          <w:position w:val="0"/>
          <w:szCs w:val="24"/>
          <w:highlight w:val="none"/>
          <w:lang w:val="en-US" w:eastAsia="zh-CN"/>
        </w:rPr>
        <w:t>附件</w:t>
      </w:r>
      <w:r>
        <w:rPr>
          <w:rFonts w:hint="default" w:ascii="Times New Roman" w:hAnsi="Times New Roman" w:cs="Times New Roman"/>
          <w:bCs/>
          <w:snapToGrid w:val="0"/>
          <w:color w:val="auto"/>
          <w:spacing w:val="0"/>
          <w:position w:val="0"/>
          <w:szCs w:val="24"/>
          <w:highlight w:val="none"/>
          <w:lang w:val="en-US" w:eastAsia="zh-CN"/>
        </w:rPr>
        <w:t>6 原有项目环评批复</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_Toc2827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- 111 -</w:t>
      </w:r>
      <w:r>
        <w:rPr>
          <w:rFonts w:hint="default" w:ascii="Times New Roman" w:hAnsi="Times New Roman" w:cs="Times New Roman"/>
          <w:color w:val="auto"/>
          <w:highlight w:val="none"/>
        </w:rPr>
        <w:fldChar w:fldCharType="end"/>
      </w:r>
      <w:r>
        <w:rPr>
          <w:rFonts w:hint="default" w:ascii="Times New Roman" w:hAnsi="Times New Roman" w:eastAsia="宋体" w:cs="Times New Roman"/>
          <w:bCs/>
          <w:color w:val="auto"/>
          <w:spacing w:val="0"/>
          <w:position w:val="0"/>
          <w:highlight w:val="none"/>
        </w:rPr>
        <w:fldChar w:fldCharType="end"/>
      </w:r>
    </w:p>
    <w:p w14:paraId="7DA71EFD">
      <w:pPr>
        <w:pStyle w:val="19"/>
        <w:tabs>
          <w:tab w:val="right" w:leader="dot" w:pos="8844"/>
        </w:tabs>
        <w:rPr>
          <w:rFonts w:hint="default" w:ascii="Times New Roman" w:hAnsi="Times New Roman" w:cs="Times New Roman"/>
          <w:color w:val="auto"/>
          <w:highlight w:val="none"/>
        </w:rPr>
      </w:pPr>
      <w:r>
        <w:rPr>
          <w:rFonts w:hint="default" w:ascii="Times New Roman" w:hAnsi="Times New Roman" w:eastAsia="宋体" w:cs="Times New Roman"/>
          <w:bCs/>
          <w:color w:val="auto"/>
          <w:spacing w:val="0"/>
          <w:position w:val="0"/>
          <w:highlight w:val="none"/>
        </w:rPr>
        <w:fldChar w:fldCharType="begin"/>
      </w:r>
      <w:r>
        <w:rPr>
          <w:rFonts w:hint="default" w:ascii="Times New Roman" w:hAnsi="Times New Roman" w:eastAsia="宋体" w:cs="Times New Roman"/>
          <w:bCs/>
          <w:color w:val="auto"/>
          <w:spacing w:val="0"/>
          <w:position w:val="0"/>
          <w:highlight w:val="none"/>
        </w:rPr>
        <w:instrText xml:space="preserve"> HYPERLINK \l _Toc25487 </w:instrText>
      </w:r>
      <w:r>
        <w:rPr>
          <w:rFonts w:hint="default" w:ascii="Times New Roman" w:hAnsi="Times New Roman" w:eastAsia="宋体" w:cs="Times New Roman"/>
          <w:bCs/>
          <w:color w:val="auto"/>
          <w:spacing w:val="0"/>
          <w:position w:val="0"/>
          <w:highlight w:val="none"/>
        </w:rPr>
        <w:fldChar w:fldCharType="separate"/>
      </w:r>
      <w:r>
        <w:rPr>
          <w:rFonts w:hint="default" w:ascii="Times New Roman" w:hAnsi="Times New Roman" w:eastAsia="宋体" w:cs="Times New Roman"/>
          <w:bCs/>
          <w:snapToGrid w:val="0"/>
          <w:color w:val="auto"/>
          <w:spacing w:val="0"/>
          <w:position w:val="0"/>
          <w:szCs w:val="24"/>
          <w:highlight w:val="none"/>
          <w:lang w:val="en-US" w:eastAsia="zh-CN"/>
        </w:rPr>
        <w:t>附件</w:t>
      </w:r>
      <w:r>
        <w:rPr>
          <w:rFonts w:hint="default" w:ascii="Times New Roman" w:hAnsi="Times New Roman" w:cs="Times New Roman"/>
          <w:bCs/>
          <w:snapToGrid w:val="0"/>
          <w:color w:val="auto"/>
          <w:spacing w:val="0"/>
          <w:position w:val="0"/>
          <w:szCs w:val="24"/>
          <w:highlight w:val="none"/>
          <w:lang w:val="en-US" w:eastAsia="zh-CN"/>
        </w:rPr>
        <w:t>7 生态环境分区管控分析报告</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_Toc25487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- 114 -</w:t>
      </w:r>
      <w:r>
        <w:rPr>
          <w:rFonts w:hint="default" w:ascii="Times New Roman" w:hAnsi="Times New Roman" w:cs="Times New Roman"/>
          <w:color w:val="auto"/>
          <w:highlight w:val="none"/>
        </w:rPr>
        <w:fldChar w:fldCharType="end"/>
      </w:r>
      <w:r>
        <w:rPr>
          <w:rFonts w:hint="default" w:ascii="Times New Roman" w:hAnsi="Times New Roman" w:eastAsia="宋体" w:cs="Times New Roman"/>
          <w:bCs/>
          <w:color w:val="auto"/>
          <w:spacing w:val="0"/>
          <w:position w:val="0"/>
          <w:highlight w:val="none"/>
        </w:rPr>
        <w:fldChar w:fldCharType="end"/>
      </w:r>
    </w:p>
    <w:p w14:paraId="3C00972A">
      <w:pPr>
        <w:pStyle w:val="19"/>
        <w:tabs>
          <w:tab w:val="right" w:leader="dot" w:pos="8844"/>
        </w:tabs>
        <w:rPr>
          <w:rFonts w:hint="default" w:ascii="Times New Roman" w:hAnsi="Times New Roman" w:cs="Times New Roman"/>
          <w:color w:val="auto"/>
          <w:highlight w:val="none"/>
        </w:rPr>
      </w:pPr>
      <w:r>
        <w:rPr>
          <w:rFonts w:hint="default" w:ascii="Times New Roman" w:hAnsi="Times New Roman" w:eastAsia="宋体" w:cs="Times New Roman"/>
          <w:bCs/>
          <w:color w:val="auto"/>
          <w:spacing w:val="0"/>
          <w:position w:val="0"/>
          <w:highlight w:val="none"/>
        </w:rPr>
        <w:fldChar w:fldCharType="begin"/>
      </w:r>
      <w:r>
        <w:rPr>
          <w:rFonts w:hint="default" w:ascii="Times New Roman" w:hAnsi="Times New Roman" w:eastAsia="宋体" w:cs="Times New Roman"/>
          <w:bCs/>
          <w:color w:val="auto"/>
          <w:spacing w:val="0"/>
          <w:position w:val="0"/>
          <w:highlight w:val="none"/>
        </w:rPr>
        <w:instrText xml:space="preserve"> HYPERLINK \l _Toc19739 </w:instrText>
      </w:r>
      <w:r>
        <w:rPr>
          <w:rFonts w:hint="default" w:ascii="Times New Roman" w:hAnsi="Times New Roman" w:eastAsia="宋体" w:cs="Times New Roman"/>
          <w:bCs/>
          <w:color w:val="auto"/>
          <w:spacing w:val="0"/>
          <w:position w:val="0"/>
          <w:highlight w:val="none"/>
        </w:rPr>
        <w:fldChar w:fldCharType="separate"/>
      </w:r>
      <w:r>
        <w:rPr>
          <w:rFonts w:hint="default" w:ascii="Times New Roman" w:hAnsi="Times New Roman" w:eastAsia="宋体" w:cs="Times New Roman"/>
          <w:bCs/>
          <w:color w:val="auto"/>
          <w:spacing w:val="0"/>
          <w:w w:val="100"/>
          <w:kern w:val="0"/>
          <w:szCs w:val="24"/>
          <w:highlight w:val="none"/>
          <w:lang w:val="en-US" w:eastAsia="zh-CN"/>
        </w:rPr>
        <w:t>附件</w:t>
      </w:r>
      <w:r>
        <w:rPr>
          <w:rFonts w:hint="default" w:ascii="Times New Roman" w:hAnsi="Times New Roman" w:cs="Times New Roman"/>
          <w:bCs/>
          <w:color w:val="auto"/>
          <w:spacing w:val="0"/>
          <w:w w:val="100"/>
          <w:kern w:val="0"/>
          <w:szCs w:val="24"/>
          <w:highlight w:val="none"/>
          <w:lang w:val="en-US" w:eastAsia="zh-CN"/>
        </w:rPr>
        <w:t xml:space="preserve">8 </w:t>
      </w:r>
      <w:r>
        <w:rPr>
          <w:rFonts w:hint="default" w:ascii="Times New Roman" w:hAnsi="Times New Roman" w:eastAsia="宋体" w:cs="Times New Roman"/>
          <w:bCs/>
          <w:color w:val="auto"/>
          <w:spacing w:val="0"/>
          <w:w w:val="100"/>
          <w:kern w:val="0"/>
          <w:szCs w:val="24"/>
          <w:highlight w:val="none"/>
          <w:shd w:val="clear" w:color="auto" w:fill="FFFFFF"/>
        </w:rPr>
        <w:t>环境风险专项评价</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_Toc19739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- 127 -</w:t>
      </w:r>
      <w:r>
        <w:rPr>
          <w:rFonts w:hint="default" w:ascii="Times New Roman" w:hAnsi="Times New Roman" w:cs="Times New Roman"/>
          <w:color w:val="auto"/>
          <w:highlight w:val="none"/>
        </w:rPr>
        <w:fldChar w:fldCharType="end"/>
      </w:r>
      <w:r>
        <w:rPr>
          <w:rFonts w:hint="default" w:ascii="Times New Roman" w:hAnsi="Times New Roman" w:eastAsia="宋体" w:cs="Times New Roman"/>
          <w:bCs/>
          <w:color w:val="auto"/>
          <w:spacing w:val="0"/>
          <w:position w:val="0"/>
          <w:highlight w:val="none"/>
        </w:rPr>
        <w:fldChar w:fldCharType="end"/>
      </w:r>
    </w:p>
    <w:p w14:paraId="2657A800">
      <w:pPr>
        <w:pStyle w:val="23"/>
        <w:keepNext w:val="0"/>
        <w:keepLines w:val="0"/>
        <w:pageBreakBefore w:val="0"/>
        <w:kinsoku/>
        <w:wordWrap/>
        <w:overflowPunct/>
        <w:topLinePunct w:val="0"/>
        <w:bidi w:val="0"/>
        <w:adjustRightInd w:val="0"/>
        <w:snapToGrid w:val="0"/>
        <w:spacing w:before="0" w:beforeAutospacing="0" w:after="0" w:afterAutospacing="0"/>
        <w:ind w:left="0" w:leftChars="0" w:right="0" w:rightChars="0"/>
        <w:jc w:val="center"/>
        <w:outlineLvl w:val="0"/>
        <w:rPr>
          <w:rFonts w:hint="default" w:ascii="Times New Roman" w:hAnsi="Times New Roman" w:eastAsia="宋体" w:cs="Times New Roman"/>
          <w:snapToGrid w:val="0"/>
          <w:color w:val="auto"/>
          <w:spacing w:val="0"/>
          <w:position w:val="0"/>
          <w:sz w:val="30"/>
          <w:szCs w:val="30"/>
          <w:highlight w:val="none"/>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Fonts w:hint="default" w:ascii="Times New Roman" w:hAnsi="Times New Roman" w:eastAsia="宋体" w:cs="Times New Roman"/>
          <w:bCs/>
          <w:color w:val="auto"/>
          <w:spacing w:val="0"/>
          <w:position w:val="0"/>
          <w:highlight w:val="none"/>
        </w:rPr>
        <w:fldChar w:fldCharType="end"/>
      </w:r>
    </w:p>
    <w:p w14:paraId="3CD2BE48">
      <w:pPr>
        <w:pStyle w:val="23"/>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rightChars="0"/>
        <w:jc w:val="center"/>
        <w:outlineLvl w:val="0"/>
        <w:rPr>
          <w:rFonts w:hint="default" w:ascii="Times New Roman" w:hAnsi="Times New Roman" w:eastAsia="宋体" w:cs="Times New Roman"/>
          <w:snapToGrid w:val="0"/>
          <w:color w:val="auto"/>
          <w:spacing w:val="0"/>
          <w:position w:val="0"/>
          <w:sz w:val="30"/>
          <w:szCs w:val="30"/>
          <w:highlight w:val="none"/>
        </w:rPr>
      </w:pPr>
      <w:bookmarkStart w:id="3" w:name="_Toc23536"/>
      <w:r>
        <w:rPr>
          <w:rFonts w:hint="default" w:ascii="Times New Roman" w:hAnsi="Times New Roman" w:eastAsia="宋体" w:cs="Times New Roman"/>
          <w:snapToGrid w:val="0"/>
          <w:color w:val="auto"/>
          <w:spacing w:val="0"/>
          <w:position w:val="0"/>
          <w:sz w:val="30"/>
          <w:szCs w:val="30"/>
          <w:highlight w:val="none"/>
        </w:rPr>
        <w:t>一、建设项目基本情况</w:t>
      </w:r>
      <w:bookmarkEnd w:id="3"/>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840"/>
        <w:gridCol w:w="1860"/>
        <w:gridCol w:w="2265"/>
        <w:gridCol w:w="2905"/>
      </w:tblGrid>
      <w:tr w14:paraId="7E139F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93" w:hRule="atLeast"/>
          <w:jc w:val="center"/>
        </w:trPr>
        <w:tc>
          <w:tcPr>
            <w:tcW w:w="1840" w:type="dxa"/>
            <w:noWrap w:val="0"/>
            <w:tcMar>
              <w:top w:w="16" w:type="dxa"/>
              <w:left w:w="16" w:type="dxa"/>
              <w:right w:w="16" w:type="dxa"/>
            </w:tcMar>
            <w:vAlign w:val="center"/>
          </w:tcPr>
          <w:p w14:paraId="7AD2EDD6">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建设项目名称</w:t>
            </w:r>
          </w:p>
        </w:tc>
        <w:tc>
          <w:tcPr>
            <w:tcW w:w="7030" w:type="dxa"/>
            <w:gridSpan w:val="3"/>
            <w:noWrap w:val="0"/>
            <w:vAlign w:val="center"/>
          </w:tcPr>
          <w:p w14:paraId="21A7609D">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黑龙江龙粮油脂有限公司10万吨米糠及3万吨大豆制油加工项目</w:t>
            </w:r>
          </w:p>
        </w:tc>
      </w:tr>
      <w:tr w14:paraId="28EF4A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53" w:hRule="atLeast"/>
          <w:jc w:val="center"/>
        </w:trPr>
        <w:tc>
          <w:tcPr>
            <w:tcW w:w="1840" w:type="dxa"/>
            <w:noWrap w:val="0"/>
            <w:tcMar>
              <w:top w:w="16" w:type="dxa"/>
              <w:left w:w="16" w:type="dxa"/>
              <w:right w:w="16" w:type="dxa"/>
            </w:tcMar>
            <w:vAlign w:val="center"/>
          </w:tcPr>
          <w:p w14:paraId="70DC9E36">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项目代码</w:t>
            </w:r>
          </w:p>
        </w:tc>
        <w:tc>
          <w:tcPr>
            <w:tcW w:w="7030" w:type="dxa"/>
            <w:gridSpan w:val="3"/>
            <w:noWrap w:val="0"/>
            <w:vAlign w:val="center"/>
          </w:tcPr>
          <w:p w14:paraId="7E819B9B">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lang w:eastAsia="zh-CN"/>
              </w:rPr>
            </w:pPr>
            <w:r>
              <w:rPr>
                <w:rFonts w:hint="default" w:ascii="Times New Roman" w:hAnsi="Times New Roman" w:eastAsia="宋体" w:cs="Times New Roman"/>
                <w:color w:val="auto"/>
                <w:spacing w:val="0"/>
                <w:position w:val="0"/>
                <w:sz w:val="24"/>
                <w:szCs w:val="24"/>
                <w:highlight w:val="none"/>
                <w:lang w:val="en-US" w:eastAsia="zh-CN"/>
              </w:rPr>
              <w:t>/</w:t>
            </w:r>
          </w:p>
        </w:tc>
      </w:tr>
      <w:tr w14:paraId="3325BB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68" w:hRule="atLeast"/>
          <w:jc w:val="center"/>
        </w:trPr>
        <w:tc>
          <w:tcPr>
            <w:tcW w:w="1840" w:type="dxa"/>
            <w:noWrap w:val="0"/>
            <w:tcMar>
              <w:top w:w="16" w:type="dxa"/>
              <w:left w:w="16" w:type="dxa"/>
              <w:right w:w="16" w:type="dxa"/>
            </w:tcMar>
            <w:vAlign w:val="center"/>
          </w:tcPr>
          <w:p w14:paraId="68F53503">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建设单位联系人</w:t>
            </w:r>
          </w:p>
        </w:tc>
        <w:tc>
          <w:tcPr>
            <w:tcW w:w="1860" w:type="dxa"/>
            <w:noWrap w:val="0"/>
            <w:vAlign w:val="center"/>
          </w:tcPr>
          <w:p w14:paraId="7888B96F">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高玮英</w:t>
            </w:r>
          </w:p>
        </w:tc>
        <w:tc>
          <w:tcPr>
            <w:tcW w:w="2265" w:type="dxa"/>
            <w:noWrap w:val="0"/>
            <w:vAlign w:val="center"/>
          </w:tcPr>
          <w:p w14:paraId="45906C87">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联系方式</w:t>
            </w:r>
          </w:p>
        </w:tc>
        <w:tc>
          <w:tcPr>
            <w:tcW w:w="2905" w:type="dxa"/>
            <w:noWrap w:val="0"/>
            <w:vAlign w:val="center"/>
          </w:tcPr>
          <w:p w14:paraId="1DB1BD39">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18724246633</w:t>
            </w:r>
          </w:p>
        </w:tc>
      </w:tr>
      <w:tr w14:paraId="231938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5" w:hRule="atLeast"/>
          <w:jc w:val="center"/>
        </w:trPr>
        <w:tc>
          <w:tcPr>
            <w:tcW w:w="1840" w:type="dxa"/>
            <w:noWrap w:val="0"/>
            <w:tcMar>
              <w:top w:w="16" w:type="dxa"/>
              <w:left w:w="16" w:type="dxa"/>
              <w:right w:w="16" w:type="dxa"/>
            </w:tcMar>
            <w:vAlign w:val="center"/>
          </w:tcPr>
          <w:p w14:paraId="7530816C">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建设地点</w:t>
            </w:r>
          </w:p>
        </w:tc>
        <w:tc>
          <w:tcPr>
            <w:tcW w:w="7030" w:type="dxa"/>
            <w:gridSpan w:val="3"/>
            <w:noWrap w:val="0"/>
            <w:vAlign w:val="center"/>
          </w:tcPr>
          <w:p w14:paraId="162E75D9">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黑龙江省佳木斯市桦川县悦来镇悦来大街南段（桦川县泰丰植物油脂有限公司院内）</w:t>
            </w:r>
          </w:p>
        </w:tc>
      </w:tr>
      <w:tr w14:paraId="0AE30E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3" w:hRule="atLeast"/>
          <w:jc w:val="center"/>
        </w:trPr>
        <w:tc>
          <w:tcPr>
            <w:tcW w:w="1840" w:type="dxa"/>
            <w:noWrap w:val="0"/>
            <w:tcMar>
              <w:top w:w="16" w:type="dxa"/>
              <w:left w:w="16" w:type="dxa"/>
              <w:right w:w="16" w:type="dxa"/>
            </w:tcMar>
            <w:vAlign w:val="center"/>
          </w:tcPr>
          <w:p w14:paraId="780DE2FF">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地理坐标</w:t>
            </w:r>
          </w:p>
        </w:tc>
        <w:tc>
          <w:tcPr>
            <w:tcW w:w="7030" w:type="dxa"/>
            <w:gridSpan w:val="3"/>
            <w:noWrap w:val="0"/>
            <w:vAlign w:val="center"/>
          </w:tcPr>
          <w:p w14:paraId="0256C80E">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w:t>
            </w:r>
            <w:r>
              <w:rPr>
                <w:rFonts w:hint="default" w:ascii="Times New Roman" w:hAnsi="Times New Roman" w:eastAsia="宋体" w:cs="Times New Roman"/>
                <w:color w:val="auto"/>
                <w:spacing w:val="0"/>
                <w:position w:val="0"/>
                <w:sz w:val="24"/>
                <w:szCs w:val="24"/>
                <w:highlight w:val="none"/>
                <w:u w:val="single"/>
              </w:rPr>
              <w:t>130</w:t>
            </w:r>
            <w:r>
              <w:rPr>
                <w:rFonts w:hint="default" w:ascii="Times New Roman" w:hAnsi="Times New Roman" w:eastAsia="宋体" w:cs="Times New Roman"/>
                <w:color w:val="auto"/>
                <w:spacing w:val="0"/>
                <w:position w:val="0"/>
                <w:sz w:val="24"/>
                <w:szCs w:val="24"/>
                <w:highlight w:val="none"/>
              </w:rPr>
              <w:t>度</w:t>
            </w:r>
            <w:r>
              <w:rPr>
                <w:rFonts w:hint="default" w:ascii="Times New Roman" w:hAnsi="Times New Roman" w:eastAsia="宋体" w:cs="Times New Roman"/>
                <w:color w:val="auto"/>
                <w:spacing w:val="0"/>
                <w:position w:val="0"/>
                <w:sz w:val="24"/>
                <w:szCs w:val="24"/>
                <w:highlight w:val="none"/>
                <w:u w:val="single"/>
              </w:rPr>
              <w:t>43</w:t>
            </w:r>
            <w:r>
              <w:rPr>
                <w:rFonts w:hint="default" w:ascii="Times New Roman" w:hAnsi="Times New Roman" w:eastAsia="宋体" w:cs="Times New Roman"/>
                <w:color w:val="auto"/>
                <w:spacing w:val="0"/>
                <w:position w:val="0"/>
                <w:sz w:val="24"/>
                <w:szCs w:val="24"/>
                <w:highlight w:val="none"/>
              </w:rPr>
              <w:t>分</w:t>
            </w:r>
            <w:r>
              <w:rPr>
                <w:rFonts w:hint="default" w:ascii="Times New Roman" w:hAnsi="Times New Roman" w:eastAsia="宋体" w:cs="Times New Roman"/>
                <w:color w:val="auto"/>
                <w:spacing w:val="0"/>
                <w:position w:val="0"/>
                <w:sz w:val="24"/>
                <w:szCs w:val="24"/>
                <w:highlight w:val="none"/>
                <w:u w:val="single"/>
                <w:lang w:val="en-US" w:eastAsia="zh-CN"/>
              </w:rPr>
              <w:t>26.094</w:t>
            </w:r>
            <w:r>
              <w:rPr>
                <w:rFonts w:hint="default" w:ascii="Times New Roman" w:hAnsi="Times New Roman" w:eastAsia="宋体" w:cs="Times New Roman"/>
                <w:color w:val="auto"/>
                <w:spacing w:val="0"/>
                <w:position w:val="0"/>
                <w:sz w:val="24"/>
                <w:szCs w:val="24"/>
                <w:highlight w:val="none"/>
              </w:rPr>
              <w:t>秒，</w:t>
            </w:r>
            <w:r>
              <w:rPr>
                <w:rFonts w:hint="default" w:ascii="Times New Roman" w:hAnsi="Times New Roman" w:eastAsia="宋体" w:cs="Times New Roman"/>
                <w:color w:val="auto"/>
                <w:spacing w:val="0"/>
                <w:position w:val="0"/>
                <w:sz w:val="24"/>
                <w:szCs w:val="24"/>
                <w:highlight w:val="none"/>
                <w:u w:val="single"/>
              </w:rPr>
              <w:t>47</w:t>
            </w:r>
            <w:r>
              <w:rPr>
                <w:rFonts w:hint="default" w:ascii="Times New Roman" w:hAnsi="Times New Roman" w:eastAsia="宋体" w:cs="Times New Roman"/>
                <w:color w:val="auto"/>
                <w:spacing w:val="0"/>
                <w:position w:val="0"/>
                <w:sz w:val="24"/>
                <w:szCs w:val="24"/>
                <w:highlight w:val="none"/>
              </w:rPr>
              <w:t>度</w:t>
            </w:r>
            <w:r>
              <w:rPr>
                <w:rFonts w:hint="default" w:ascii="Times New Roman" w:hAnsi="Times New Roman" w:eastAsia="宋体" w:cs="Times New Roman"/>
                <w:color w:val="auto"/>
                <w:spacing w:val="0"/>
                <w:position w:val="0"/>
                <w:sz w:val="24"/>
                <w:szCs w:val="24"/>
                <w:highlight w:val="none"/>
                <w:u w:val="single"/>
              </w:rPr>
              <w:t>0</w:t>
            </w:r>
            <w:r>
              <w:rPr>
                <w:rFonts w:hint="default" w:ascii="Times New Roman" w:hAnsi="Times New Roman" w:eastAsia="宋体" w:cs="Times New Roman"/>
                <w:color w:val="auto"/>
                <w:spacing w:val="0"/>
                <w:position w:val="0"/>
                <w:sz w:val="24"/>
                <w:szCs w:val="24"/>
                <w:highlight w:val="none"/>
                <w:u w:val="single"/>
                <w:lang w:val="en-US" w:eastAsia="zh-CN"/>
              </w:rPr>
              <w:t>0</w:t>
            </w:r>
            <w:r>
              <w:rPr>
                <w:rFonts w:hint="default" w:ascii="Times New Roman" w:hAnsi="Times New Roman" w:eastAsia="宋体" w:cs="Times New Roman"/>
                <w:color w:val="auto"/>
                <w:spacing w:val="0"/>
                <w:position w:val="0"/>
                <w:sz w:val="24"/>
                <w:szCs w:val="24"/>
                <w:highlight w:val="none"/>
              </w:rPr>
              <w:t>分</w:t>
            </w:r>
            <w:r>
              <w:rPr>
                <w:rFonts w:hint="default" w:ascii="Times New Roman" w:hAnsi="Times New Roman" w:eastAsia="宋体" w:cs="Times New Roman"/>
                <w:color w:val="auto"/>
                <w:spacing w:val="0"/>
                <w:position w:val="0"/>
                <w:sz w:val="24"/>
                <w:szCs w:val="24"/>
                <w:highlight w:val="none"/>
                <w:u w:val="single"/>
                <w:lang w:val="en-US" w:eastAsia="zh-CN"/>
              </w:rPr>
              <w:t>00.807</w:t>
            </w:r>
            <w:r>
              <w:rPr>
                <w:rFonts w:hint="default" w:ascii="Times New Roman" w:hAnsi="Times New Roman" w:eastAsia="宋体" w:cs="Times New Roman"/>
                <w:color w:val="auto"/>
                <w:spacing w:val="0"/>
                <w:position w:val="0"/>
                <w:sz w:val="24"/>
                <w:szCs w:val="24"/>
                <w:highlight w:val="none"/>
              </w:rPr>
              <w:t>秒）</w:t>
            </w:r>
          </w:p>
        </w:tc>
      </w:tr>
      <w:tr w14:paraId="6AA8C6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50" w:hRule="atLeast"/>
          <w:jc w:val="center"/>
        </w:trPr>
        <w:tc>
          <w:tcPr>
            <w:tcW w:w="1840" w:type="dxa"/>
            <w:noWrap w:val="0"/>
            <w:tcMar>
              <w:top w:w="16" w:type="dxa"/>
              <w:left w:w="16" w:type="dxa"/>
              <w:right w:w="16" w:type="dxa"/>
            </w:tcMar>
            <w:vAlign w:val="center"/>
          </w:tcPr>
          <w:p w14:paraId="3B141B93">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国民经济</w:t>
            </w:r>
          </w:p>
          <w:p w14:paraId="314559F3">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行业类别</w:t>
            </w:r>
          </w:p>
        </w:tc>
        <w:tc>
          <w:tcPr>
            <w:tcW w:w="1860" w:type="dxa"/>
            <w:noWrap w:val="0"/>
            <w:vAlign w:val="center"/>
          </w:tcPr>
          <w:p w14:paraId="16196C9B">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C1331 食用植物油加工</w:t>
            </w:r>
          </w:p>
        </w:tc>
        <w:tc>
          <w:tcPr>
            <w:tcW w:w="2265" w:type="dxa"/>
            <w:noWrap w:val="0"/>
            <w:vAlign w:val="center"/>
          </w:tcPr>
          <w:p w14:paraId="10BAFA59">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bookmarkStart w:id="4" w:name="_Hlk49843745"/>
            <w:r>
              <w:rPr>
                <w:rFonts w:hint="default" w:ascii="Times New Roman" w:hAnsi="Times New Roman" w:eastAsia="宋体" w:cs="Times New Roman"/>
                <w:color w:val="auto"/>
                <w:spacing w:val="0"/>
                <w:position w:val="0"/>
                <w:sz w:val="24"/>
                <w:szCs w:val="24"/>
                <w:highlight w:val="none"/>
              </w:rPr>
              <w:t>建设项目</w:t>
            </w:r>
          </w:p>
          <w:p w14:paraId="0A8BF768">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行业类别</w:t>
            </w:r>
            <w:bookmarkEnd w:id="4"/>
          </w:p>
        </w:tc>
        <w:tc>
          <w:tcPr>
            <w:tcW w:w="2905" w:type="dxa"/>
            <w:noWrap w:val="0"/>
            <w:vAlign w:val="center"/>
          </w:tcPr>
          <w:p w14:paraId="1762A1F0">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十、‘农副食品加工业 13：16 植物油加工 133</w:t>
            </w:r>
          </w:p>
        </w:tc>
      </w:tr>
      <w:tr w14:paraId="17FC3D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827" w:hRule="atLeast"/>
          <w:jc w:val="center"/>
        </w:trPr>
        <w:tc>
          <w:tcPr>
            <w:tcW w:w="1840" w:type="dxa"/>
            <w:noWrap w:val="0"/>
            <w:tcMar>
              <w:top w:w="16" w:type="dxa"/>
              <w:left w:w="16" w:type="dxa"/>
              <w:right w:w="16" w:type="dxa"/>
            </w:tcMar>
            <w:vAlign w:val="center"/>
          </w:tcPr>
          <w:p w14:paraId="45476537">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建设性质</w:t>
            </w:r>
          </w:p>
        </w:tc>
        <w:tc>
          <w:tcPr>
            <w:tcW w:w="1860" w:type="dxa"/>
            <w:noWrap w:val="0"/>
            <w:vAlign w:val="center"/>
          </w:tcPr>
          <w:p w14:paraId="77076538">
            <w:pPr>
              <w:keepNext w:val="0"/>
              <w:keepLines w:val="0"/>
              <w:pageBreakBefore w:val="0"/>
              <w:kinsoku/>
              <w:wordWrap/>
              <w:overflowPunct/>
              <w:topLinePunct w:val="0"/>
              <w:bidi w:val="0"/>
              <w:adjustRightInd w:val="0"/>
              <w:snapToGrid w:val="0"/>
              <w:spacing w:beforeAutospacing="0" w:afterAutospacing="0"/>
              <w:ind w:left="0" w:leftChars="0" w:right="0" w:rightChars="0"/>
              <w:jc w:val="left"/>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新建（迁建）</w:t>
            </w:r>
          </w:p>
          <w:p w14:paraId="647A8A4B">
            <w:pPr>
              <w:keepNext w:val="0"/>
              <w:keepLines w:val="0"/>
              <w:pageBreakBefore w:val="0"/>
              <w:kinsoku/>
              <w:wordWrap/>
              <w:overflowPunct/>
              <w:topLinePunct w:val="0"/>
              <w:bidi w:val="0"/>
              <w:adjustRightInd w:val="0"/>
              <w:snapToGrid w:val="0"/>
              <w:spacing w:beforeAutospacing="0" w:afterAutospacing="0"/>
              <w:ind w:left="0" w:leftChars="0" w:right="0" w:rightChars="0"/>
              <w:jc w:val="left"/>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sym w:font="Wingdings 2" w:char="00A3"/>
            </w:r>
            <w:r>
              <w:rPr>
                <w:rFonts w:hint="default" w:ascii="Times New Roman" w:hAnsi="Times New Roman" w:eastAsia="宋体" w:cs="Times New Roman"/>
                <w:color w:val="auto"/>
                <w:spacing w:val="0"/>
                <w:position w:val="0"/>
                <w:sz w:val="24"/>
                <w:szCs w:val="24"/>
                <w:highlight w:val="none"/>
              </w:rPr>
              <w:t>改建</w:t>
            </w:r>
          </w:p>
          <w:p w14:paraId="00C5FB5D">
            <w:pPr>
              <w:keepNext w:val="0"/>
              <w:keepLines w:val="0"/>
              <w:pageBreakBefore w:val="0"/>
              <w:kinsoku/>
              <w:wordWrap/>
              <w:overflowPunct/>
              <w:topLinePunct w:val="0"/>
              <w:bidi w:val="0"/>
              <w:adjustRightInd w:val="0"/>
              <w:snapToGrid w:val="0"/>
              <w:spacing w:beforeAutospacing="0" w:afterAutospacing="0"/>
              <w:ind w:left="0" w:leftChars="0" w:right="0" w:rightChars="0"/>
              <w:jc w:val="left"/>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sym w:font="Wingdings 2" w:char="00A3"/>
            </w:r>
            <w:r>
              <w:rPr>
                <w:rFonts w:hint="default" w:ascii="Times New Roman" w:hAnsi="Times New Roman" w:eastAsia="宋体" w:cs="Times New Roman"/>
                <w:color w:val="auto"/>
                <w:spacing w:val="0"/>
                <w:position w:val="0"/>
                <w:sz w:val="24"/>
                <w:szCs w:val="24"/>
                <w:highlight w:val="none"/>
              </w:rPr>
              <w:t>扩建</w:t>
            </w:r>
          </w:p>
          <w:p w14:paraId="587E68DA">
            <w:pPr>
              <w:keepNext w:val="0"/>
              <w:keepLines w:val="0"/>
              <w:pageBreakBefore w:val="0"/>
              <w:kinsoku/>
              <w:wordWrap/>
              <w:overflowPunct/>
              <w:topLinePunct w:val="0"/>
              <w:bidi w:val="0"/>
              <w:adjustRightInd w:val="0"/>
              <w:snapToGrid w:val="0"/>
              <w:spacing w:beforeAutospacing="0" w:afterAutospacing="0"/>
              <w:ind w:left="0" w:leftChars="0" w:right="0" w:rightChars="0"/>
              <w:jc w:val="left"/>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技术改造</w:t>
            </w:r>
          </w:p>
        </w:tc>
        <w:tc>
          <w:tcPr>
            <w:tcW w:w="2265" w:type="dxa"/>
            <w:noWrap w:val="0"/>
            <w:vAlign w:val="center"/>
          </w:tcPr>
          <w:p w14:paraId="57285D68">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建设项目</w:t>
            </w:r>
          </w:p>
          <w:p w14:paraId="33C8FE50">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申报情形</w:t>
            </w:r>
          </w:p>
        </w:tc>
        <w:tc>
          <w:tcPr>
            <w:tcW w:w="2905" w:type="dxa"/>
            <w:noWrap w:val="0"/>
            <w:vAlign w:val="center"/>
          </w:tcPr>
          <w:p w14:paraId="164517FF">
            <w:pPr>
              <w:keepNext w:val="0"/>
              <w:keepLines w:val="0"/>
              <w:pageBreakBefore w:val="0"/>
              <w:kinsoku/>
              <w:wordWrap/>
              <w:overflowPunct/>
              <w:topLinePunct w:val="0"/>
              <w:bidi w:val="0"/>
              <w:adjustRightInd w:val="0"/>
              <w:snapToGrid w:val="0"/>
              <w:spacing w:beforeAutospacing="0" w:afterAutospacing="0"/>
              <w:ind w:left="0" w:leftChars="0" w:right="0" w:rightChars="0"/>
              <w:jc w:val="left"/>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 xml:space="preserve">首次申报项目             </w:t>
            </w:r>
          </w:p>
          <w:p w14:paraId="48953987">
            <w:pPr>
              <w:keepNext w:val="0"/>
              <w:keepLines w:val="0"/>
              <w:pageBreakBefore w:val="0"/>
              <w:kinsoku/>
              <w:wordWrap/>
              <w:overflowPunct/>
              <w:topLinePunct w:val="0"/>
              <w:bidi w:val="0"/>
              <w:adjustRightInd w:val="0"/>
              <w:snapToGrid w:val="0"/>
              <w:spacing w:beforeAutospacing="0" w:afterAutospacing="0"/>
              <w:ind w:left="0" w:leftChars="0" w:right="0" w:rightChars="0"/>
              <w:jc w:val="left"/>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不予批准后再次申报项目</w:t>
            </w:r>
          </w:p>
          <w:p w14:paraId="401A3749">
            <w:pPr>
              <w:keepNext w:val="0"/>
              <w:keepLines w:val="0"/>
              <w:pageBreakBefore w:val="0"/>
              <w:kinsoku/>
              <w:wordWrap/>
              <w:overflowPunct/>
              <w:topLinePunct w:val="0"/>
              <w:bidi w:val="0"/>
              <w:adjustRightInd w:val="0"/>
              <w:snapToGrid w:val="0"/>
              <w:spacing w:beforeAutospacing="0" w:afterAutospacing="0"/>
              <w:ind w:left="0" w:leftChars="0" w:right="0" w:rightChars="0"/>
              <w:jc w:val="left"/>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 xml:space="preserve">超五年重新审核项目     </w:t>
            </w:r>
          </w:p>
          <w:p w14:paraId="1B074127">
            <w:pPr>
              <w:keepNext w:val="0"/>
              <w:keepLines w:val="0"/>
              <w:pageBreakBefore w:val="0"/>
              <w:kinsoku/>
              <w:wordWrap/>
              <w:overflowPunct/>
              <w:topLinePunct w:val="0"/>
              <w:bidi w:val="0"/>
              <w:adjustRightInd w:val="0"/>
              <w:snapToGrid w:val="0"/>
              <w:spacing w:beforeAutospacing="0" w:afterAutospacing="0"/>
              <w:ind w:left="0" w:leftChars="0" w:right="0" w:rightChars="0"/>
              <w:jc w:val="left"/>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重大变动重新报批项目</w:t>
            </w:r>
          </w:p>
        </w:tc>
      </w:tr>
      <w:tr w14:paraId="46E085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92" w:hRule="atLeast"/>
          <w:jc w:val="center"/>
        </w:trPr>
        <w:tc>
          <w:tcPr>
            <w:tcW w:w="1840" w:type="dxa"/>
            <w:noWrap w:val="0"/>
            <w:tcMar>
              <w:top w:w="16" w:type="dxa"/>
              <w:left w:w="16" w:type="dxa"/>
              <w:right w:w="16" w:type="dxa"/>
            </w:tcMar>
            <w:vAlign w:val="center"/>
          </w:tcPr>
          <w:p w14:paraId="682357BF">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项目审批（核准/</w:t>
            </w:r>
          </w:p>
          <w:p w14:paraId="36D3B8A9">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备案）部门（选填）</w:t>
            </w:r>
          </w:p>
        </w:tc>
        <w:tc>
          <w:tcPr>
            <w:tcW w:w="1860" w:type="dxa"/>
            <w:noWrap w:val="0"/>
            <w:vAlign w:val="center"/>
          </w:tcPr>
          <w:p w14:paraId="7AF38BC9">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w:t>
            </w:r>
          </w:p>
        </w:tc>
        <w:tc>
          <w:tcPr>
            <w:tcW w:w="2265" w:type="dxa"/>
            <w:noWrap w:val="0"/>
            <w:vAlign w:val="center"/>
          </w:tcPr>
          <w:p w14:paraId="7B074B32">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项目审批（核准/</w:t>
            </w:r>
          </w:p>
          <w:p w14:paraId="34FD8882">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备案）文号（选填）</w:t>
            </w:r>
          </w:p>
        </w:tc>
        <w:tc>
          <w:tcPr>
            <w:tcW w:w="2905" w:type="dxa"/>
            <w:noWrap w:val="0"/>
            <w:vAlign w:val="center"/>
          </w:tcPr>
          <w:p w14:paraId="57978761">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w:t>
            </w:r>
          </w:p>
        </w:tc>
      </w:tr>
      <w:tr w14:paraId="3E385F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49" w:hRule="atLeast"/>
          <w:jc w:val="center"/>
        </w:trPr>
        <w:tc>
          <w:tcPr>
            <w:tcW w:w="1840" w:type="dxa"/>
            <w:noWrap w:val="0"/>
            <w:tcMar>
              <w:top w:w="16" w:type="dxa"/>
              <w:left w:w="16" w:type="dxa"/>
              <w:right w:w="16" w:type="dxa"/>
            </w:tcMar>
            <w:vAlign w:val="center"/>
          </w:tcPr>
          <w:p w14:paraId="7770877B">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总投资（万元）</w:t>
            </w:r>
          </w:p>
        </w:tc>
        <w:tc>
          <w:tcPr>
            <w:tcW w:w="1860" w:type="dxa"/>
            <w:noWrap w:val="0"/>
            <w:vAlign w:val="center"/>
          </w:tcPr>
          <w:p w14:paraId="77F9772F">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1000</w:t>
            </w:r>
          </w:p>
        </w:tc>
        <w:tc>
          <w:tcPr>
            <w:tcW w:w="2265" w:type="dxa"/>
            <w:noWrap w:val="0"/>
            <w:tcMar>
              <w:top w:w="16" w:type="dxa"/>
              <w:left w:w="16" w:type="dxa"/>
              <w:right w:w="16" w:type="dxa"/>
            </w:tcMar>
            <w:vAlign w:val="center"/>
          </w:tcPr>
          <w:p w14:paraId="7165759C">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环保投资（万元）</w:t>
            </w:r>
          </w:p>
        </w:tc>
        <w:tc>
          <w:tcPr>
            <w:tcW w:w="2905" w:type="dxa"/>
            <w:noWrap w:val="0"/>
            <w:vAlign w:val="center"/>
          </w:tcPr>
          <w:p w14:paraId="681D129A">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126</w:t>
            </w:r>
          </w:p>
        </w:tc>
      </w:tr>
      <w:tr w14:paraId="06929C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89" w:hRule="atLeast"/>
          <w:jc w:val="center"/>
        </w:trPr>
        <w:tc>
          <w:tcPr>
            <w:tcW w:w="1840" w:type="dxa"/>
            <w:noWrap w:val="0"/>
            <w:tcMar>
              <w:top w:w="16" w:type="dxa"/>
              <w:left w:w="16" w:type="dxa"/>
              <w:right w:w="16" w:type="dxa"/>
            </w:tcMar>
            <w:vAlign w:val="center"/>
          </w:tcPr>
          <w:p w14:paraId="39EBB081">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环保投资占比（%）</w:t>
            </w:r>
          </w:p>
        </w:tc>
        <w:tc>
          <w:tcPr>
            <w:tcW w:w="1860" w:type="dxa"/>
            <w:noWrap w:val="0"/>
            <w:vAlign w:val="center"/>
          </w:tcPr>
          <w:p w14:paraId="4AE7D851">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12.6</w:t>
            </w:r>
          </w:p>
        </w:tc>
        <w:tc>
          <w:tcPr>
            <w:tcW w:w="2265" w:type="dxa"/>
            <w:noWrap w:val="0"/>
            <w:tcMar>
              <w:top w:w="16" w:type="dxa"/>
              <w:left w:w="16" w:type="dxa"/>
              <w:right w:w="16" w:type="dxa"/>
            </w:tcMar>
            <w:vAlign w:val="center"/>
          </w:tcPr>
          <w:p w14:paraId="553EFC2B">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施工工期</w:t>
            </w:r>
          </w:p>
        </w:tc>
        <w:tc>
          <w:tcPr>
            <w:tcW w:w="2905" w:type="dxa"/>
            <w:noWrap w:val="0"/>
            <w:vAlign w:val="center"/>
          </w:tcPr>
          <w:p w14:paraId="2808ADCE">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202</w:t>
            </w:r>
            <w:r>
              <w:rPr>
                <w:rFonts w:hint="default" w:ascii="Times New Roman" w:hAnsi="Times New Roman" w:eastAsia="宋体" w:cs="Times New Roman"/>
                <w:color w:val="auto"/>
                <w:spacing w:val="0"/>
                <w:position w:val="0"/>
                <w:sz w:val="24"/>
                <w:szCs w:val="24"/>
                <w:highlight w:val="none"/>
                <w:lang w:val="en-US" w:eastAsia="zh-CN"/>
              </w:rPr>
              <w:t>6</w:t>
            </w:r>
            <w:r>
              <w:rPr>
                <w:rFonts w:hint="default" w:ascii="Times New Roman" w:hAnsi="Times New Roman" w:eastAsia="宋体" w:cs="Times New Roman"/>
                <w:color w:val="auto"/>
                <w:spacing w:val="0"/>
                <w:position w:val="0"/>
                <w:sz w:val="24"/>
                <w:szCs w:val="24"/>
                <w:highlight w:val="none"/>
              </w:rPr>
              <w:t>年</w:t>
            </w:r>
            <w:r>
              <w:rPr>
                <w:rFonts w:hint="default" w:ascii="Times New Roman" w:hAnsi="Times New Roman" w:eastAsia="宋体" w:cs="Times New Roman"/>
                <w:color w:val="auto"/>
                <w:spacing w:val="0"/>
                <w:position w:val="0"/>
                <w:sz w:val="24"/>
                <w:szCs w:val="24"/>
                <w:highlight w:val="none"/>
                <w:lang w:val="en-US" w:eastAsia="zh-CN"/>
              </w:rPr>
              <w:t>5</w:t>
            </w:r>
            <w:r>
              <w:rPr>
                <w:rFonts w:hint="default" w:ascii="Times New Roman" w:hAnsi="Times New Roman" w:eastAsia="宋体" w:cs="Times New Roman"/>
                <w:color w:val="auto"/>
                <w:spacing w:val="0"/>
                <w:position w:val="0"/>
                <w:sz w:val="24"/>
                <w:szCs w:val="24"/>
                <w:highlight w:val="none"/>
              </w:rPr>
              <w:t>月</w:t>
            </w:r>
            <w:r>
              <w:rPr>
                <w:rFonts w:hint="default" w:ascii="Times New Roman" w:hAnsi="Times New Roman" w:eastAsia="宋体" w:cs="Times New Roman"/>
                <w:color w:val="auto"/>
                <w:spacing w:val="0"/>
                <w:kern w:val="0"/>
                <w:position w:val="0"/>
                <w:sz w:val="24"/>
                <w:szCs w:val="24"/>
                <w:highlight w:val="none"/>
              </w:rPr>
              <w:t>～</w:t>
            </w:r>
            <w:r>
              <w:rPr>
                <w:rFonts w:hint="default" w:ascii="Times New Roman" w:hAnsi="Times New Roman" w:eastAsia="宋体" w:cs="Times New Roman"/>
                <w:color w:val="auto"/>
                <w:spacing w:val="0"/>
                <w:position w:val="0"/>
                <w:sz w:val="24"/>
                <w:szCs w:val="24"/>
                <w:highlight w:val="none"/>
              </w:rPr>
              <w:t>202</w:t>
            </w:r>
            <w:r>
              <w:rPr>
                <w:rFonts w:hint="default" w:ascii="Times New Roman" w:hAnsi="Times New Roman" w:eastAsia="宋体" w:cs="Times New Roman"/>
                <w:color w:val="auto"/>
                <w:spacing w:val="0"/>
                <w:position w:val="0"/>
                <w:sz w:val="24"/>
                <w:szCs w:val="24"/>
                <w:highlight w:val="none"/>
                <w:lang w:val="en-US" w:eastAsia="zh-CN"/>
              </w:rPr>
              <w:t>6</w:t>
            </w:r>
            <w:r>
              <w:rPr>
                <w:rFonts w:hint="default" w:ascii="Times New Roman" w:hAnsi="Times New Roman" w:eastAsia="宋体" w:cs="Times New Roman"/>
                <w:color w:val="auto"/>
                <w:spacing w:val="0"/>
                <w:position w:val="0"/>
                <w:sz w:val="24"/>
                <w:szCs w:val="24"/>
                <w:highlight w:val="none"/>
              </w:rPr>
              <w:t>年</w:t>
            </w:r>
            <w:r>
              <w:rPr>
                <w:rFonts w:hint="default" w:ascii="Times New Roman" w:hAnsi="Times New Roman" w:eastAsia="宋体" w:cs="Times New Roman"/>
                <w:color w:val="auto"/>
                <w:spacing w:val="0"/>
                <w:position w:val="0"/>
                <w:sz w:val="24"/>
                <w:szCs w:val="24"/>
                <w:highlight w:val="none"/>
                <w:lang w:val="en-US" w:eastAsia="zh-CN"/>
              </w:rPr>
              <w:t>6</w:t>
            </w:r>
            <w:r>
              <w:rPr>
                <w:rFonts w:hint="default" w:ascii="Times New Roman" w:hAnsi="Times New Roman" w:eastAsia="宋体" w:cs="Times New Roman"/>
                <w:color w:val="auto"/>
                <w:spacing w:val="0"/>
                <w:position w:val="0"/>
                <w:sz w:val="24"/>
                <w:szCs w:val="24"/>
                <w:highlight w:val="none"/>
              </w:rPr>
              <w:t>月</w:t>
            </w:r>
          </w:p>
        </w:tc>
      </w:tr>
      <w:tr w14:paraId="133358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9" w:hRule="atLeast"/>
          <w:jc w:val="center"/>
        </w:trPr>
        <w:tc>
          <w:tcPr>
            <w:tcW w:w="1840" w:type="dxa"/>
            <w:noWrap w:val="0"/>
            <w:tcMar>
              <w:top w:w="16" w:type="dxa"/>
              <w:left w:w="16" w:type="dxa"/>
              <w:right w:w="16" w:type="dxa"/>
            </w:tcMar>
            <w:vAlign w:val="center"/>
          </w:tcPr>
          <w:p w14:paraId="1405850B">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是否开工建设</w:t>
            </w:r>
          </w:p>
        </w:tc>
        <w:tc>
          <w:tcPr>
            <w:tcW w:w="1860" w:type="dxa"/>
            <w:noWrap w:val="0"/>
            <w:vAlign w:val="center"/>
          </w:tcPr>
          <w:p w14:paraId="15673513">
            <w:pPr>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sym w:font="Wingdings 2" w:char="0052"/>
            </w:r>
            <w:r>
              <w:rPr>
                <w:rFonts w:hint="default" w:ascii="Times New Roman" w:hAnsi="Times New Roman" w:eastAsia="宋体" w:cs="Times New Roman"/>
                <w:color w:val="auto"/>
                <w:spacing w:val="0"/>
                <w:position w:val="0"/>
                <w:sz w:val="24"/>
                <w:szCs w:val="24"/>
                <w:highlight w:val="none"/>
              </w:rPr>
              <w:t>否</w:t>
            </w:r>
          </w:p>
          <w:p w14:paraId="75191880">
            <w:pPr>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sym w:font="Wingdings 2" w:char="00A3"/>
            </w:r>
            <w:r>
              <w:rPr>
                <w:rFonts w:hint="default" w:ascii="Times New Roman" w:hAnsi="Times New Roman" w:eastAsia="宋体" w:cs="Times New Roman"/>
                <w:color w:val="auto"/>
                <w:spacing w:val="0"/>
                <w:position w:val="0"/>
                <w:sz w:val="24"/>
                <w:szCs w:val="24"/>
                <w:highlight w:val="none"/>
              </w:rPr>
              <w:t>是：</w:t>
            </w:r>
            <w:r>
              <w:rPr>
                <w:rFonts w:hint="default" w:ascii="Times New Roman" w:hAnsi="Times New Roman" w:eastAsia="宋体" w:cs="Times New Roman"/>
                <w:color w:val="auto"/>
                <w:spacing w:val="0"/>
                <w:position w:val="0"/>
                <w:sz w:val="24"/>
                <w:szCs w:val="24"/>
                <w:highlight w:val="none"/>
                <w:u w:val="single"/>
              </w:rPr>
              <w:t xml:space="preserve">             </w:t>
            </w:r>
          </w:p>
        </w:tc>
        <w:tc>
          <w:tcPr>
            <w:tcW w:w="2265" w:type="dxa"/>
            <w:noWrap w:val="0"/>
            <w:tcMar>
              <w:top w:w="16" w:type="dxa"/>
              <w:left w:w="16" w:type="dxa"/>
              <w:right w:w="16" w:type="dxa"/>
            </w:tcMar>
            <w:vAlign w:val="center"/>
          </w:tcPr>
          <w:p w14:paraId="6B38E6E9">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用地（用海）</w:t>
            </w:r>
          </w:p>
          <w:p w14:paraId="6B672AA4">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面积（m</w:t>
            </w:r>
            <w:r>
              <w:rPr>
                <w:rFonts w:hint="default" w:ascii="Times New Roman" w:hAnsi="Times New Roman" w:eastAsia="宋体" w:cs="Times New Roman"/>
                <w:color w:val="auto"/>
                <w:spacing w:val="0"/>
                <w:position w:val="0"/>
                <w:sz w:val="24"/>
                <w:szCs w:val="24"/>
                <w:highlight w:val="none"/>
                <w:vertAlign w:val="superscript"/>
              </w:rPr>
              <w:t>2</w:t>
            </w:r>
            <w:r>
              <w:rPr>
                <w:rFonts w:hint="default" w:ascii="Times New Roman" w:hAnsi="Times New Roman" w:eastAsia="宋体" w:cs="Times New Roman"/>
                <w:color w:val="auto"/>
                <w:spacing w:val="0"/>
                <w:position w:val="0"/>
                <w:sz w:val="24"/>
                <w:szCs w:val="24"/>
                <w:highlight w:val="none"/>
              </w:rPr>
              <w:t>）</w:t>
            </w:r>
          </w:p>
        </w:tc>
        <w:tc>
          <w:tcPr>
            <w:tcW w:w="2905" w:type="dxa"/>
            <w:noWrap w:val="0"/>
            <w:vAlign w:val="center"/>
          </w:tcPr>
          <w:p w14:paraId="6E692359">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45000</w:t>
            </w:r>
          </w:p>
        </w:tc>
      </w:tr>
      <w:tr w14:paraId="59CFCC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1840" w:type="dxa"/>
            <w:noWrap w:val="0"/>
            <w:vAlign w:val="center"/>
          </w:tcPr>
          <w:p w14:paraId="087F888A">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4"/>
                <w:szCs w:val="24"/>
                <w:highlight w:val="none"/>
              </w:rPr>
            </w:pPr>
            <w:r>
              <w:rPr>
                <w:rFonts w:hint="default" w:ascii="Times New Roman" w:hAnsi="Times New Roman" w:eastAsia="宋体" w:cs="Times New Roman"/>
                <w:color w:val="auto"/>
                <w:spacing w:val="0"/>
                <w:kern w:val="0"/>
                <w:position w:val="0"/>
                <w:sz w:val="24"/>
                <w:szCs w:val="24"/>
                <w:highlight w:val="none"/>
              </w:rPr>
              <w:t>专项评价设置情况</w:t>
            </w:r>
          </w:p>
        </w:tc>
        <w:tc>
          <w:tcPr>
            <w:tcW w:w="7030" w:type="dxa"/>
            <w:gridSpan w:val="3"/>
            <w:noWrap w:val="0"/>
            <w:vAlign w:val="center"/>
          </w:tcPr>
          <w:p w14:paraId="0B831558">
            <w:pPr>
              <w:keepLines w:val="0"/>
              <w:pageBreakBefore w:val="0"/>
              <w:widowControl w:val="0"/>
              <w:wordWrap/>
              <w:overflowPunct w:val="0"/>
              <w:topLinePunct w:val="0"/>
              <w:autoSpaceDE/>
              <w:autoSpaceDN/>
              <w:bidi w:val="0"/>
              <w:adjustRightInd w:val="0"/>
              <w:snapToGrid w:val="0"/>
              <w:spacing w:line="360" w:lineRule="auto"/>
              <w:ind w:firstLine="480" w:firstLineChars="200"/>
              <w:jc w:val="both"/>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根据《建设项目环境影响报告表编制技术指南（污染影响类）（试行）》，土壤、声环境不开展专项评价，地下水原则上不开展专项评价，涉及集中式饮用水水源和热水、矿泉水、温泉等特殊地下水资源保护区的开展地下水专项评价工作。项目专项设置情况参照表1-1专项评价设置原则表，具体见下表。</w:t>
            </w:r>
          </w:p>
          <w:p w14:paraId="406EA3C2">
            <w:pPr>
              <w:keepNext w:val="0"/>
              <w:keepLines w:val="0"/>
              <w:pageBreakBefore w:val="0"/>
              <w:widowControl w:val="0"/>
              <w:kinsoku/>
              <w:wordWrap/>
              <w:overflowPunct w:val="0"/>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pacing w:val="0"/>
                <w:w w:val="100"/>
                <w:kern w:val="0"/>
                <w:position w:val="0"/>
                <w:sz w:val="24"/>
                <w:szCs w:val="24"/>
                <w:highlight w:val="none"/>
                <w:lang w:val="en-US" w:eastAsia="zh-CN"/>
              </w:rPr>
            </w:pPr>
            <w:r>
              <w:rPr>
                <w:rFonts w:hint="default" w:ascii="Times New Roman" w:hAnsi="Times New Roman" w:eastAsia="宋体" w:cs="Times New Roman"/>
                <w:b/>
                <w:bCs/>
                <w:color w:val="auto"/>
                <w:spacing w:val="0"/>
                <w:w w:val="100"/>
                <w:kern w:val="0"/>
                <w:position w:val="0"/>
                <w:sz w:val="24"/>
                <w:szCs w:val="24"/>
                <w:highlight w:val="none"/>
                <w:lang w:val="en-US" w:eastAsia="zh-CN"/>
              </w:rPr>
              <w:t>表1-1 专项评价设置情况一览表</w:t>
            </w:r>
          </w:p>
          <w:tbl>
            <w:tblPr>
              <w:tblStyle w:val="30"/>
              <w:tblW w:w="685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51"/>
              <w:gridCol w:w="2685"/>
              <w:gridCol w:w="2156"/>
              <w:gridCol w:w="966"/>
            </w:tblGrid>
            <w:tr w14:paraId="7FFEAA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1051" w:type="dxa"/>
                  <w:tcBorders>
                    <w:tl2br w:val="nil"/>
                    <w:tr2bl w:val="nil"/>
                  </w:tcBorders>
                  <w:noWrap w:val="0"/>
                  <w:vAlign w:val="center"/>
                </w:tcPr>
                <w:p w14:paraId="4699D450">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专项评</w:t>
                  </w:r>
                </w:p>
                <w:p w14:paraId="628C146F">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价类别</w:t>
                  </w:r>
                </w:p>
              </w:tc>
              <w:tc>
                <w:tcPr>
                  <w:tcW w:w="2685" w:type="dxa"/>
                  <w:tcBorders>
                    <w:tl2br w:val="nil"/>
                    <w:tr2bl w:val="nil"/>
                  </w:tcBorders>
                  <w:noWrap w:val="0"/>
                  <w:vAlign w:val="center"/>
                </w:tcPr>
                <w:p w14:paraId="0539F33F">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设置原则</w:t>
                  </w:r>
                </w:p>
              </w:tc>
              <w:tc>
                <w:tcPr>
                  <w:tcW w:w="2156" w:type="dxa"/>
                  <w:tcBorders>
                    <w:tl2br w:val="nil"/>
                    <w:tr2bl w:val="nil"/>
                  </w:tcBorders>
                  <w:noWrap w:val="0"/>
                  <w:vAlign w:val="center"/>
                </w:tcPr>
                <w:p w14:paraId="0AF4D091">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本项目情况</w:t>
                  </w:r>
                </w:p>
              </w:tc>
              <w:tc>
                <w:tcPr>
                  <w:tcW w:w="966" w:type="dxa"/>
                  <w:tcBorders>
                    <w:tl2br w:val="nil"/>
                    <w:tr2bl w:val="nil"/>
                  </w:tcBorders>
                  <w:noWrap w:val="0"/>
                  <w:vAlign w:val="center"/>
                </w:tcPr>
                <w:p w14:paraId="4181C965">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是否设</w:t>
                  </w:r>
                </w:p>
                <w:p w14:paraId="427CC6B0">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置专项</w:t>
                  </w:r>
                </w:p>
              </w:tc>
            </w:tr>
            <w:tr w14:paraId="16DE8D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1051" w:type="dxa"/>
                  <w:tcBorders>
                    <w:tl2br w:val="nil"/>
                    <w:tr2bl w:val="nil"/>
                  </w:tcBorders>
                  <w:noWrap w:val="0"/>
                  <w:vAlign w:val="center"/>
                </w:tcPr>
                <w:p w14:paraId="38606CB9">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大气</w:t>
                  </w:r>
                </w:p>
              </w:tc>
              <w:tc>
                <w:tcPr>
                  <w:tcW w:w="2685" w:type="dxa"/>
                  <w:tcBorders>
                    <w:tl2br w:val="nil"/>
                    <w:tr2bl w:val="nil"/>
                  </w:tcBorders>
                  <w:noWrap w:val="0"/>
                  <w:vAlign w:val="center"/>
                </w:tcPr>
                <w:p w14:paraId="48D126E6">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排放废气含有毒有害污染物</w:t>
                  </w:r>
                  <w:r>
                    <w:rPr>
                      <w:rFonts w:hint="default" w:ascii="Times New Roman" w:hAnsi="Times New Roman" w:eastAsia="宋体" w:cs="Times New Roman"/>
                      <w:b w:val="0"/>
                      <w:bCs w:val="0"/>
                      <w:color w:val="auto"/>
                      <w:spacing w:val="0"/>
                      <w:w w:val="100"/>
                      <w:kern w:val="0"/>
                      <w:position w:val="0"/>
                      <w:sz w:val="21"/>
                      <w:szCs w:val="21"/>
                      <w:highlight w:val="none"/>
                      <w:vertAlign w:val="superscript"/>
                      <w:lang w:val="en-US" w:eastAsia="zh-CN"/>
                    </w:rPr>
                    <w:t>①</w:t>
                  </w: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、二噁英、苯并[a]芘、氰化物、氯气且厂界外500米范围内有环境空气保护目标</w:t>
                  </w:r>
                  <w:r>
                    <w:rPr>
                      <w:rFonts w:hint="default" w:ascii="Times New Roman" w:hAnsi="Times New Roman" w:eastAsia="宋体" w:cs="Times New Roman"/>
                      <w:b w:val="0"/>
                      <w:bCs w:val="0"/>
                      <w:color w:val="auto"/>
                      <w:spacing w:val="0"/>
                      <w:w w:val="100"/>
                      <w:kern w:val="0"/>
                      <w:position w:val="0"/>
                      <w:sz w:val="21"/>
                      <w:szCs w:val="21"/>
                      <w:highlight w:val="none"/>
                      <w:vertAlign w:val="superscript"/>
                      <w:lang w:val="en-US" w:eastAsia="zh-CN"/>
                    </w:rPr>
                    <w:t>②</w:t>
                  </w: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的建设项目。</w:t>
                  </w:r>
                </w:p>
              </w:tc>
              <w:tc>
                <w:tcPr>
                  <w:tcW w:w="2156" w:type="dxa"/>
                  <w:tcBorders>
                    <w:tl2br w:val="nil"/>
                    <w:tr2bl w:val="nil"/>
                  </w:tcBorders>
                  <w:noWrap w:val="0"/>
                  <w:vAlign w:val="center"/>
                </w:tcPr>
                <w:p w14:paraId="261A1EEC">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本项目不涉及大气专项设置原则中提及的有毒有害物质</w:t>
                  </w:r>
                  <w:r>
                    <w:rPr>
                      <w:rFonts w:hint="default" w:ascii="Times New Roman" w:hAnsi="Times New Roman" w:cs="Times New Roman"/>
                      <w:b w:val="0"/>
                      <w:bCs w:val="0"/>
                      <w:color w:val="auto"/>
                      <w:spacing w:val="0"/>
                      <w:w w:val="100"/>
                      <w:kern w:val="0"/>
                      <w:position w:val="0"/>
                      <w:sz w:val="21"/>
                      <w:szCs w:val="21"/>
                      <w:highlight w:val="none"/>
                      <w:vertAlign w:val="baseline"/>
                      <w:lang w:val="en-US" w:eastAsia="zh-CN"/>
                    </w:rPr>
                    <w:t>。</w:t>
                  </w:r>
                </w:p>
              </w:tc>
              <w:tc>
                <w:tcPr>
                  <w:tcW w:w="966" w:type="dxa"/>
                  <w:tcBorders>
                    <w:tl2br w:val="nil"/>
                    <w:tr2bl w:val="nil"/>
                  </w:tcBorders>
                  <w:noWrap w:val="0"/>
                  <w:vAlign w:val="center"/>
                </w:tcPr>
                <w:p w14:paraId="4948A6E8">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无</w:t>
                  </w:r>
                </w:p>
              </w:tc>
            </w:tr>
            <w:tr w14:paraId="1A2C34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1" w:hRule="atLeast"/>
                <w:jc w:val="center"/>
              </w:trPr>
              <w:tc>
                <w:tcPr>
                  <w:tcW w:w="1051" w:type="dxa"/>
                  <w:tcBorders>
                    <w:tl2br w:val="nil"/>
                    <w:tr2bl w:val="nil"/>
                  </w:tcBorders>
                  <w:noWrap w:val="0"/>
                  <w:vAlign w:val="center"/>
                </w:tcPr>
                <w:p w14:paraId="6F282AAD">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地表水</w:t>
                  </w:r>
                </w:p>
              </w:tc>
              <w:tc>
                <w:tcPr>
                  <w:tcW w:w="2685" w:type="dxa"/>
                  <w:tcBorders>
                    <w:tl2br w:val="nil"/>
                    <w:tr2bl w:val="nil"/>
                  </w:tcBorders>
                  <w:noWrap w:val="0"/>
                  <w:vAlign w:val="center"/>
                </w:tcPr>
                <w:p w14:paraId="169AD8FE">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新增工业废水直排建设项目（槽罐车外送污水处理厂的除外）；新增废水直排的污水集中处理厂。</w:t>
                  </w:r>
                </w:p>
              </w:tc>
              <w:tc>
                <w:tcPr>
                  <w:tcW w:w="2156" w:type="dxa"/>
                  <w:tcBorders>
                    <w:tl2br w:val="nil"/>
                    <w:tr2bl w:val="nil"/>
                  </w:tcBorders>
                  <w:noWrap w:val="0"/>
                  <w:vAlign w:val="center"/>
                </w:tcPr>
                <w:p w14:paraId="3F371C47">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本项目</w:t>
                  </w:r>
                  <w:r>
                    <w:rPr>
                      <w:rFonts w:hint="default" w:ascii="Times New Roman" w:hAnsi="Times New Roman" w:cs="Times New Roman"/>
                      <w:b w:val="0"/>
                      <w:bCs w:val="0"/>
                      <w:color w:val="auto"/>
                      <w:spacing w:val="0"/>
                      <w:w w:val="100"/>
                      <w:kern w:val="0"/>
                      <w:position w:val="0"/>
                      <w:sz w:val="21"/>
                      <w:szCs w:val="21"/>
                      <w:highlight w:val="none"/>
                      <w:vertAlign w:val="baseline"/>
                      <w:lang w:val="en-US" w:eastAsia="zh-CN"/>
                    </w:rPr>
                    <w:t>不新增废水直接排放</w:t>
                  </w: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w:t>
                  </w:r>
                </w:p>
              </w:tc>
              <w:tc>
                <w:tcPr>
                  <w:tcW w:w="966" w:type="dxa"/>
                  <w:tcBorders>
                    <w:tl2br w:val="nil"/>
                    <w:tr2bl w:val="nil"/>
                  </w:tcBorders>
                  <w:noWrap w:val="0"/>
                  <w:vAlign w:val="center"/>
                </w:tcPr>
                <w:p w14:paraId="07B977D9">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无</w:t>
                  </w:r>
                </w:p>
              </w:tc>
            </w:tr>
            <w:tr w14:paraId="2899DD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4" w:hRule="atLeast"/>
                <w:jc w:val="center"/>
              </w:trPr>
              <w:tc>
                <w:tcPr>
                  <w:tcW w:w="1051" w:type="dxa"/>
                  <w:tcBorders>
                    <w:tl2br w:val="nil"/>
                    <w:tr2bl w:val="nil"/>
                  </w:tcBorders>
                  <w:noWrap w:val="0"/>
                  <w:vAlign w:val="center"/>
                </w:tcPr>
                <w:p w14:paraId="545E647E">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环境风险</w:t>
                  </w:r>
                </w:p>
              </w:tc>
              <w:tc>
                <w:tcPr>
                  <w:tcW w:w="2685" w:type="dxa"/>
                  <w:tcBorders>
                    <w:tl2br w:val="nil"/>
                    <w:tr2bl w:val="nil"/>
                  </w:tcBorders>
                  <w:noWrap w:val="0"/>
                  <w:vAlign w:val="center"/>
                </w:tcPr>
                <w:p w14:paraId="4DCC2598">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有毒有害和易燃易爆危险物质存储量超过临界量</w:t>
                  </w:r>
                  <w:r>
                    <w:rPr>
                      <w:rFonts w:hint="default" w:ascii="Times New Roman" w:hAnsi="Times New Roman" w:eastAsia="宋体" w:cs="Times New Roman"/>
                      <w:b w:val="0"/>
                      <w:bCs w:val="0"/>
                      <w:color w:val="auto"/>
                      <w:spacing w:val="0"/>
                      <w:w w:val="100"/>
                      <w:kern w:val="0"/>
                      <w:position w:val="0"/>
                      <w:sz w:val="21"/>
                      <w:szCs w:val="21"/>
                      <w:highlight w:val="none"/>
                      <w:vertAlign w:val="superscript"/>
                      <w:lang w:val="en-US" w:eastAsia="zh-CN"/>
                    </w:rPr>
                    <w:t>③</w:t>
                  </w: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的建设项目。</w:t>
                  </w:r>
                </w:p>
              </w:tc>
              <w:tc>
                <w:tcPr>
                  <w:tcW w:w="2156" w:type="dxa"/>
                  <w:tcBorders>
                    <w:tl2br w:val="nil"/>
                    <w:tr2bl w:val="nil"/>
                  </w:tcBorders>
                  <w:noWrap w:val="0"/>
                  <w:vAlign w:val="center"/>
                </w:tcPr>
                <w:p w14:paraId="1C0DDA63">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本项目有毒有害和易燃易爆危险物质存储量</w:t>
                  </w:r>
                  <w:r>
                    <w:rPr>
                      <w:rFonts w:hint="default" w:ascii="Times New Roman" w:hAnsi="Times New Roman" w:cs="Times New Roman"/>
                      <w:b w:val="0"/>
                      <w:bCs w:val="0"/>
                      <w:color w:val="auto"/>
                      <w:spacing w:val="0"/>
                      <w:w w:val="100"/>
                      <w:kern w:val="0"/>
                      <w:position w:val="0"/>
                      <w:sz w:val="21"/>
                      <w:szCs w:val="21"/>
                      <w:highlight w:val="none"/>
                      <w:vertAlign w:val="baseline"/>
                      <w:lang w:val="en-US" w:eastAsia="zh-CN"/>
                    </w:rPr>
                    <w:t>超过</w:t>
                  </w: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临界量。</w:t>
                  </w:r>
                </w:p>
              </w:tc>
              <w:tc>
                <w:tcPr>
                  <w:tcW w:w="966" w:type="dxa"/>
                  <w:tcBorders>
                    <w:tl2br w:val="nil"/>
                    <w:tr2bl w:val="nil"/>
                  </w:tcBorders>
                  <w:noWrap w:val="0"/>
                  <w:vAlign w:val="center"/>
                </w:tcPr>
                <w:p w14:paraId="6650D17F">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cs="Times New Roman"/>
                      <w:b w:val="0"/>
                      <w:bCs w:val="0"/>
                      <w:color w:val="auto"/>
                      <w:spacing w:val="0"/>
                      <w:w w:val="100"/>
                      <w:kern w:val="0"/>
                      <w:position w:val="0"/>
                      <w:sz w:val="21"/>
                      <w:szCs w:val="21"/>
                      <w:highlight w:val="none"/>
                      <w:vertAlign w:val="baseline"/>
                      <w:lang w:val="en-US" w:eastAsia="zh-CN"/>
                    </w:rPr>
                    <w:t>是</w:t>
                  </w:r>
                </w:p>
              </w:tc>
            </w:tr>
            <w:tr w14:paraId="00B6B9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49" w:hRule="atLeast"/>
                <w:jc w:val="center"/>
              </w:trPr>
              <w:tc>
                <w:tcPr>
                  <w:tcW w:w="1051" w:type="dxa"/>
                  <w:tcBorders>
                    <w:tl2br w:val="nil"/>
                    <w:tr2bl w:val="nil"/>
                  </w:tcBorders>
                  <w:noWrap w:val="0"/>
                  <w:vAlign w:val="center"/>
                </w:tcPr>
                <w:p w14:paraId="5A7FF421">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生态</w:t>
                  </w:r>
                </w:p>
              </w:tc>
              <w:tc>
                <w:tcPr>
                  <w:tcW w:w="2685" w:type="dxa"/>
                  <w:tcBorders>
                    <w:tl2br w:val="nil"/>
                    <w:tr2bl w:val="nil"/>
                  </w:tcBorders>
                  <w:noWrap w:val="0"/>
                  <w:vAlign w:val="center"/>
                </w:tcPr>
                <w:p w14:paraId="7D205C1D">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取水口下游500米范围内有重要水生生物的自然产卵场、索饵场、越冬场和洄游通道的新增河道取水的污染类建设项目。</w:t>
                  </w:r>
                </w:p>
              </w:tc>
              <w:tc>
                <w:tcPr>
                  <w:tcW w:w="2156" w:type="dxa"/>
                  <w:tcBorders>
                    <w:tl2br w:val="nil"/>
                    <w:tr2bl w:val="nil"/>
                  </w:tcBorders>
                  <w:noWrap w:val="0"/>
                  <w:vAlign w:val="center"/>
                </w:tcPr>
                <w:p w14:paraId="503C63C5">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本项目不涉及</w:t>
                  </w:r>
                </w:p>
                <w:p w14:paraId="736D449F">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取水口</w:t>
                  </w:r>
                  <w:r>
                    <w:rPr>
                      <w:rFonts w:hint="default" w:ascii="Times New Roman" w:hAnsi="Times New Roman" w:cs="Times New Roman"/>
                      <w:b w:val="0"/>
                      <w:bCs w:val="0"/>
                      <w:color w:val="auto"/>
                      <w:spacing w:val="0"/>
                      <w:w w:val="100"/>
                      <w:kern w:val="0"/>
                      <w:position w:val="0"/>
                      <w:sz w:val="21"/>
                      <w:szCs w:val="21"/>
                      <w:highlight w:val="none"/>
                      <w:vertAlign w:val="baseline"/>
                      <w:lang w:val="en-US" w:eastAsia="zh-CN"/>
                    </w:rPr>
                    <w:t>。</w:t>
                  </w:r>
                </w:p>
              </w:tc>
              <w:tc>
                <w:tcPr>
                  <w:tcW w:w="966" w:type="dxa"/>
                  <w:tcBorders>
                    <w:tl2br w:val="nil"/>
                    <w:tr2bl w:val="nil"/>
                  </w:tcBorders>
                  <w:noWrap w:val="0"/>
                  <w:vAlign w:val="center"/>
                </w:tcPr>
                <w:p w14:paraId="3E0A9807">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无</w:t>
                  </w:r>
                </w:p>
              </w:tc>
            </w:tr>
            <w:tr w14:paraId="190A47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1051" w:type="dxa"/>
                  <w:tcBorders>
                    <w:tl2br w:val="nil"/>
                    <w:tr2bl w:val="nil"/>
                  </w:tcBorders>
                  <w:noWrap w:val="0"/>
                  <w:vAlign w:val="center"/>
                </w:tcPr>
                <w:p w14:paraId="6F34E002">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海洋</w:t>
                  </w:r>
                </w:p>
              </w:tc>
              <w:tc>
                <w:tcPr>
                  <w:tcW w:w="2685" w:type="dxa"/>
                  <w:tcBorders>
                    <w:tl2br w:val="nil"/>
                    <w:tr2bl w:val="nil"/>
                  </w:tcBorders>
                  <w:noWrap w:val="0"/>
                  <w:vAlign w:val="center"/>
                </w:tcPr>
                <w:p w14:paraId="5256C1B2">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直接向海排放污染物的海洋工程建设项目。</w:t>
                  </w:r>
                </w:p>
              </w:tc>
              <w:tc>
                <w:tcPr>
                  <w:tcW w:w="2156" w:type="dxa"/>
                  <w:tcBorders>
                    <w:tl2br w:val="nil"/>
                    <w:tr2bl w:val="nil"/>
                  </w:tcBorders>
                  <w:noWrap w:val="0"/>
                  <w:vAlign w:val="center"/>
                </w:tcPr>
                <w:p w14:paraId="67DD2262">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本项目不</w:t>
                  </w:r>
                  <w:r>
                    <w:rPr>
                      <w:rFonts w:hint="default" w:ascii="Times New Roman" w:hAnsi="Times New Roman" w:cs="Times New Roman"/>
                      <w:b w:val="0"/>
                      <w:bCs w:val="0"/>
                      <w:color w:val="auto"/>
                      <w:spacing w:val="0"/>
                      <w:w w:val="100"/>
                      <w:kern w:val="0"/>
                      <w:position w:val="0"/>
                      <w:sz w:val="21"/>
                      <w:szCs w:val="21"/>
                      <w:highlight w:val="none"/>
                      <w:vertAlign w:val="baseline"/>
                      <w:lang w:val="en-US" w:eastAsia="zh-CN"/>
                    </w:rPr>
                    <w:t>涉及</w:t>
                  </w: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w:t>
                  </w:r>
                </w:p>
              </w:tc>
              <w:tc>
                <w:tcPr>
                  <w:tcW w:w="966" w:type="dxa"/>
                  <w:tcBorders>
                    <w:tl2br w:val="nil"/>
                    <w:tr2bl w:val="nil"/>
                  </w:tcBorders>
                  <w:noWrap w:val="0"/>
                  <w:vAlign w:val="center"/>
                </w:tcPr>
                <w:p w14:paraId="3EBC6C74">
                  <w:pPr>
                    <w:keepLines w:val="0"/>
                    <w:pageBreakBefore w:val="0"/>
                    <w:widowControl w:val="0"/>
                    <w:wordWrap/>
                    <w:overflowPunct w:val="0"/>
                    <w:topLinePunct w:val="0"/>
                    <w:autoSpaceDE/>
                    <w:autoSpaceDN/>
                    <w:bidi w:val="0"/>
                    <w:adjustRightInd w:val="0"/>
                    <w:snapToGrid w:val="0"/>
                    <w:jc w:val="cente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无</w:t>
                  </w:r>
                </w:p>
              </w:tc>
            </w:tr>
          </w:tbl>
          <w:p w14:paraId="37578B09">
            <w:pPr>
              <w:keepLines w:val="0"/>
              <w:pageBreakBefore w:val="0"/>
              <w:widowControl w:val="0"/>
              <w:wordWrap/>
              <w:overflowPunct w:val="0"/>
              <w:topLinePunct w:val="0"/>
              <w:autoSpaceDE/>
              <w:autoSpaceDN/>
              <w:bidi w:val="0"/>
              <w:adjustRightInd w:val="0"/>
              <w:snapToGrid w:val="0"/>
              <w:ind w:firstLine="420" w:firstLineChars="200"/>
              <w:jc w:val="left"/>
              <w:rPr>
                <w:rFonts w:hint="default" w:ascii="Times New Roman" w:hAnsi="Times New Roman" w:eastAsia="宋体" w:cs="Times New Roman"/>
                <w:b w:val="0"/>
                <w:bCs w:val="0"/>
                <w:color w:val="auto"/>
                <w:spacing w:val="0"/>
                <w:w w:val="100"/>
                <w:kern w:val="0"/>
                <w:position w:val="0"/>
                <w:sz w:val="21"/>
                <w:szCs w:val="21"/>
                <w:highlight w:val="no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lang w:val="en-US" w:eastAsia="zh-CN"/>
              </w:rPr>
              <w:t>注：①废气中有毒有害污染物指纳入《有毒有害大气污染物名录》的污染物（不包括无排放标准的污染物）。</w:t>
            </w:r>
          </w:p>
          <w:p w14:paraId="1971790C">
            <w:pPr>
              <w:keepLines w:val="0"/>
              <w:pageBreakBefore w:val="0"/>
              <w:widowControl w:val="0"/>
              <w:wordWrap/>
              <w:overflowPunct w:val="0"/>
              <w:topLinePunct w:val="0"/>
              <w:autoSpaceDE/>
              <w:autoSpaceDN/>
              <w:bidi w:val="0"/>
              <w:adjustRightInd w:val="0"/>
              <w:snapToGrid w:val="0"/>
              <w:ind w:firstLine="420" w:firstLineChars="200"/>
              <w:jc w:val="left"/>
              <w:rPr>
                <w:rFonts w:hint="default" w:ascii="Times New Roman" w:hAnsi="Times New Roman" w:eastAsia="宋体" w:cs="Times New Roman"/>
                <w:b w:val="0"/>
                <w:bCs w:val="0"/>
                <w:color w:val="auto"/>
                <w:spacing w:val="0"/>
                <w:w w:val="100"/>
                <w:kern w:val="0"/>
                <w:position w:val="0"/>
                <w:sz w:val="21"/>
                <w:szCs w:val="21"/>
                <w:highlight w:val="no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lang w:val="en-US" w:eastAsia="zh-CN"/>
              </w:rPr>
              <w:t>②环境空气保护目标指自然保护区、风景名胜区、居住区、文化区和农村 地区中人群较集中的区域。</w:t>
            </w:r>
          </w:p>
          <w:p w14:paraId="7DED22AC">
            <w:pPr>
              <w:keepLines w:val="0"/>
              <w:pageBreakBefore w:val="0"/>
              <w:widowControl w:val="0"/>
              <w:wordWrap/>
              <w:overflowPunct w:val="0"/>
              <w:topLinePunct w:val="0"/>
              <w:autoSpaceDE/>
              <w:autoSpaceDN/>
              <w:bidi w:val="0"/>
              <w:adjustRightInd w:val="0"/>
              <w:snapToGrid w:val="0"/>
              <w:ind w:firstLine="420" w:firstLineChars="200"/>
              <w:jc w:val="left"/>
              <w:rPr>
                <w:rFonts w:hint="default" w:ascii="Times New Roman" w:hAnsi="Times New Roman" w:eastAsia="宋体" w:cs="Times New Roman"/>
                <w:b w:val="0"/>
                <w:bCs w:val="0"/>
                <w:color w:val="auto"/>
                <w:spacing w:val="0"/>
                <w:w w:val="100"/>
                <w:kern w:val="0"/>
                <w:position w:val="0"/>
                <w:sz w:val="21"/>
                <w:szCs w:val="21"/>
                <w:highlight w:val="no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lang w:val="en-US" w:eastAsia="zh-CN"/>
              </w:rPr>
              <w:t>③临界量及其计算方法参考《建设项目环境风险评价技术导则》（HJ169） 附录B 、附录C。</w:t>
            </w:r>
          </w:p>
          <w:p w14:paraId="6EF0F9E4">
            <w:pPr>
              <w:keepNext w:val="0"/>
              <w:keepLines w:val="0"/>
              <w:pageBreakBefore w:val="0"/>
              <w:kinsoku/>
              <w:wordWrap/>
              <w:overflowPunct/>
              <w:topLinePunct w:val="0"/>
              <w:autoSpaceDE w:val="0"/>
              <w:autoSpaceDN w:val="0"/>
              <w:bidi w:val="0"/>
              <w:adjustRightInd w:val="0"/>
              <w:snapToGrid w:val="0"/>
              <w:spacing w:beforeAutospacing="0" w:afterAutospacing="0" w:line="400" w:lineRule="exact"/>
              <w:ind w:left="0" w:leftChars="0" w:right="0" w:rightChars="0" w:firstLine="480" w:firstLineChars="200"/>
              <w:jc w:val="left"/>
              <w:rPr>
                <w:rFonts w:hint="default" w:ascii="Times New Roman" w:hAnsi="Times New Roman" w:eastAsia="宋体" w:cs="Times New Roman"/>
                <w:color w:val="auto"/>
                <w:spacing w:val="0"/>
                <w:kern w:val="0"/>
                <w:position w:val="0"/>
                <w:sz w:val="24"/>
                <w:szCs w:val="24"/>
                <w:highlight w:val="none"/>
              </w:rPr>
            </w:pPr>
            <w:r>
              <w:rPr>
                <w:rFonts w:hint="default" w:ascii="Times New Roman" w:hAnsi="Times New Roman" w:eastAsia="宋体" w:cs="Times New Roman"/>
                <w:color w:val="auto"/>
                <w:spacing w:val="0"/>
                <w:w w:val="100"/>
                <w:kern w:val="0"/>
                <w:position w:val="0"/>
                <w:sz w:val="24"/>
                <w:szCs w:val="24"/>
                <w:highlight w:val="none"/>
                <w:lang w:val="en-US" w:eastAsia="zh-CN"/>
              </w:rPr>
              <w:t>本项目不涉及集中式饮用水水源和热水、矿泉水、温泉等特殊地下水资源保护区。根据上表分析可知，本项目</w:t>
            </w:r>
            <w:r>
              <w:rPr>
                <w:rFonts w:hint="default" w:ascii="Times New Roman" w:hAnsi="Times New Roman" w:cs="Times New Roman"/>
                <w:color w:val="auto"/>
                <w:spacing w:val="0"/>
                <w:w w:val="100"/>
                <w:kern w:val="0"/>
                <w:position w:val="0"/>
                <w:sz w:val="24"/>
                <w:szCs w:val="24"/>
                <w:highlight w:val="none"/>
                <w:lang w:val="en-US" w:eastAsia="zh-CN"/>
              </w:rPr>
              <w:t>无</w:t>
            </w:r>
            <w:r>
              <w:rPr>
                <w:rFonts w:hint="default" w:ascii="Times New Roman" w:hAnsi="Times New Roman" w:eastAsia="宋体" w:cs="Times New Roman"/>
                <w:color w:val="auto"/>
                <w:spacing w:val="0"/>
                <w:w w:val="100"/>
                <w:kern w:val="0"/>
                <w:position w:val="0"/>
                <w:sz w:val="24"/>
                <w:szCs w:val="24"/>
                <w:highlight w:val="none"/>
                <w:lang w:val="en-US" w:eastAsia="zh-CN"/>
              </w:rPr>
              <w:t>需开展专项评价工作。</w:t>
            </w:r>
          </w:p>
        </w:tc>
      </w:tr>
      <w:tr w14:paraId="7FFD0D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6" w:hRule="atLeast"/>
          <w:jc w:val="center"/>
        </w:trPr>
        <w:tc>
          <w:tcPr>
            <w:tcW w:w="1840" w:type="dxa"/>
            <w:noWrap w:val="0"/>
            <w:vAlign w:val="center"/>
          </w:tcPr>
          <w:p w14:paraId="04A9CE34">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规划情况</w:t>
            </w:r>
          </w:p>
        </w:tc>
        <w:tc>
          <w:tcPr>
            <w:tcW w:w="7030" w:type="dxa"/>
            <w:gridSpan w:val="3"/>
            <w:noWrap w:val="0"/>
            <w:vAlign w:val="center"/>
          </w:tcPr>
          <w:p w14:paraId="0DF27E3F">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《黑龙江桦川经济开发区控制性详细规划修编》（2021-2030）</w:t>
            </w:r>
          </w:p>
        </w:tc>
      </w:tr>
      <w:tr w14:paraId="0F5E40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20" w:hRule="atLeast"/>
          <w:jc w:val="center"/>
        </w:trPr>
        <w:tc>
          <w:tcPr>
            <w:tcW w:w="1840" w:type="dxa"/>
            <w:noWrap w:val="0"/>
            <w:vAlign w:val="center"/>
          </w:tcPr>
          <w:p w14:paraId="38B10402">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规划环境影响</w:t>
            </w:r>
          </w:p>
          <w:p w14:paraId="76CCA1A6">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评价情况</w:t>
            </w:r>
          </w:p>
        </w:tc>
        <w:tc>
          <w:tcPr>
            <w:tcW w:w="7030" w:type="dxa"/>
            <w:gridSpan w:val="3"/>
            <w:noWrap w:val="0"/>
            <w:vAlign w:val="center"/>
          </w:tcPr>
          <w:p w14:paraId="47558948">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《黑龙江桦川经济开发区控制性详细规划修编（2021-2030）环境影响报告书》、黑龙江省生态环境厅关于《黑龙江桦川经济开发区控制性详细规划修编（2021-2030）环境影响报告书》的审查意见（黑环函</w:t>
            </w:r>
            <w:r>
              <w:rPr>
                <w:rFonts w:hint="default" w:ascii="Times New Roman" w:hAnsi="Times New Roman" w:cs="Times New Roman"/>
                <w:color w:val="auto"/>
                <w:spacing w:val="0"/>
                <w:position w:val="0"/>
                <w:sz w:val="24"/>
                <w:szCs w:val="24"/>
                <w:highlight w:val="none"/>
                <w:lang w:eastAsia="zh-CN"/>
              </w:rPr>
              <w:t>〔2022〕3号</w:t>
            </w:r>
            <w:r>
              <w:rPr>
                <w:rFonts w:hint="default" w:ascii="Times New Roman" w:hAnsi="Times New Roman" w:eastAsia="宋体" w:cs="Times New Roman"/>
                <w:color w:val="auto"/>
                <w:spacing w:val="0"/>
                <w:position w:val="0"/>
                <w:sz w:val="24"/>
                <w:szCs w:val="24"/>
                <w:highlight w:val="none"/>
              </w:rPr>
              <w:t>）</w:t>
            </w:r>
          </w:p>
        </w:tc>
      </w:tr>
      <w:tr w14:paraId="7AC9FF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40" w:type="dxa"/>
            <w:noWrap w:val="0"/>
            <w:vAlign w:val="center"/>
          </w:tcPr>
          <w:p w14:paraId="68E04F7F">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 w:val="24"/>
                <w:szCs w:val="24"/>
                <w:highlight w:val="none"/>
              </w:rPr>
              <w:t>规划及规划环境影响评价符合性分析</w:t>
            </w:r>
          </w:p>
        </w:tc>
        <w:tc>
          <w:tcPr>
            <w:tcW w:w="7030" w:type="dxa"/>
            <w:gridSpan w:val="3"/>
            <w:noWrap w:val="0"/>
            <w:vAlign w:val="center"/>
          </w:tcPr>
          <w:p w14:paraId="1A1F83CF">
            <w:pPr>
              <w:keepNext w:val="0"/>
              <w:keepLines w:val="0"/>
              <w:pageBreakBefore w:val="0"/>
              <w:kinsoku/>
              <w:wordWrap/>
              <w:overflowPunct/>
              <w:topLinePunct w:val="0"/>
              <w:autoSpaceDE w:val="0"/>
              <w:autoSpaceDN w:val="0"/>
              <w:bidi w:val="0"/>
              <w:adjustRightInd w:val="0"/>
              <w:snapToGrid w:val="0"/>
              <w:spacing w:beforeAutospacing="0" w:afterAutospacing="0" w:line="360" w:lineRule="auto"/>
              <w:ind w:left="0" w:leftChars="0" w:right="0" w:rightChars="0"/>
              <w:jc w:val="left"/>
              <w:rPr>
                <w:rFonts w:hint="default" w:ascii="Times New Roman" w:hAnsi="Times New Roman" w:eastAsia="宋体" w:cs="Times New Roman"/>
                <w:b/>
                <w:color w:val="auto"/>
                <w:spacing w:val="0"/>
                <w:kern w:val="0"/>
                <w:position w:val="0"/>
                <w:sz w:val="24"/>
                <w:szCs w:val="24"/>
                <w:highlight w:val="none"/>
              </w:rPr>
            </w:pPr>
            <w:r>
              <w:rPr>
                <w:rFonts w:hint="default" w:ascii="Times New Roman" w:hAnsi="Times New Roman" w:eastAsia="宋体" w:cs="Times New Roman"/>
                <w:b/>
                <w:color w:val="auto"/>
                <w:spacing w:val="0"/>
                <w:kern w:val="0"/>
                <w:position w:val="0"/>
                <w:sz w:val="24"/>
                <w:szCs w:val="24"/>
                <w:highlight w:val="none"/>
              </w:rPr>
              <w:t>一、《黑龙江桦川经济开发区控制性详细规划修编》</w:t>
            </w:r>
            <w:r>
              <w:rPr>
                <w:rFonts w:hint="default" w:ascii="Times New Roman" w:hAnsi="Times New Roman" w:eastAsia="宋体" w:cs="Times New Roman"/>
                <w:b/>
                <w:color w:val="auto"/>
                <w:spacing w:val="0"/>
                <w:position w:val="0"/>
                <w:sz w:val="24"/>
                <w:szCs w:val="24"/>
                <w:highlight w:val="none"/>
              </w:rPr>
              <w:t>（2021-2030）</w:t>
            </w:r>
            <w:r>
              <w:rPr>
                <w:rFonts w:hint="default" w:ascii="Times New Roman" w:hAnsi="Times New Roman" w:eastAsia="宋体" w:cs="Times New Roman"/>
                <w:b/>
                <w:color w:val="auto"/>
                <w:spacing w:val="0"/>
                <w:kern w:val="0"/>
                <w:position w:val="0"/>
                <w:sz w:val="24"/>
                <w:szCs w:val="24"/>
                <w:highlight w:val="none"/>
              </w:rPr>
              <w:t>符合性分析</w:t>
            </w:r>
          </w:p>
          <w:p w14:paraId="59E9DCC7">
            <w:pPr>
              <w:keepNext w:val="0"/>
              <w:keepLines w:val="0"/>
              <w:pageBreakBefore w:val="0"/>
              <w:kinsoku/>
              <w:wordWrap/>
              <w:overflowPunct/>
              <w:topLinePunct w:val="0"/>
              <w:bidi w:val="0"/>
              <w:adjustRightInd w:val="0"/>
              <w:snapToGrid w:val="0"/>
              <w:spacing w:beforeAutospacing="0" w:afterAutospacing="0" w:line="360" w:lineRule="auto"/>
              <w:ind w:left="0" w:leftChars="0" w:right="0" w:rightChars="0" w:firstLine="480" w:firstLineChars="200"/>
              <w:rPr>
                <w:rFonts w:hint="default" w:ascii="Times New Roman" w:hAnsi="Times New Roman" w:eastAsia="宋体" w:cs="Times New Roman"/>
                <w:snapToGrid w:val="0"/>
                <w:color w:val="auto"/>
                <w:spacing w:val="0"/>
                <w:kern w:val="0"/>
                <w:position w:val="0"/>
                <w:sz w:val="24"/>
                <w:szCs w:val="24"/>
                <w:highlight w:val="none"/>
              </w:rPr>
            </w:pPr>
            <w:r>
              <w:rPr>
                <w:rFonts w:hint="default" w:ascii="Times New Roman" w:hAnsi="Times New Roman" w:eastAsia="宋体" w:cs="Times New Roman"/>
                <w:snapToGrid w:val="0"/>
                <w:color w:val="auto"/>
                <w:spacing w:val="0"/>
                <w:kern w:val="0"/>
                <w:position w:val="0"/>
                <w:sz w:val="24"/>
                <w:szCs w:val="24"/>
                <w:highlight w:val="none"/>
              </w:rPr>
              <w:t>1、开发区功能定位符合性分析</w:t>
            </w:r>
          </w:p>
          <w:p w14:paraId="2A3ED54A">
            <w:pPr>
              <w:keepNext w:val="0"/>
              <w:keepLines w:val="0"/>
              <w:pageBreakBefore w:val="0"/>
              <w:kinsoku/>
              <w:wordWrap/>
              <w:overflowPunct/>
              <w:topLinePunct w:val="0"/>
              <w:bidi w:val="0"/>
              <w:adjustRightInd w:val="0"/>
              <w:snapToGrid w:val="0"/>
              <w:spacing w:beforeAutospacing="0" w:afterAutospacing="0" w:line="360" w:lineRule="auto"/>
              <w:ind w:left="0" w:leftChars="0" w:right="0" w:rightChars="0" w:firstLine="480" w:firstLineChars="200"/>
              <w:rPr>
                <w:rFonts w:hint="default" w:ascii="Times New Roman" w:hAnsi="Times New Roman" w:eastAsia="宋体" w:cs="Times New Roman"/>
                <w:snapToGrid w:val="0"/>
                <w:color w:val="auto"/>
                <w:spacing w:val="0"/>
                <w:kern w:val="0"/>
                <w:position w:val="0"/>
                <w:sz w:val="24"/>
                <w:szCs w:val="24"/>
                <w:highlight w:val="none"/>
              </w:rPr>
            </w:pPr>
            <w:r>
              <w:rPr>
                <w:rFonts w:hint="default" w:ascii="Times New Roman" w:hAnsi="Times New Roman" w:eastAsia="宋体" w:cs="Times New Roman"/>
                <w:snapToGrid w:val="0"/>
                <w:color w:val="auto"/>
                <w:spacing w:val="0"/>
                <w:kern w:val="0"/>
                <w:position w:val="0"/>
                <w:sz w:val="24"/>
                <w:szCs w:val="24"/>
                <w:highlight w:val="none"/>
              </w:rPr>
              <w:t>黑龙江桦川经济开发区位于佳木斯市桦川县，规划范围：南起京抚公路南侧，北至南环路，东起东缘路，西至西缘路，规划用地总面积为697.24公顷。园区重点发展轻工产业、农副产品加工产业、机械装备制造和配套加工产业、商贸及对俄进出口加工业、新基建产业、配套物流业这六大产业。</w:t>
            </w:r>
          </w:p>
          <w:p w14:paraId="1853E6C4">
            <w:pPr>
              <w:keepNext w:val="0"/>
              <w:keepLines w:val="0"/>
              <w:pageBreakBefore w:val="0"/>
              <w:kinsoku/>
              <w:wordWrap/>
              <w:overflowPunct/>
              <w:topLinePunct w:val="0"/>
              <w:bidi w:val="0"/>
              <w:adjustRightInd w:val="0"/>
              <w:snapToGrid w:val="0"/>
              <w:spacing w:beforeAutospacing="0" w:afterAutospacing="0" w:line="360" w:lineRule="auto"/>
              <w:ind w:left="0" w:leftChars="0" w:right="0" w:rightChars="0" w:firstLine="480" w:firstLineChars="200"/>
              <w:rPr>
                <w:rFonts w:hint="default" w:ascii="Times New Roman" w:hAnsi="Times New Roman" w:eastAsia="宋体" w:cs="Times New Roman"/>
                <w:snapToGrid w:val="0"/>
                <w:color w:val="auto"/>
                <w:spacing w:val="0"/>
                <w:kern w:val="0"/>
                <w:position w:val="0"/>
                <w:sz w:val="24"/>
                <w:szCs w:val="24"/>
                <w:highlight w:val="none"/>
              </w:rPr>
            </w:pPr>
            <w:r>
              <w:rPr>
                <w:rFonts w:hint="default" w:ascii="Times New Roman" w:hAnsi="Times New Roman" w:eastAsia="宋体" w:cs="Times New Roman"/>
                <w:snapToGrid w:val="0"/>
                <w:color w:val="auto"/>
                <w:spacing w:val="0"/>
                <w:kern w:val="0"/>
                <w:position w:val="0"/>
                <w:sz w:val="24"/>
                <w:szCs w:val="24"/>
                <w:highlight w:val="none"/>
              </w:rPr>
              <w:t>农副产品加工</w:t>
            </w:r>
            <w:r>
              <w:rPr>
                <w:rFonts w:hint="default" w:ascii="Times New Roman" w:hAnsi="Times New Roman" w:eastAsia="宋体" w:cs="Times New Roman"/>
                <w:color w:val="auto"/>
                <w:spacing w:val="0"/>
                <w:kern w:val="0"/>
                <w:position w:val="0"/>
                <w:sz w:val="24"/>
                <w:szCs w:val="24"/>
                <w:highlight w:val="none"/>
              </w:rPr>
              <w:t>区有两个区块，</w:t>
            </w:r>
            <w:r>
              <w:rPr>
                <w:rFonts w:hint="default" w:ascii="Times New Roman" w:hAnsi="Times New Roman" w:eastAsia="宋体" w:cs="Times New Roman"/>
                <w:snapToGrid w:val="0"/>
                <w:color w:val="auto"/>
                <w:spacing w:val="0"/>
                <w:kern w:val="0"/>
                <w:position w:val="0"/>
                <w:sz w:val="24"/>
                <w:szCs w:val="24"/>
                <w:highlight w:val="none"/>
              </w:rPr>
              <w:t>适宜桦川发展的农副食品加工行业主要有7个。</w:t>
            </w:r>
          </w:p>
          <w:p w14:paraId="2DB5BBEF">
            <w:pPr>
              <w:keepNext w:val="0"/>
              <w:keepLines w:val="0"/>
              <w:pageBreakBefore w:val="0"/>
              <w:kinsoku/>
              <w:wordWrap/>
              <w:overflowPunct/>
              <w:topLinePunct w:val="0"/>
              <w:bidi w:val="0"/>
              <w:adjustRightInd w:val="0"/>
              <w:snapToGrid w:val="0"/>
              <w:spacing w:beforeAutospacing="0" w:afterAutospacing="0" w:line="360" w:lineRule="auto"/>
              <w:ind w:left="0" w:leftChars="0" w:right="0" w:rightChars="0" w:firstLine="480" w:firstLineChars="200"/>
              <w:rPr>
                <w:rFonts w:hint="default" w:ascii="Times New Roman" w:hAnsi="Times New Roman" w:eastAsia="宋体" w:cs="Times New Roman"/>
                <w:snapToGrid w:val="0"/>
                <w:color w:val="auto"/>
                <w:spacing w:val="0"/>
                <w:kern w:val="0"/>
                <w:position w:val="0"/>
                <w:sz w:val="24"/>
                <w:szCs w:val="24"/>
                <w:highlight w:val="none"/>
              </w:rPr>
            </w:pPr>
            <w:r>
              <w:rPr>
                <w:rFonts w:hint="default" w:ascii="Times New Roman" w:hAnsi="Times New Roman" w:eastAsia="宋体" w:cs="Times New Roman"/>
                <w:snapToGrid w:val="0"/>
                <w:color w:val="auto"/>
                <w:spacing w:val="0"/>
                <w:kern w:val="0"/>
                <w:position w:val="0"/>
                <w:sz w:val="24"/>
                <w:szCs w:val="24"/>
                <w:highlight w:val="none"/>
              </w:rPr>
              <w:t>（1）稻米综合加工业、（2）畜禽综合加工业、（3）饲料加工业、（4）</w:t>
            </w:r>
            <w:r>
              <w:rPr>
                <w:rFonts w:hint="default" w:ascii="Times New Roman" w:hAnsi="Times New Roman" w:cs="Times New Roman"/>
                <w:snapToGrid w:val="0"/>
                <w:color w:val="auto"/>
                <w:spacing w:val="0"/>
                <w:kern w:val="0"/>
                <w:position w:val="0"/>
                <w:sz w:val="24"/>
                <w:szCs w:val="24"/>
                <w:highlight w:val="none"/>
                <w:lang w:eastAsia="zh-CN"/>
              </w:rPr>
              <w:t>其他</w:t>
            </w:r>
            <w:r>
              <w:rPr>
                <w:rFonts w:hint="default" w:ascii="Times New Roman" w:hAnsi="Times New Roman" w:eastAsia="宋体" w:cs="Times New Roman"/>
                <w:snapToGrid w:val="0"/>
                <w:color w:val="auto"/>
                <w:spacing w:val="0"/>
                <w:kern w:val="0"/>
                <w:position w:val="0"/>
                <w:sz w:val="24"/>
                <w:szCs w:val="24"/>
                <w:highlight w:val="none"/>
              </w:rPr>
              <w:t>粮食加工业①玉米综合加工业②大豆综合加工业③杂粮杂豆加工业、（5）蔬菜加工业、（6）乳品加工业、（7）马铃薯加工业。</w:t>
            </w:r>
          </w:p>
          <w:p w14:paraId="37D57A52">
            <w:pPr>
              <w:keepNext w:val="0"/>
              <w:keepLines w:val="0"/>
              <w:pageBreakBefore w:val="0"/>
              <w:kinsoku/>
              <w:wordWrap/>
              <w:overflowPunct/>
              <w:topLinePunct w:val="0"/>
              <w:bidi w:val="0"/>
              <w:adjustRightInd w:val="0"/>
              <w:snapToGrid w:val="0"/>
              <w:spacing w:beforeAutospacing="0" w:afterAutospacing="0" w:line="360" w:lineRule="auto"/>
              <w:ind w:left="0" w:leftChars="0" w:right="0" w:rightChars="0" w:firstLine="480" w:firstLineChars="200"/>
              <w:textAlignment w:val="baseline"/>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snapToGrid w:val="0"/>
                <w:color w:val="auto"/>
                <w:spacing w:val="0"/>
                <w:kern w:val="0"/>
                <w:position w:val="0"/>
                <w:sz w:val="24"/>
                <w:szCs w:val="24"/>
                <w:highlight w:val="none"/>
              </w:rPr>
              <w:t>本项目位于黑龙江桦川经济技术开发区中的农副产品加工区一区，项目的国民经济行业类别为</w:t>
            </w:r>
            <w:r>
              <w:rPr>
                <w:rFonts w:hint="default" w:ascii="Times New Roman" w:hAnsi="Times New Roman" w:eastAsia="宋体" w:cs="Times New Roman"/>
                <w:color w:val="auto"/>
                <w:spacing w:val="0"/>
                <w:position w:val="0"/>
                <w:sz w:val="24"/>
                <w:szCs w:val="24"/>
                <w:highlight w:val="none"/>
              </w:rPr>
              <w:t>C1331 食用植物油加工</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snapToGrid w:val="0"/>
                <w:color w:val="auto"/>
                <w:spacing w:val="0"/>
                <w:kern w:val="0"/>
                <w:position w:val="0"/>
                <w:sz w:val="24"/>
                <w:szCs w:val="24"/>
                <w:highlight w:val="none"/>
              </w:rPr>
              <w:t>属于农副产品加工产业，项目的建设符合工业园区功能定位。黑龙江桦川经济技术开发区功能结构图见附图</w:t>
            </w:r>
            <w:r>
              <w:rPr>
                <w:rFonts w:hint="default" w:ascii="Times New Roman" w:hAnsi="Times New Roman" w:cs="Times New Roman"/>
                <w:snapToGrid w:val="0"/>
                <w:color w:val="auto"/>
                <w:spacing w:val="0"/>
                <w:kern w:val="0"/>
                <w:position w:val="0"/>
                <w:sz w:val="24"/>
                <w:szCs w:val="24"/>
                <w:highlight w:val="none"/>
                <w:lang w:val="en-US" w:eastAsia="zh-CN"/>
              </w:rPr>
              <w:t>4</w:t>
            </w:r>
            <w:r>
              <w:rPr>
                <w:rFonts w:hint="default" w:ascii="Times New Roman" w:hAnsi="Times New Roman" w:eastAsia="宋体" w:cs="Times New Roman"/>
                <w:snapToGrid w:val="0"/>
                <w:color w:val="auto"/>
                <w:spacing w:val="0"/>
                <w:kern w:val="0"/>
                <w:position w:val="0"/>
                <w:sz w:val="24"/>
                <w:szCs w:val="24"/>
                <w:highlight w:val="none"/>
              </w:rPr>
              <w:t>。</w:t>
            </w:r>
          </w:p>
          <w:p w14:paraId="79500909">
            <w:pPr>
              <w:keepNext w:val="0"/>
              <w:keepLines w:val="0"/>
              <w:pageBreakBefore w:val="0"/>
              <w:kinsoku/>
              <w:wordWrap/>
              <w:overflowPunct/>
              <w:topLinePunct w:val="0"/>
              <w:autoSpaceDE w:val="0"/>
              <w:autoSpaceDN w:val="0"/>
              <w:bidi w:val="0"/>
              <w:adjustRightInd w:val="0"/>
              <w:snapToGrid w:val="0"/>
              <w:spacing w:beforeAutospacing="0" w:afterAutospacing="0" w:line="360" w:lineRule="auto"/>
              <w:ind w:left="0" w:leftChars="0" w:right="0" w:rightChars="0" w:firstLine="480" w:firstLineChars="200"/>
              <w:jc w:val="left"/>
              <w:rPr>
                <w:rFonts w:hint="default" w:ascii="Times New Roman" w:hAnsi="Times New Roman" w:eastAsia="宋体" w:cs="Times New Roman"/>
                <w:color w:val="auto"/>
                <w:spacing w:val="0"/>
                <w:kern w:val="0"/>
                <w:position w:val="0"/>
                <w:sz w:val="24"/>
                <w:szCs w:val="24"/>
                <w:highlight w:val="none"/>
              </w:rPr>
            </w:pPr>
            <w:r>
              <w:rPr>
                <w:rFonts w:hint="default" w:ascii="Times New Roman" w:hAnsi="Times New Roman" w:eastAsia="宋体" w:cs="Times New Roman"/>
                <w:color w:val="auto"/>
                <w:spacing w:val="0"/>
                <w:kern w:val="0"/>
                <w:position w:val="0"/>
                <w:sz w:val="24"/>
                <w:szCs w:val="24"/>
                <w:highlight w:val="none"/>
              </w:rPr>
              <w:t>2、基础设施规划</w:t>
            </w:r>
          </w:p>
          <w:p w14:paraId="60BA21DD">
            <w:pPr>
              <w:keepNext w:val="0"/>
              <w:keepLines w:val="0"/>
              <w:pageBreakBefore w:val="0"/>
              <w:kinsoku/>
              <w:wordWrap/>
              <w:overflowPunct/>
              <w:topLinePunct w:val="0"/>
              <w:autoSpaceDE w:val="0"/>
              <w:autoSpaceDN w:val="0"/>
              <w:bidi w:val="0"/>
              <w:adjustRightInd w:val="0"/>
              <w:snapToGrid w:val="0"/>
              <w:spacing w:beforeAutospacing="0" w:afterAutospacing="0" w:line="360" w:lineRule="auto"/>
              <w:ind w:left="0" w:leftChars="0" w:right="0" w:rightChars="0" w:firstLine="480" w:firstLineChars="200"/>
              <w:jc w:val="left"/>
              <w:rPr>
                <w:rFonts w:hint="default" w:ascii="Times New Roman" w:hAnsi="Times New Roman" w:eastAsia="宋体" w:cs="Times New Roman"/>
                <w:color w:val="auto"/>
                <w:spacing w:val="0"/>
                <w:kern w:val="0"/>
                <w:position w:val="0"/>
                <w:sz w:val="24"/>
                <w:szCs w:val="24"/>
                <w:highlight w:val="none"/>
              </w:rPr>
            </w:pPr>
            <w:r>
              <w:rPr>
                <w:rFonts w:hint="default" w:ascii="Times New Roman" w:hAnsi="Times New Roman" w:eastAsia="宋体" w:cs="Times New Roman"/>
                <w:color w:val="auto"/>
                <w:spacing w:val="0"/>
                <w:kern w:val="0"/>
                <w:position w:val="0"/>
                <w:sz w:val="24"/>
                <w:szCs w:val="24"/>
                <w:highlight w:val="none"/>
              </w:rPr>
              <w:t>本</w:t>
            </w:r>
            <w:r>
              <w:rPr>
                <w:rFonts w:hint="default" w:ascii="Times New Roman" w:hAnsi="Times New Roman" w:cs="Times New Roman"/>
                <w:color w:val="auto"/>
                <w:spacing w:val="0"/>
                <w:kern w:val="0"/>
                <w:position w:val="0"/>
                <w:sz w:val="24"/>
                <w:szCs w:val="24"/>
                <w:highlight w:val="none"/>
                <w:lang w:eastAsia="zh-CN"/>
              </w:rPr>
              <w:t>项目</w:t>
            </w:r>
            <w:r>
              <w:rPr>
                <w:rFonts w:hint="default" w:ascii="Times New Roman" w:hAnsi="Times New Roman" w:eastAsia="宋体" w:cs="Times New Roman"/>
                <w:color w:val="auto"/>
                <w:spacing w:val="0"/>
                <w:kern w:val="0"/>
                <w:position w:val="0"/>
                <w:sz w:val="24"/>
                <w:szCs w:val="24"/>
                <w:highlight w:val="none"/>
              </w:rPr>
              <w:t>基础设施规划符合性见表1-1。</w:t>
            </w:r>
          </w:p>
          <w:p w14:paraId="7966A23F">
            <w:pPr>
              <w:keepNext w:val="0"/>
              <w:keepLines w:val="0"/>
              <w:pageBreakBefore w:val="0"/>
              <w:kinsoku/>
              <w:wordWrap/>
              <w:overflowPunct/>
              <w:topLinePunct w:val="0"/>
              <w:bidi w:val="0"/>
              <w:adjustRightInd w:val="0"/>
              <w:snapToGrid w:val="0"/>
              <w:spacing w:beforeAutospacing="0" w:afterAutospacing="0"/>
              <w:ind w:left="0" w:leftChars="0" w:right="0" w:rightChars="0" w:firstLine="422"/>
              <w:jc w:val="center"/>
              <w:rPr>
                <w:rFonts w:hint="default" w:ascii="Times New Roman" w:hAnsi="Times New Roman" w:eastAsia="宋体" w:cs="Times New Roman"/>
                <w:b/>
                <w:color w:val="auto"/>
                <w:spacing w:val="0"/>
                <w:kern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表1-1 基础设施规划表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4"/>
              <w:gridCol w:w="3286"/>
              <w:gridCol w:w="2804"/>
            </w:tblGrid>
            <w:tr w14:paraId="0EC98D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1" w:type="pct"/>
                  <w:noWrap w:val="0"/>
                  <w:vAlign w:val="center"/>
                </w:tcPr>
                <w:p w14:paraId="136E5871">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pacing w:val="0"/>
                      <w:kern w:val="0"/>
                      <w:position w:val="0"/>
                      <w:sz w:val="21"/>
                      <w:szCs w:val="21"/>
                      <w:highlight w:val="none"/>
                    </w:rPr>
                  </w:pPr>
                  <w:r>
                    <w:rPr>
                      <w:rFonts w:hint="default" w:ascii="Times New Roman" w:hAnsi="Times New Roman" w:eastAsia="宋体" w:cs="Times New Roman"/>
                      <w:b w:val="0"/>
                      <w:bCs/>
                      <w:color w:val="auto"/>
                      <w:spacing w:val="0"/>
                      <w:kern w:val="0"/>
                      <w:position w:val="0"/>
                      <w:sz w:val="21"/>
                      <w:szCs w:val="21"/>
                      <w:highlight w:val="none"/>
                    </w:rPr>
                    <w:t>基础规划</w:t>
                  </w:r>
                </w:p>
              </w:tc>
              <w:tc>
                <w:tcPr>
                  <w:tcW w:w="2411" w:type="pct"/>
                  <w:noWrap w:val="0"/>
                  <w:vAlign w:val="center"/>
                </w:tcPr>
                <w:p w14:paraId="1AEEA68E">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pacing w:val="0"/>
                      <w:kern w:val="0"/>
                      <w:position w:val="0"/>
                      <w:sz w:val="21"/>
                      <w:szCs w:val="21"/>
                      <w:highlight w:val="none"/>
                    </w:rPr>
                  </w:pPr>
                  <w:r>
                    <w:rPr>
                      <w:rFonts w:hint="default" w:ascii="Times New Roman" w:hAnsi="Times New Roman" w:eastAsia="宋体" w:cs="Times New Roman"/>
                      <w:b w:val="0"/>
                      <w:bCs/>
                      <w:color w:val="auto"/>
                      <w:spacing w:val="0"/>
                      <w:kern w:val="0"/>
                      <w:position w:val="0"/>
                      <w:sz w:val="21"/>
                      <w:szCs w:val="21"/>
                      <w:highlight w:val="none"/>
                    </w:rPr>
                    <w:t>主要规划内容</w:t>
                  </w:r>
                </w:p>
              </w:tc>
              <w:tc>
                <w:tcPr>
                  <w:tcW w:w="2057" w:type="pct"/>
                  <w:noWrap w:val="0"/>
                  <w:vAlign w:val="center"/>
                </w:tcPr>
                <w:p w14:paraId="0E104424">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pacing w:val="0"/>
                      <w:kern w:val="0"/>
                      <w:position w:val="0"/>
                      <w:sz w:val="21"/>
                      <w:szCs w:val="21"/>
                      <w:highlight w:val="none"/>
                    </w:rPr>
                  </w:pPr>
                  <w:r>
                    <w:rPr>
                      <w:rFonts w:hint="default" w:ascii="Times New Roman" w:hAnsi="Times New Roman" w:eastAsia="宋体" w:cs="Times New Roman"/>
                      <w:b w:val="0"/>
                      <w:bCs/>
                      <w:color w:val="auto"/>
                      <w:spacing w:val="0"/>
                      <w:kern w:val="0"/>
                      <w:position w:val="0"/>
                      <w:sz w:val="21"/>
                      <w:szCs w:val="21"/>
                      <w:highlight w:val="none"/>
                    </w:rPr>
                    <w:t>本项目符合性分析</w:t>
                  </w:r>
                </w:p>
              </w:tc>
            </w:tr>
            <w:tr w14:paraId="7FF771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1" w:type="pct"/>
                  <w:noWrap w:val="0"/>
                  <w:vAlign w:val="center"/>
                </w:tcPr>
                <w:p w14:paraId="6DF9AB1E">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rPr>
                    <w:t>给水工程</w:t>
                  </w:r>
                </w:p>
              </w:tc>
              <w:tc>
                <w:tcPr>
                  <w:tcW w:w="2411" w:type="pct"/>
                  <w:noWrap w:val="0"/>
                  <w:vAlign w:val="center"/>
                </w:tcPr>
                <w:p w14:paraId="4623F09A">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rPr>
                    <w:t>对开发区内给水系统进行统一规划，使给水工程满足开发区建设和发展的需要。桦川县中心城区市政供水厂、再生水厂的供水规模可以满足开发区近期用水需要。</w:t>
                  </w:r>
                </w:p>
              </w:tc>
              <w:tc>
                <w:tcPr>
                  <w:tcW w:w="2057" w:type="pct"/>
                  <w:noWrap w:val="0"/>
                  <w:vAlign w:val="center"/>
                </w:tcPr>
                <w:p w14:paraId="3888BA60">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rPr>
                    <w:t>供水由城市供水管网供给，符合规划。</w:t>
                  </w:r>
                </w:p>
              </w:tc>
            </w:tr>
            <w:tr w14:paraId="29723A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1" w:type="pct"/>
                  <w:noWrap w:val="0"/>
                  <w:vAlign w:val="center"/>
                </w:tcPr>
                <w:p w14:paraId="38906B73">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rPr>
                    <w:t>排水工程</w:t>
                  </w:r>
                </w:p>
              </w:tc>
              <w:tc>
                <w:tcPr>
                  <w:tcW w:w="2411" w:type="pct"/>
                  <w:noWrap w:val="0"/>
                  <w:vAlign w:val="center"/>
                </w:tcPr>
                <w:p w14:paraId="3DABF6E7">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rPr>
                    <w:t>开发区内各企业的工业废水须自行处理，使之水质达到《污水综合排放标准》（GB8978-1996）规定的三级排放标准后，通过污水管道进入市政污水处理厂。预计到2025年前，使整个开发区污水管网覆盖所有企业污水管网全部覆盖，覆盖率达到100%。</w:t>
                  </w:r>
                </w:p>
              </w:tc>
              <w:tc>
                <w:tcPr>
                  <w:tcW w:w="2057" w:type="pct"/>
                  <w:noWrap w:val="0"/>
                  <w:vAlign w:val="center"/>
                </w:tcPr>
                <w:p w14:paraId="6922F82F">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lang w:val="en-US" w:eastAsia="zh-CN"/>
                    </w:rPr>
                  </w:pPr>
                  <w:r>
                    <w:rPr>
                      <w:rFonts w:hint="default" w:ascii="Times New Roman" w:hAnsi="Times New Roman" w:eastAsia="宋体" w:cs="Times New Roman"/>
                      <w:color w:val="auto"/>
                      <w:spacing w:val="0"/>
                      <w:kern w:val="0"/>
                      <w:position w:val="0"/>
                      <w:sz w:val="21"/>
                      <w:szCs w:val="21"/>
                      <w:highlight w:val="none"/>
                      <w:lang w:val="en-US" w:eastAsia="zh-CN"/>
                    </w:rPr>
                    <w:t>本项目</w:t>
                  </w:r>
                  <w:r>
                    <w:rPr>
                      <w:rFonts w:hint="default" w:ascii="Times New Roman" w:hAnsi="Times New Roman" w:cs="Times New Roman"/>
                      <w:color w:val="auto"/>
                      <w:spacing w:val="0"/>
                      <w:kern w:val="0"/>
                      <w:position w:val="0"/>
                      <w:sz w:val="21"/>
                      <w:szCs w:val="21"/>
                      <w:highlight w:val="none"/>
                      <w:lang w:val="en-US" w:eastAsia="zh-CN"/>
                    </w:rPr>
                    <w:t>浸出</w:t>
                  </w:r>
                  <w:r>
                    <w:rPr>
                      <w:rFonts w:hint="default" w:ascii="Times New Roman" w:hAnsi="Times New Roman" w:eastAsia="宋体" w:cs="Times New Roman"/>
                      <w:color w:val="auto"/>
                      <w:spacing w:val="0"/>
                      <w:kern w:val="0"/>
                      <w:position w:val="0"/>
                      <w:sz w:val="21"/>
                      <w:szCs w:val="21"/>
                      <w:highlight w:val="none"/>
                      <w:lang w:val="en-US" w:eastAsia="zh-CN"/>
                    </w:rPr>
                    <w:t>废水</w:t>
                  </w:r>
                  <w:r>
                    <w:rPr>
                      <w:rFonts w:hint="default" w:ascii="Times New Roman" w:hAnsi="Times New Roman" w:cs="Times New Roman"/>
                      <w:color w:val="auto"/>
                      <w:spacing w:val="0"/>
                      <w:kern w:val="0"/>
                      <w:position w:val="0"/>
                      <w:sz w:val="21"/>
                      <w:szCs w:val="21"/>
                      <w:highlight w:val="none"/>
                      <w:lang w:val="en-US" w:eastAsia="zh-CN"/>
                    </w:rPr>
                    <w:t>、精炼废水经自建污水处理站处理后水质可满足</w:t>
                  </w:r>
                  <w:r>
                    <w:rPr>
                      <w:rFonts w:hint="default" w:ascii="Times New Roman" w:hAnsi="Times New Roman" w:eastAsia="宋体" w:cs="Times New Roman"/>
                      <w:color w:val="auto"/>
                      <w:spacing w:val="0"/>
                      <w:kern w:val="0"/>
                      <w:position w:val="0"/>
                      <w:sz w:val="21"/>
                      <w:szCs w:val="21"/>
                      <w:highlight w:val="none"/>
                    </w:rPr>
                    <w:t>《食品加工制造业水污染物排放标准》（GB 46817-2025）表1中间接排放标准</w:t>
                  </w:r>
                  <w:r>
                    <w:rPr>
                      <w:rFonts w:hint="default" w:ascii="Times New Roman" w:hAnsi="Times New Roman" w:cs="Times New Roman"/>
                      <w:color w:val="auto"/>
                      <w:spacing w:val="0"/>
                      <w:kern w:val="0"/>
                      <w:position w:val="0"/>
                      <w:sz w:val="21"/>
                      <w:szCs w:val="21"/>
                      <w:highlight w:val="none"/>
                      <w:lang w:val="en-US" w:eastAsia="zh-CN"/>
                    </w:rPr>
                    <w:t>后</w:t>
                  </w:r>
                  <w:r>
                    <w:rPr>
                      <w:rFonts w:hint="default" w:ascii="Times New Roman" w:hAnsi="Times New Roman" w:eastAsia="宋体" w:cs="Times New Roman"/>
                      <w:color w:val="auto"/>
                      <w:spacing w:val="0"/>
                      <w:position w:val="0"/>
                      <w:sz w:val="21"/>
                      <w:szCs w:val="21"/>
                      <w:highlight w:val="none"/>
                    </w:rPr>
                    <w:t>直接</w:t>
                  </w:r>
                  <w:r>
                    <w:rPr>
                      <w:rFonts w:hint="default" w:ascii="Times New Roman" w:hAnsi="Times New Roman" w:cs="Times New Roman"/>
                      <w:color w:val="auto"/>
                      <w:spacing w:val="0"/>
                      <w:position w:val="0"/>
                      <w:sz w:val="21"/>
                      <w:szCs w:val="21"/>
                      <w:highlight w:val="none"/>
                      <w:lang w:val="en-US" w:eastAsia="zh-CN"/>
                    </w:rPr>
                    <w:t>通过市政管网</w:t>
                  </w:r>
                  <w:r>
                    <w:rPr>
                      <w:rFonts w:hint="default" w:ascii="Times New Roman" w:hAnsi="Times New Roman" w:eastAsia="宋体" w:cs="Times New Roman"/>
                      <w:color w:val="auto"/>
                      <w:spacing w:val="0"/>
                      <w:position w:val="0"/>
                      <w:sz w:val="21"/>
                      <w:szCs w:val="21"/>
                      <w:highlight w:val="none"/>
                    </w:rPr>
                    <w:t>排入</w:t>
                  </w:r>
                  <w:r>
                    <w:rPr>
                      <w:rFonts w:hint="default" w:ascii="Times New Roman" w:hAnsi="Times New Roman" w:cs="Times New Roman"/>
                      <w:color w:val="auto"/>
                      <w:spacing w:val="0"/>
                      <w:position w:val="0"/>
                      <w:sz w:val="21"/>
                      <w:szCs w:val="21"/>
                      <w:highlight w:val="none"/>
                      <w:lang w:eastAsia="zh-CN"/>
                    </w:rPr>
                    <w:t>桦川县污水处理厂</w:t>
                  </w:r>
                  <w:r>
                    <w:rPr>
                      <w:rFonts w:hint="default" w:ascii="Times New Roman" w:hAnsi="Times New Roman" w:eastAsia="宋体" w:cs="Times New Roman"/>
                      <w:color w:val="auto"/>
                      <w:spacing w:val="0"/>
                      <w:position w:val="0"/>
                      <w:sz w:val="21"/>
                      <w:szCs w:val="21"/>
                      <w:highlight w:val="none"/>
                    </w:rPr>
                    <w:t>进行处理，经处理后满足《城镇污水处理厂污染物排放标准》（GB18918-2002）一级A标准后排入松花江。</w:t>
                  </w:r>
                </w:p>
              </w:tc>
            </w:tr>
            <w:tr w14:paraId="1B427F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1" w:type="pct"/>
                  <w:noWrap w:val="0"/>
                  <w:vAlign w:val="center"/>
                </w:tcPr>
                <w:p w14:paraId="55F85969">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rPr>
                    <w:t>供热工程</w:t>
                  </w:r>
                </w:p>
              </w:tc>
              <w:tc>
                <w:tcPr>
                  <w:tcW w:w="2411" w:type="pct"/>
                  <w:noWrap w:val="0"/>
                  <w:vAlign w:val="center"/>
                </w:tcPr>
                <w:p w14:paraId="48E15E1A">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rPr>
                    <w:t>园区现状无集中供热设施。入区各企业使用自备锅炉自供生产用汽和采暖热能。在开发区规划建设一座热源厂，规划于2022年底建成并投入使用。开发区热源厂投产前，园区入区各企业仍使用自备锅炉自供生产用汽和采暖热能。待开发区热源厂投产后，入区企业采暖供热锅炉停用。本规划区不集中供应生产用蒸汽。用汽企业自建燃气锅炉或电锅炉、生物质锅炉。</w:t>
                  </w:r>
                </w:p>
              </w:tc>
              <w:tc>
                <w:tcPr>
                  <w:tcW w:w="2057" w:type="pct"/>
                  <w:noWrap w:val="0"/>
                  <w:vAlign w:val="center"/>
                </w:tcPr>
                <w:p w14:paraId="5DD7F9F6">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lang w:val="en-US" w:eastAsia="zh-CN"/>
                    </w:rPr>
                  </w:pPr>
                  <w:r>
                    <w:rPr>
                      <w:rFonts w:hint="default" w:ascii="Times New Roman" w:hAnsi="Times New Roman" w:eastAsia="宋体" w:cs="Times New Roman"/>
                      <w:color w:val="auto"/>
                      <w:spacing w:val="0"/>
                      <w:kern w:val="0"/>
                      <w:position w:val="0"/>
                      <w:sz w:val="21"/>
                      <w:szCs w:val="21"/>
                      <w:highlight w:val="none"/>
                      <w:lang w:val="en-US" w:eastAsia="zh-CN"/>
                    </w:rPr>
                    <w:t>本项目生产用</w:t>
                  </w:r>
                  <w:r>
                    <w:rPr>
                      <w:rFonts w:hint="default" w:ascii="Times New Roman" w:hAnsi="Times New Roman" w:cs="Times New Roman"/>
                      <w:color w:val="auto"/>
                      <w:spacing w:val="0"/>
                      <w:kern w:val="0"/>
                      <w:position w:val="0"/>
                      <w:sz w:val="21"/>
                      <w:szCs w:val="21"/>
                      <w:highlight w:val="none"/>
                      <w:lang w:val="en-US" w:eastAsia="zh-CN"/>
                    </w:rPr>
                    <w:t>热</w:t>
                  </w:r>
                  <w:r>
                    <w:rPr>
                      <w:rFonts w:hint="default" w:ascii="Times New Roman" w:hAnsi="Times New Roman" w:eastAsia="宋体" w:cs="Times New Roman"/>
                      <w:color w:val="auto"/>
                      <w:spacing w:val="0"/>
                      <w:kern w:val="0"/>
                      <w:position w:val="0"/>
                      <w:sz w:val="21"/>
                      <w:szCs w:val="21"/>
                      <w:highlight w:val="none"/>
                      <w:lang w:val="en-US" w:eastAsia="zh-CN"/>
                    </w:rPr>
                    <w:t>由自建1台15t/h的生物质蒸汽锅炉提供。</w:t>
                  </w:r>
                </w:p>
              </w:tc>
            </w:tr>
            <w:tr w14:paraId="16EB4A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1" w:type="pct"/>
                  <w:noWrap w:val="0"/>
                  <w:vAlign w:val="center"/>
                </w:tcPr>
                <w:p w14:paraId="25DCAF42">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rPr>
                    <w:t>供电</w:t>
                  </w:r>
                </w:p>
                <w:p w14:paraId="7E379098">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rPr>
                    <w:t>工程</w:t>
                  </w:r>
                </w:p>
              </w:tc>
              <w:tc>
                <w:tcPr>
                  <w:tcW w:w="2411" w:type="pct"/>
                  <w:noWrap w:val="0"/>
                  <w:vAlign w:val="center"/>
                </w:tcPr>
                <w:p w14:paraId="6FB2C559">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rPr>
                    <w:t>桦川县中心城区的电源由佳东变电所经110kV架空线路引入。主要供电变电所两座，距开发区变电所4公里，这两座变电所分别为：悦西110kV变电所，总容量40MVA；悦东110kV变电所，总容量31.5MV。为满足规划区发展和用电需要，拟对主城区现有悦东110kV变电所进行增容，使之主变总容量增至200MVA，电压等级为110kV/10kV。</w:t>
                  </w:r>
                </w:p>
              </w:tc>
              <w:tc>
                <w:tcPr>
                  <w:tcW w:w="2057" w:type="pct"/>
                  <w:noWrap w:val="0"/>
                  <w:vAlign w:val="center"/>
                </w:tcPr>
                <w:p w14:paraId="739E5B7D">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rPr>
                    <w:t>本工程用电</w:t>
                  </w:r>
                  <w:r>
                    <w:rPr>
                      <w:rFonts w:hint="default" w:ascii="Times New Roman" w:hAnsi="Times New Roman" w:cs="Times New Roman"/>
                      <w:color w:val="auto"/>
                      <w:spacing w:val="0"/>
                      <w:kern w:val="0"/>
                      <w:position w:val="0"/>
                      <w:sz w:val="21"/>
                      <w:szCs w:val="21"/>
                      <w:highlight w:val="none"/>
                      <w:lang w:eastAsia="zh-CN"/>
                    </w:rPr>
                    <w:t>由</w:t>
                  </w:r>
                  <w:r>
                    <w:rPr>
                      <w:rFonts w:hint="default" w:ascii="Times New Roman" w:hAnsi="Times New Roman" w:eastAsia="宋体" w:cs="Times New Roman"/>
                      <w:color w:val="auto"/>
                      <w:spacing w:val="0"/>
                      <w:kern w:val="0"/>
                      <w:position w:val="0"/>
                      <w:sz w:val="21"/>
                      <w:szCs w:val="21"/>
                      <w:highlight w:val="none"/>
                      <w:lang w:val="en-US" w:eastAsia="zh-CN"/>
                    </w:rPr>
                    <w:t>市政供电</w:t>
                  </w:r>
                  <w:r>
                    <w:rPr>
                      <w:rFonts w:hint="default" w:ascii="Times New Roman" w:hAnsi="Times New Roman" w:eastAsia="宋体" w:cs="Times New Roman"/>
                      <w:color w:val="auto"/>
                      <w:spacing w:val="0"/>
                      <w:kern w:val="0"/>
                      <w:position w:val="0"/>
                      <w:sz w:val="21"/>
                      <w:szCs w:val="21"/>
                      <w:highlight w:val="none"/>
                    </w:rPr>
                    <w:t>，符合规划。</w:t>
                  </w:r>
                </w:p>
              </w:tc>
            </w:tr>
          </w:tbl>
          <w:p w14:paraId="462FA251">
            <w:pPr>
              <w:keepNext w:val="0"/>
              <w:keepLines w:val="0"/>
              <w:pageBreakBefore w:val="0"/>
              <w:kinsoku/>
              <w:wordWrap/>
              <w:overflowPunct/>
              <w:topLinePunct w:val="0"/>
              <w:autoSpaceDE w:val="0"/>
              <w:autoSpaceDN w:val="0"/>
              <w:bidi w:val="0"/>
              <w:adjustRightInd w:val="0"/>
              <w:snapToGrid w:val="0"/>
              <w:spacing w:beforeAutospacing="0" w:afterAutospacing="0" w:line="360" w:lineRule="auto"/>
              <w:ind w:left="0" w:leftChars="0" w:right="0" w:rightChars="0"/>
              <w:jc w:val="left"/>
              <w:rPr>
                <w:rFonts w:hint="default" w:ascii="Times New Roman" w:hAnsi="Times New Roman" w:eastAsia="宋体" w:cs="Times New Roman"/>
                <w:b/>
                <w:color w:val="auto"/>
                <w:spacing w:val="0"/>
                <w:kern w:val="0"/>
                <w:position w:val="0"/>
                <w:sz w:val="24"/>
                <w:szCs w:val="24"/>
                <w:highlight w:val="none"/>
              </w:rPr>
            </w:pPr>
            <w:r>
              <w:rPr>
                <w:rFonts w:hint="default" w:ascii="Times New Roman" w:hAnsi="Times New Roman" w:eastAsia="宋体" w:cs="Times New Roman"/>
                <w:b/>
                <w:color w:val="auto"/>
                <w:spacing w:val="0"/>
                <w:kern w:val="0"/>
                <w:position w:val="0"/>
                <w:sz w:val="24"/>
                <w:szCs w:val="24"/>
                <w:highlight w:val="none"/>
              </w:rPr>
              <w:t>二、《黑龙江桦川经济开发区控制性详细规划修编（2021-2030）环境影响报告书》符合性分析</w:t>
            </w:r>
          </w:p>
          <w:p w14:paraId="54886493">
            <w:pPr>
              <w:keepNext w:val="0"/>
              <w:keepLines w:val="0"/>
              <w:pageBreakBefore w:val="0"/>
              <w:kinsoku/>
              <w:wordWrap/>
              <w:overflowPunct/>
              <w:topLinePunct w:val="0"/>
              <w:autoSpaceDE w:val="0"/>
              <w:autoSpaceDN w:val="0"/>
              <w:bidi w:val="0"/>
              <w:adjustRightInd w:val="0"/>
              <w:snapToGrid w:val="0"/>
              <w:spacing w:beforeAutospacing="0" w:afterAutospacing="0" w:line="360" w:lineRule="auto"/>
              <w:ind w:left="0" w:leftChars="0" w:right="0" w:rightChars="0" w:firstLine="480" w:firstLineChars="200"/>
              <w:jc w:val="left"/>
              <w:rPr>
                <w:rFonts w:hint="default" w:ascii="Times New Roman" w:hAnsi="Times New Roman" w:eastAsia="宋体" w:cs="Times New Roman"/>
                <w:color w:val="auto"/>
                <w:spacing w:val="0"/>
                <w:kern w:val="0"/>
                <w:position w:val="0"/>
                <w:sz w:val="24"/>
                <w:szCs w:val="24"/>
                <w:highlight w:val="none"/>
              </w:rPr>
            </w:pPr>
            <w:r>
              <w:rPr>
                <w:rFonts w:hint="default" w:ascii="Times New Roman" w:hAnsi="Times New Roman" w:eastAsia="宋体" w:cs="Times New Roman"/>
                <w:color w:val="auto"/>
                <w:spacing w:val="0"/>
                <w:kern w:val="0"/>
                <w:position w:val="0"/>
                <w:sz w:val="24"/>
                <w:szCs w:val="24"/>
                <w:highlight w:val="none"/>
              </w:rPr>
              <w:t>1、环境准入条件</w:t>
            </w:r>
          </w:p>
          <w:p w14:paraId="6240D080">
            <w:pPr>
              <w:keepNext w:val="0"/>
              <w:keepLines w:val="0"/>
              <w:pageBreakBefore w:val="0"/>
              <w:kinsoku/>
              <w:wordWrap/>
              <w:overflowPunct/>
              <w:topLinePunct w:val="0"/>
              <w:autoSpaceDE w:val="0"/>
              <w:autoSpaceDN w:val="0"/>
              <w:bidi w:val="0"/>
              <w:adjustRightInd w:val="0"/>
              <w:snapToGrid w:val="0"/>
              <w:spacing w:beforeAutospacing="0" w:afterAutospacing="0" w:line="360" w:lineRule="auto"/>
              <w:ind w:left="0" w:leftChars="0" w:right="0" w:rightChars="0" w:firstLine="480" w:firstLineChars="200"/>
              <w:jc w:val="left"/>
              <w:rPr>
                <w:rFonts w:hint="default" w:ascii="Times New Roman" w:hAnsi="Times New Roman" w:eastAsia="宋体" w:cs="Times New Roman"/>
                <w:color w:val="auto"/>
                <w:spacing w:val="0"/>
                <w:kern w:val="0"/>
                <w:position w:val="0"/>
                <w:sz w:val="24"/>
                <w:szCs w:val="24"/>
                <w:highlight w:val="none"/>
              </w:rPr>
            </w:pPr>
            <w:r>
              <w:rPr>
                <w:rFonts w:hint="default" w:ascii="Times New Roman" w:hAnsi="Times New Roman" w:eastAsia="宋体" w:cs="Times New Roman"/>
                <w:color w:val="auto"/>
                <w:spacing w:val="0"/>
                <w:kern w:val="0"/>
                <w:position w:val="0"/>
                <w:sz w:val="24"/>
                <w:szCs w:val="24"/>
                <w:highlight w:val="none"/>
              </w:rPr>
              <w:t>黑龙江桦川经济开发区环境准入基本条件符合性分析见表1-2，规划主导产业准入条件见表1-</w:t>
            </w:r>
            <w:r>
              <w:rPr>
                <w:rFonts w:hint="default" w:ascii="Times New Roman" w:hAnsi="Times New Roman" w:eastAsia="宋体" w:cs="Times New Roman"/>
                <w:color w:val="auto"/>
                <w:spacing w:val="0"/>
                <w:kern w:val="0"/>
                <w:position w:val="0"/>
                <w:sz w:val="24"/>
                <w:szCs w:val="24"/>
                <w:highlight w:val="none"/>
                <w:lang w:val="en-US" w:eastAsia="zh-CN"/>
              </w:rPr>
              <w:t>2</w:t>
            </w:r>
            <w:r>
              <w:rPr>
                <w:rFonts w:hint="default" w:ascii="Times New Roman" w:hAnsi="Times New Roman" w:eastAsia="宋体" w:cs="Times New Roman"/>
                <w:color w:val="auto"/>
                <w:spacing w:val="0"/>
                <w:kern w:val="0"/>
                <w:position w:val="0"/>
                <w:sz w:val="24"/>
                <w:szCs w:val="24"/>
                <w:highlight w:val="none"/>
              </w:rPr>
              <w:t>。</w:t>
            </w:r>
          </w:p>
          <w:p w14:paraId="14EF009F">
            <w:pPr>
              <w:keepNext w:val="0"/>
              <w:keepLines w:val="0"/>
              <w:pageBreakBefore w:val="0"/>
              <w:widowControl w:val="0"/>
              <w:kinsoku/>
              <w:wordWrap/>
              <w:overflowPunct/>
              <w:topLinePunct w:val="0"/>
              <w:autoSpaceDE/>
              <w:autoSpaceDN/>
              <w:bidi w:val="0"/>
              <w:adjustRightInd w:val="0"/>
              <w:snapToGrid w:val="0"/>
              <w:spacing w:beforeAutospacing="0" w:afterAutospacing="0"/>
              <w:ind w:left="0" w:leftChars="0" w:right="0" w:rightChars="0" w:firstLine="0"/>
              <w:jc w:val="center"/>
              <w:textAlignment w:val="auto"/>
              <w:rPr>
                <w:rFonts w:hint="default" w:ascii="Times New Roman" w:hAnsi="Times New Roman" w:eastAsia="宋体" w:cs="Times New Roman"/>
                <w:b/>
                <w:bCs/>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表1-2 黑龙江桦川经济开发区环境准入基本条件符合性分析表</w:t>
            </w:r>
          </w:p>
          <w:tbl>
            <w:tblPr>
              <w:tblStyle w:val="29"/>
              <w:tblW w:w="68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7"/>
              <w:gridCol w:w="3190"/>
              <w:gridCol w:w="2851"/>
            </w:tblGrid>
            <w:tr w14:paraId="6372C6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7" w:type="dxa"/>
                  <w:noWrap w:val="0"/>
                  <w:vAlign w:val="center"/>
                </w:tcPr>
                <w:p w14:paraId="03B034D4">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pacing w:val="0"/>
                      <w:position w:val="0"/>
                      <w:sz w:val="21"/>
                      <w:szCs w:val="21"/>
                      <w:highlight w:val="none"/>
                    </w:rPr>
                  </w:pPr>
                  <w:r>
                    <w:rPr>
                      <w:rFonts w:hint="default" w:ascii="Times New Roman" w:hAnsi="Times New Roman" w:eastAsia="宋体" w:cs="Times New Roman"/>
                      <w:b w:val="0"/>
                      <w:bCs/>
                      <w:color w:val="auto"/>
                      <w:spacing w:val="0"/>
                      <w:position w:val="0"/>
                      <w:sz w:val="21"/>
                      <w:szCs w:val="21"/>
                      <w:highlight w:val="none"/>
                    </w:rPr>
                    <w:t>类别</w:t>
                  </w:r>
                </w:p>
              </w:tc>
              <w:tc>
                <w:tcPr>
                  <w:tcW w:w="3190" w:type="dxa"/>
                  <w:noWrap w:val="0"/>
                  <w:vAlign w:val="center"/>
                </w:tcPr>
                <w:p w14:paraId="3EF68829">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pacing w:val="0"/>
                      <w:position w:val="0"/>
                      <w:sz w:val="21"/>
                      <w:szCs w:val="21"/>
                      <w:highlight w:val="none"/>
                    </w:rPr>
                  </w:pPr>
                  <w:r>
                    <w:rPr>
                      <w:rFonts w:hint="default" w:ascii="Times New Roman" w:hAnsi="Times New Roman" w:eastAsia="宋体" w:cs="Times New Roman"/>
                      <w:b w:val="0"/>
                      <w:bCs/>
                      <w:color w:val="auto"/>
                      <w:spacing w:val="0"/>
                      <w:position w:val="0"/>
                      <w:sz w:val="21"/>
                      <w:szCs w:val="21"/>
                      <w:highlight w:val="none"/>
                    </w:rPr>
                    <w:t>环境准入条件</w:t>
                  </w:r>
                </w:p>
              </w:tc>
              <w:tc>
                <w:tcPr>
                  <w:tcW w:w="2851" w:type="dxa"/>
                  <w:noWrap w:val="0"/>
                  <w:vAlign w:val="center"/>
                </w:tcPr>
                <w:p w14:paraId="1FAC0BE3">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pacing w:val="0"/>
                      <w:position w:val="0"/>
                      <w:sz w:val="21"/>
                      <w:szCs w:val="21"/>
                      <w:highlight w:val="none"/>
                    </w:rPr>
                  </w:pPr>
                  <w:r>
                    <w:rPr>
                      <w:rFonts w:hint="default" w:ascii="Times New Roman" w:hAnsi="Times New Roman" w:eastAsia="宋体" w:cs="Times New Roman"/>
                      <w:b w:val="0"/>
                      <w:bCs/>
                      <w:color w:val="auto"/>
                      <w:spacing w:val="0"/>
                      <w:position w:val="0"/>
                      <w:sz w:val="21"/>
                      <w:szCs w:val="21"/>
                      <w:highlight w:val="none"/>
                    </w:rPr>
                    <w:t>符合性分析</w:t>
                  </w:r>
                </w:p>
              </w:tc>
            </w:tr>
            <w:tr w14:paraId="4BCC52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7" w:type="dxa"/>
                  <w:noWrap w:val="0"/>
                  <w:vAlign w:val="center"/>
                </w:tcPr>
                <w:p w14:paraId="57202F73">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产业</w:t>
                  </w:r>
                </w:p>
                <w:p w14:paraId="32B90F2E">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导向</w:t>
                  </w:r>
                </w:p>
              </w:tc>
              <w:tc>
                <w:tcPr>
                  <w:tcW w:w="3190" w:type="dxa"/>
                  <w:noWrap w:val="0"/>
                  <w:vAlign w:val="center"/>
                </w:tcPr>
                <w:p w14:paraId="6BE21A31">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1、符合国家及地方产业政策，包括《产业结构调整指导目录》、《外商投资产业指导目录》等。2、符合所属行业有关发展规划。3、符合黑龙江桦川经济开发区总体规划产业导向及规划环评的产业准入</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负面清单</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w:t>
                  </w:r>
                </w:p>
              </w:tc>
              <w:tc>
                <w:tcPr>
                  <w:tcW w:w="2851" w:type="dxa"/>
                  <w:noWrap w:val="0"/>
                  <w:vAlign w:val="center"/>
                </w:tcPr>
                <w:p w14:paraId="40A34437">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项目符合《产业结构调整指导目录</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20</w:t>
                  </w:r>
                  <w:r>
                    <w:rPr>
                      <w:rFonts w:hint="default" w:ascii="Times New Roman" w:hAnsi="Times New Roman" w:eastAsia="宋体" w:cs="Times New Roman"/>
                      <w:color w:val="auto"/>
                      <w:spacing w:val="0"/>
                      <w:position w:val="0"/>
                      <w:sz w:val="21"/>
                      <w:szCs w:val="21"/>
                      <w:highlight w:val="none"/>
                      <w:lang w:val="en-US" w:eastAsia="zh-CN"/>
                    </w:rPr>
                    <w:t>24</w:t>
                  </w:r>
                  <w:r>
                    <w:rPr>
                      <w:rFonts w:hint="default" w:ascii="Times New Roman" w:hAnsi="Times New Roman" w:eastAsia="宋体" w:cs="Times New Roman"/>
                      <w:color w:val="auto"/>
                      <w:spacing w:val="0"/>
                      <w:position w:val="0"/>
                      <w:sz w:val="21"/>
                      <w:szCs w:val="21"/>
                      <w:highlight w:val="none"/>
                    </w:rPr>
                    <w:t>年本</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》。符合园区功能定位及产业准入</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负面清单</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的要求。</w:t>
                  </w:r>
                </w:p>
              </w:tc>
            </w:tr>
            <w:tr w14:paraId="635541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7" w:type="dxa"/>
                  <w:noWrap w:val="0"/>
                  <w:vAlign w:val="center"/>
                </w:tcPr>
                <w:p w14:paraId="3FC3FD50">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规划</w:t>
                  </w:r>
                </w:p>
                <w:p w14:paraId="769355C6">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选址</w:t>
                  </w:r>
                </w:p>
              </w:tc>
              <w:tc>
                <w:tcPr>
                  <w:tcW w:w="3190" w:type="dxa"/>
                  <w:noWrap w:val="0"/>
                  <w:vAlign w:val="center"/>
                </w:tcPr>
                <w:p w14:paraId="690C037E">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1、选址符合主体功能区划、生态红线管控要求；2、选址符合桦川县土地利用总体规划要求；3、选址符合桦川县环境功能区划；4、选址符合黑龙江桦川经济开发区总体规划。</w:t>
                  </w:r>
                </w:p>
              </w:tc>
              <w:tc>
                <w:tcPr>
                  <w:tcW w:w="2851" w:type="dxa"/>
                  <w:noWrap w:val="0"/>
                  <w:vAlign w:val="center"/>
                </w:tcPr>
                <w:p w14:paraId="52288F57">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项目选址符合主体功能区划、生态红线管控要求；符合桦川县土地利用总体规划要求；符合桦川县环境功能区划；符合黑龙江桦川经济开发区总体规划。</w:t>
                  </w:r>
                </w:p>
              </w:tc>
            </w:tr>
            <w:tr w14:paraId="7C1F76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7" w:type="dxa"/>
                  <w:noWrap w:val="0"/>
                  <w:vAlign w:val="center"/>
                </w:tcPr>
                <w:p w14:paraId="227C6697">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清洁</w:t>
                  </w:r>
                </w:p>
                <w:p w14:paraId="78C3DB2D">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生产</w:t>
                  </w:r>
                </w:p>
              </w:tc>
              <w:tc>
                <w:tcPr>
                  <w:tcW w:w="3190" w:type="dxa"/>
                  <w:noWrap w:val="0"/>
                  <w:vAlign w:val="center"/>
                </w:tcPr>
                <w:p w14:paraId="1544563F">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入区项目生产工艺、装备技术水平等应达到国内同行业领先水平；水耗、能耗指标应设定在清洁生产一级水平（国际先进水平）或二级水平（国内先进水平）。</w:t>
                  </w:r>
                </w:p>
              </w:tc>
              <w:tc>
                <w:tcPr>
                  <w:tcW w:w="2851" w:type="dxa"/>
                  <w:noWrap w:val="0"/>
                  <w:vAlign w:val="center"/>
                </w:tcPr>
                <w:p w14:paraId="38D319CE">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项目清洁生产水平为国内先进水平，项目符合清洁生产要求。</w:t>
                  </w:r>
                </w:p>
              </w:tc>
            </w:tr>
            <w:tr w14:paraId="057F55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7" w:type="dxa"/>
                  <w:noWrap w:val="0"/>
                  <w:vAlign w:val="center"/>
                </w:tcPr>
                <w:p w14:paraId="5B4F648B">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环境</w:t>
                  </w:r>
                </w:p>
                <w:p w14:paraId="11A3F603">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保护</w:t>
                  </w:r>
                </w:p>
              </w:tc>
              <w:tc>
                <w:tcPr>
                  <w:tcW w:w="3190" w:type="dxa"/>
                  <w:noWrap w:val="0"/>
                  <w:vAlign w:val="center"/>
                </w:tcPr>
                <w:p w14:paraId="0C10871B">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1、符合行业环境准入要求。</w:t>
                  </w:r>
                </w:p>
                <w:p w14:paraId="630E7702">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2、项目建设拟排放污染物符合国家、省规定的污染物排放标准。</w:t>
                  </w:r>
                </w:p>
                <w:p w14:paraId="122C41B0">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3、建设项目新增主要污染物排放应满足《国务院办公厅关于印发控制污染物排放许可制实施方案的通知》（国办发</w:t>
                  </w:r>
                  <w:r>
                    <w:rPr>
                      <w:rFonts w:hint="default" w:ascii="Times New Roman" w:hAnsi="Times New Roman" w:cs="Times New Roman"/>
                      <w:color w:val="auto"/>
                      <w:spacing w:val="0"/>
                      <w:position w:val="0"/>
                      <w:sz w:val="21"/>
                      <w:szCs w:val="21"/>
                      <w:highlight w:val="none"/>
                      <w:lang w:eastAsia="zh-CN"/>
                    </w:rPr>
                    <w:t>〔2016〕81号</w:t>
                  </w:r>
                  <w:r>
                    <w:rPr>
                      <w:rFonts w:hint="default" w:ascii="Times New Roman" w:hAnsi="Times New Roman" w:eastAsia="宋体" w:cs="Times New Roman"/>
                      <w:color w:val="auto"/>
                      <w:spacing w:val="0"/>
                      <w:position w:val="0"/>
                      <w:sz w:val="21"/>
                      <w:szCs w:val="21"/>
                      <w:highlight w:val="none"/>
                    </w:rPr>
                    <w:t>）、环保部《关于印发&lt;排污许可证管理暂行规定&gt;的通知》（环水体</w:t>
                  </w:r>
                  <w:r>
                    <w:rPr>
                      <w:rFonts w:hint="default" w:ascii="Times New Roman" w:hAnsi="Times New Roman" w:cs="Times New Roman"/>
                      <w:color w:val="auto"/>
                      <w:spacing w:val="0"/>
                      <w:position w:val="0"/>
                      <w:sz w:val="21"/>
                      <w:szCs w:val="21"/>
                      <w:highlight w:val="none"/>
                      <w:lang w:eastAsia="zh-CN"/>
                    </w:rPr>
                    <w:t>〔2016〕186号</w:t>
                  </w:r>
                  <w:r>
                    <w:rPr>
                      <w:rFonts w:hint="default" w:ascii="Times New Roman" w:hAnsi="Times New Roman" w:eastAsia="宋体" w:cs="Times New Roman"/>
                      <w:color w:val="auto"/>
                      <w:spacing w:val="0"/>
                      <w:position w:val="0"/>
                      <w:sz w:val="21"/>
                      <w:szCs w:val="21"/>
                      <w:highlight w:val="none"/>
                    </w:rPr>
                    <w:t>）的相关要求。</w:t>
                  </w:r>
                </w:p>
                <w:p w14:paraId="7632CC62">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4、废水集中纳管排放。</w:t>
                  </w:r>
                </w:p>
                <w:p w14:paraId="6C2D82FF">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5、实施技改项目的企业近三年未发生重大污染事故，未发生因环境污染引起的群体性事件。</w:t>
                  </w:r>
                </w:p>
              </w:tc>
              <w:tc>
                <w:tcPr>
                  <w:tcW w:w="2851" w:type="dxa"/>
                  <w:noWrap w:val="0"/>
                  <w:vAlign w:val="center"/>
                </w:tcPr>
                <w:p w14:paraId="0B9D7549">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项目符合行业环境准入要求；排放的污染物处理后达标排放；项目符合环境保护要求。</w:t>
                  </w:r>
                </w:p>
              </w:tc>
            </w:tr>
          </w:tbl>
          <w:p w14:paraId="5B07F514">
            <w:pPr>
              <w:keepNext w:val="0"/>
              <w:keepLines w:val="0"/>
              <w:pageBreakBefore w:val="0"/>
              <w:kinsoku/>
              <w:wordWrap/>
              <w:overflowPunct/>
              <w:topLinePunct w:val="0"/>
              <w:bidi w:val="0"/>
              <w:adjustRightInd w:val="0"/>
              <w:snapToGrid w:val="0"/>
              <w:spacing w:beforeAutospacing="0" w:afterAutospacing="0"/>
              <w:ind w:left="0" w:leftChars="0" w:right="0" w:rightChars="0" w:firstLine="422"/>
              <w:jc w:val="center"/>
              <w:rPr>
                <w:rFonts w:hint="default" w:ascii="Times New Roman" w:hAnsi="Times New Roman" w:eastAsia="宋体" w:cs="Times New Roman"/>
                <w:b/>
                <w:bCs/>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表1-3 规划主导产业准入条件符合性分析表</w:t>
            </w:r>
          </w:p>
          <w:tbl>
            <w:tblPr>
              <w:tblStyle w:val="29"/>
              <w:tblW w:w="679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9"/>
              <w:gridCol w:w="857"/>
              <w:gridCol w:w="3838"/>
              <w:gridCol w:w="1338"/>
            </w:tblGrid>
            <w:tr w14:paraId="6CDFCB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759" w:type="dxa"/>
                  <w:noWrap w:val="0"/>
                  <w:vAlign w:val="center"/>
                </w:tcPr>
                <w:p w14:paraId="4F873AE4">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pacing w:val="0"/>
                      <w:position w:val="0"/>
                      <w:sz w:val="21"/>
                      <w:szCs w:val="21"/>
                      <w:highlight w:val="none"/>
                    </w:rPr>
                  </w:pPr>
                  <w:r>
                    <w:rPr>
                      <w:rFonts w:hint="default" w:ascii="Times New Roman" w:hAnsi="Times New Roman" w:eastAsia="宋体" w:cs="Times New Roman"/>
                      <w:b w:val="0"/>
                      <w:bCs/>
                      <w:color w:val="auto"/>
                      <w:spacing w:val="0"/>
                      <w:position w:val="0"/>
                      <w:sz w:val="21"/>
                      <w:szCs w:val="21"/>
                      <w:highlight w:val="none"/>
                    </w:rPr>
                    <w:t>类别</w:t>
                  </w:r>
                </w:p>
              </w:tc>
              <w:tc>
                <w:tcPr>
                  <w:tcW w:w="4695" w:type="dxa"/>
                  <w:gridSpan w:val="2"/>
                  <w:noWrap w:val="0"/>
                  <w:vAlign w:val="center"/>
                </w:tcPr>
                <w:p w14:paraId="73394D1F">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pacing w:val="0"/>
                      <w:position w:val="0"/>
                      <w:sz w:val="21"/>
                      <w:szCs w:val="21"/>
                      <w:highlight w:val="none"/>
                    </w:rPr>
                  </w:pPr>
                  <w:r>
                    <w:rPr>
                      <w:rFonts w:hint="default" w:ascii="Times New Roman" w:hAnsi="Times New Roman" w:eastAsia="宋体" w:cs="Times New Roman"/>
                      <w:b w:val="0"/>
                      <w:bCs/>
                      <w:color w:val="auto"/>
                      <w:spacing w:val="0"/>
                      <w:position w:val="0"/>
                      <w:sz w:val="21"/>
                      <w:szCs w:val="21"/>
                      <w:highlight w:val="none"/>
                    </w:rPr>
                    <w:t>产业及项目准入管控要求</w:t>
                  </w:r>
                </w:p>
              </w:tc>
              <w:tc>
                <w:tcPr>
                  <w:tcW w:w="1338" w:type="dxa"/>
                  <w:noWrap w:val="0"/>
                  <w:vAlign w:val="center"/>
                </w:tcPr>
                <w:p w14:paraId="5771D56D">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pacing w:val="0"/>
                      <w:position w:val="0"/>
                      <w:sz w:val="21"/>
                      <w:szCs w:val="21"/>
                      <w:highlight w:val="none"/>
                    </w:rPr>
                  </w:pPr>
                  <w:r>
                    <w:rPr>
                      <w:rFonts w:hint="default" w:ascii="Times New Roman" w:hAnsi="Times New Roman" w:eastAsia="宋体" w:cs="Times New Roman"/>
                      <w:b w:val="0"/>
                      <w:bCs/>
                      <w:color w:val="auto"/>
                      <w:spacing w:val="0"/>
                      <w:position w:val="0"/>
                      <w:sz w:val="21"/>
                      <w:szCs w:val="21"/>
                      <w:highlight w:val="none"/>
                    </w:rPr>
                    <w:t>符合性分析</w:t>
                  </w:r>
                </w:p>
              </w:tc>
            </w:tr>
            <w:tr w14:paraId="02B108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759" w:type="dxa"/>
                  <w:vMerge w:val="restart"/>
                  <w:noWrap w:val="0"/>
                  <w:vAlign w:val="center"/>
                </w:tcPr>
                <w:p w14:paraId="6F0BA56A">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农副食品加工区</w:t>
                  </w:r>
                </w:p>
              </w:tc>
              <w:tc>
                <w:tcPr>
                  <w:tcW w:w="857" w:type="dxa"/>
                  <w:noWrap w:val="0"/>
                  <w:vAlign w:val="center"/>
                </w:tcPr>
                <w:p w14:paraId="7B3A8047">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限制类</w:t>
                  </w:r>
                </w:p>
              </w:tc>
              <w:tc>
                <w:tcPr>
                  <w:tcW w:w="3838" w:type="dxa"/>
                  <w:noWrap w:val="0"/>
                  <w:vAlign w:val="center"/>
                </w:tcPr>
                <w:p w14:paraId="651C7EC4">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以珍贵野生动植物为原料加工项目；不允许使用高毒、高残留农药的食品加工项目；严格限制使用液氨等物质</w:t>
                  </w:r>
                  <w:r>
                    <w:rPr>
                      <w:rFonts w:hint="default" w:ascii="Times New Roman" w:hAnsi="Times New Roman" w:cs="Times New Roman"/>
                      <w:color w:val="auto"/>
                      <w:spacing w:val="0"/>
                      <w:position w:val="0"/>
                      <w:sz w:val="21"/>
                      <w:szCs w:val="21"/>
                      <w:highlight w:val="none"/>
                      <w:lang w:eastAsia="zh-CN"/>
                    </w:rPr>
                    <w:t>作为</w:t>
                  </w:r>
                  <w:r>
                    <w:rPr>
                      <w:rFonts w:hint="default" w:ascii="Times New Roman" w:hAnsi="Times New Roman" w:eastAsia="宋体" w:cs="Times New Roman"/>
                      <w:color w:val="auto"/>
                      <w:spacing w:val="0"/>
                      <w:position w:val="0"/>
                      <w:sz w:val="21"/>
                      <w:szCs w:val="21"/>
                      <w:highlight w:val="none"/>
                    </w:rPr>
                    <w:t>制冷剂的农副产品加工企业</w:t>
                  </w:r>
                </w:p>
              </w:tc>
              <w:tc>
                <w:tcPr>
                  <w:tcW w:w="1338" w:type="dxa"/>
                  <w:noWrap w:val="0"/>
                  <w:vAlign w:val="center"/>
                </w:tcPr>
                <w:p w14:paraId="7FE1457D">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符合</w:t>
                  </w:r>
                </w:p>
              </w:tc>
            </w:tr>
            <w:tr w14:paraId="0EB444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9" w:hRule="atLeast"/>
                <w:jc w:val="center"/>
              </w:trPr>
              <w:tc>
                <w:tcPr>
                  <w:tcW w:w="759" w:type="dxa"/>
                  <w:vMerge w:val="continue"/>
                  <w:noWrap w:val="0"/>
                  <w:vAlign w:val="center"/>
                </w:tcPr>
                <w:p w14:paraId="15EBB5DB">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p>
              </w:tc>
              <w:tc>
                <w:tcPr>
                  <w:tcW w:w="857" w:type="dxa"/>
                  <w:noWrap w:val="0"/>
                  <w:vAlign w:val="center"/>
                </w:tcPr>
                <w:p w14:paraId="56F1B2B9">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禁止类</w:t>
                  </w:r>
                </w:p>
              </w:tc>
              <w:tc>
                <w:tcPr>
                  <w:tcW w:w="3838" w:type="dxa"/>
                  <w:noWrap w:val="0"/>
                  <w:vAlign w:val="center"/>
                </w:tcPr>
                <w:p w14:paraId="0DC5294F">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禁止包括畜禽养殖在内的农副产品加工；禁止对病死农副动物进行加工；禁止新建以野外资源为原料的珍贵濒危野生动植物加工项目</w:t>
                  </w:r>
                </w:p>
              </w:tc>
              <w:tc>
                <w:tcPr>
                  <w:tcW w:w="1338" w:type="dxa"/>
                  <w:noWrap w:val="0"/>
                  <w:vAlign w:val="center"/>
                </w:tcPr>
                <w:p w14:paraId="71C81D22">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符合</w:t>
                  </w:r>
                </w:p>
              </w:tc>
            </w:tr>
          </w:tbl>
          <w:p w14:paraId="2E60726C">
            <w:pPr>
              <w:keepNext w:val="0"/>
              <w:keepLines w:val="0"/>
              <w:pageBreakBefore w:val="0"/>
              <w:kinsoku/>
              <w:wordWrap/>
              <w:overflowPunct/>
              <w:topLinePunct w:val="0"/>
              <w:autoSpaceDE w:val="0"/>
              <w:autoSpaceDN w:val="0"/>
              <w:bidi w:val="0"/>
              <w:adjustRightInd w:val="0"/>
              <w:snapToGrid w:val="0"/>
              <w:spacing w:beforeAutospacing="0" w:afterAutospacing="0" w:line="360" w:lineRule="auto"/>
              <w:ind w:left="0" w:leftChars="0" w:right="0" w:rightChars="0" w:firstLine="480" w:firstLineChars="200"/>
              <w:jc w:val="left"/>
              <w:rPr>
                <w:rFonts w:hint="default" w:ascii="Times New Roman" w:hAnsi="Times New Roman" w:eastAsia="宋体" w:cs="Times New Roman"/>
                <w:color w:val="auto"/>
                <w:spacing w:val="0"/>
                <w:kern w:val="0"/>
                <w:position w:val="0"/>
                <w:sz w:val="24"/>
                <w:szCs w:val="24"/>
                <w:highlight w:val="none"/>
              </w:rPr>
            </w:pPr>
            <w:r>
              <w:rPr>
                <w:rFonts w:hint="default" w:ascii="Times New Roman" w:hAnsi="Times New Roman" w:eastAsia="宋体" w:cs="Times New Roman"/>
                <w:color w:val="auto"/>
                <w:spacing w:val="0"/>
                <w:kern w:val="0"/>
                <w:position w:val="0"/>
                <w:sz w:val="24"/>
                <w:szCs w:val="24"/>
                <w:highlight w:val="none"/>
              </w:rPr>
              <w:t>3、环境保护措施</w:t>
            </w:r>
          </w:p>
          <w:p w14:paraId="1855F7C8">
            <w:pPr>
              <w:keepNext w:val="0"/>
              <w:keepLines w:val="0"/>
              <w:pageBreakBefore w:val="0"/>
              <w:kinsoku/>
              <w:wordWrap/>
              <w:overflowPunct/>
              <w:topLinePunct w:val="0"/>
              <w:autoSpaceDE w:val="0"/>
              <w:autoSpaceDN w:val="0"/>
              <w:bidi w:val="0"/>
              <w:adjustRightInd w:val="0"/>
              <w:snapToGrid w:val="0"/>
              <w:spacing w:beforeAutospacing="0" w:afterAutospacing="0" w:line="360" w:lineRule="auto"/>
              <w:ind w:left="0" w:leftChars="0" w:right="0" w:rightChars="0" w:firstLine="480" w:firstLineChars="200"/>
              <w:jc w:val="left"/>
              <w:rPr>
                <w:rFonts w:hint="default" w:ascii="Times New Roman" w:hAnsi="Times New Roman" w:eastAsia="宋体" w:cs="Times New Roman"/>
                <w:color w:val="auto"/>
                <w:spacing w:val="0"/>
                <w:kern w:val="0"/>
                <w:position w:val="0"/>
                <w:sz w:val="24"/>
                <w:szCs w:val="24"/>
                <w:highlight w:val="none"/>
              </w:rPr>
            </w:pPr>
            <w:r>
              <w:rPr>
                <w:rFonts w:hint="default" w:ascii="Times New Roman" w:hAnsi="Times New Roman" w:eastAsia="宋体" w:cs="Times New Roman"/>
                <w:color w:val="auto"/>
                <w:spacing w:val="0"/>
                <w:kern w:val="0"/>
                <w:position w:val="0"/>
                <w:sz w:val="24"/>
                <w:szCs w:val="24"/>
                <w:highlight w:val="none"/>
              </w:rPr>
              <w:t>环境保护措施符合性分析见表1-4。</w:t>
            </w:r>
          </w:p>
          <w:p w14:paraId="466E5884">
            <w:pPr>
              <w:keepNext w:val="0"/>
              <w:keepLines w:val="0"/>
              <w:pageBreakBefore w:val="0"/>
              <w:kinsoku/>
              <w:wordWrap/>
              <w:overflowPunct/>
              <w:topLinePunct w:val="0"/>
              <w:bidi w:val="0"/>
              <w:adjustRightInd w:val="0"/>
              <w:snapToGrid w:val="0"/>
              <w:spacing w:beforeAutospacing="0" w:afterAutospacing="0"/>
              <w:ind w:left="0" w:leftChars="0" w:right="0" w:rightChars="0" w:firstLine="422"/>
              <w:jc w:val="center"/>
              <w:rPr>
                <w:rFonts w:hint="default" w:ascii="Times New Roman" w:hAnsi="Times New Roman" w:eastAsia="宋体" w:cs="Times New Roman"/>
                <w:b/>
                <w:bCs/>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表1-4 环境保护措施符合性分析表</w:t>
            </w:r>
          </w:p>
          <w:tbl>
            <w:tblPr>
              <w:tblStyle w:val="29"/>
              <w:tblW w:w="498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7"/>
              <w:gridCol w:w="3146"/>
              <w:gridCol w:w="2914"/>
            </w:tblGrid>
            <w:tr w14:paraId="30B4A4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727" w:type="dxa"/>
                  <w:noWrap w:val="0"/>
                  <w:vAlign w:val="center"/>
                </w:tcPr>
                <w:p w14:paraId="0B213B41">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b/>
                      <w:bCs/>
                      <w:color w:val="auto"/>
                      <w:spacing w:val="0"/>
                      <w:kern w:val="0"/>
                      <w:position w:val="0"/>
                      <w:sz w:val="21"/>
                      <w:szCs w:val="21"/>
                      <w:highlight w:val="none"/>
                      <w:lang w:eastAsia="zh-CN"/>
                    </w:rPr>
                  </w:pPr>
                  <w:r>
                    <w:rPr>
                      <w:rFonts w:hint="default" w:ascii="Times New Roman" w:hAnsi="Times New Roman" w:eastAsia="宋体" w:cs="Times New Roman"/>
                      <w:b/>
                      <w:bCs/>
                      <w:color w:val="auto"/>
                      <w:spacing w:val="0"/>
                      <w:kern w:val="0"/>
                      <w:position w:val="0"/>
                      <w:sz w:val="21"/>
                      <w:szCs w:val="21"/>
                      <w:highlight w:val="none"/>
                      <w:lang w:val="en-US" w:eastAsia="zh-CN"/>
                    </w:rPr>
                    <w:t>类别</w:t>
                  </w:r>
                </w:p>
              </w:tc>
              <w:tc>
                <w:tcPr>
                  <w:tcW w:w="3146" w:type="dxa"/>
                  <w:noWrap w:val="0"/>
                  <w:vAlign w:val="center"/>
                </w:tcPr>
                <w:p w14:paraId="04B98E36">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b/>
                      <w:bCs/>
                      <w:color w:val="auto"/>
                      <w:spacing w:val="0"/>
                      <w:kern w:val="0"/>
                      <w:position w:val="0"/>
                      <w:sz w:val="21"/>
                      <w:szCs w:val="21"/>
                      <w:highlight w:val="none"/>
                    </w:rPr>
                  </w:pPr>
                  <w:r>
                    <w:rPr>
                      <w:rFonts w:hint="default" w:ascii="Times New Roman" w:hAnsi="Times New Roman" w:eastAsia="宋体" w:cs="Times New Roman"/>
                      <w:b/>
                      <w:bCs/>
                      <w:color w:val="auto"/>
                      <w:spacing w:val="0"/>
                      <w:kern w:val="0"/>
                      <w:position w:val="0"/>
                      <w:sz w:val="21"/>
                      <w:szCs w:val="21"/>
                      <w:highlight w:val="none"/>
                    </w:rPr>
                    <w:t>环境保护措施</w:t>
                  </w:r>
                </w:p>
              </w:tc>
              <w:tc>
                <w:tcPr>
                  <w:tcW w:w="2914" w:type="dxa"/>
                  <w:noWrap w:val="0"/>
                  <w:vAlign w:val="center"/>
                </w:tcPr>
                <w:p w14:paraId="488C7A90">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b/>
                      <w:bCs/>
                      <w:color w:val="auto"/>
                      <w:spacing w:val="0"/>
                      <w:kern w:val="0"/>
                      <w:position w:val="0"/>
                      <w:sz w:val="21"/>
                      <w:szCs w:val="21"/>
                      <w:highlight w:val="none"/>
                    </w:rPr>
                  </w:pPr>
                  <w:r>
                    <w:rPr>
                      <w:rFonts w:hint="default" w:ascii="Times New Roman" w:hAnsi="Times New Roman" w:eastAsia="宋体" w:cs="Times New Roman"/>
                      <w:b/>
                      <w:bCs/>
                      <w:color w:val="auto"/>
                      <w:spacing w:val="0"/>
                      <w:kern w:val="0"/>
                      <w:position w:val="0"/>
                      <w:sz w:val="21"/>
                      <w:szCs w:val="21"/>
                      <w:highlight w:val="none"/>
                    </w:rPr>
                    <w:t>符合性分析</w:t>
                  </w:r>
                </w:p>
              </w:tc>
            </w:tr>
            <w:tr w14:paraId="6E85C3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08" w:hRule="atLeast"/>
                <w:jc w:val="center"/>
              </w:trPr>
              <w:tc>
                <w:tcPr>
                  <w:tcW w:w="727" w:type="dxa"/>
                  <w:noWrap w:val="0"/>
                  <w:vAlign w:val="center"/>
                </w:tcPr>
                <w:p w14:paraId="57172FE6">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rPr>
                    <w:t>大气</w:t>
                  </w:r>
                </w:p>
              </w:tc>
              <w:tc>
                <w:tcPr>
                  <w:tcW w:w="3146" w:type="dxa"/>
                  <w:noWrap w:val="0"/>
                  <w:vAlign w:val="center"/>
                </w:tcPr>
                <w:p w14:paraId="1F58A7C8">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rPr>
                    <w:t>①未来严格禁止区内企业新建燃煤、燃重油等重污染燃料锅炉或工业炉窑，若集中供热无法满足企业特殊工艺用热需求，需要自建锅炉或工业炉窑的项目，必须使用天然气等清洁能源，切实发挥</w:t>
                  </w:r>
                  <w:r>
                    <w:rPr>
                      <w:rFonts w:hint="default" w:ascii="Times New Roman" w:hAnsi="Times New Roman" w:eastAsia="宋体" w:cs="Times New Roman"/>
                      <w:color w:val="auto"/>
                      <w:spacing w:val="0"/>
                      <w:kern w:val="0"/>
                      <w:position w:val="0"/>
                      <w:sz w:val="21"/>
                      <w:szCs w:val="21"/>
                      <w:highlight w:val="none"/>
                      <w:lang w:eastAsia="zh-CN"/>
                    </w:rPr>
                    <w:t>“</w:t>
                  </w:r>
                  <w:r>
                    <w:rPr>
                      <w:rFonts w:hint="default" w:ascii="Times New Roman" w:hAnsi="Times New Roman" w:eastAsia="宋体" w:cs="Times New Roman"/>
                      <w:color w:val="auto"/>
                      <w:spacing w:val="0"/>
                      <w:kern w:val="0"/>
                      <w:position w:val="0"/>
                      <w:sz w:val="21"/>
                      <w:szCs w:val="21"/>
                      <w:highlight w:val="none"/>
                    </w:rPr>
                    <w:t>绿色屏障</w:t>
                  </w:r>
                  <w:r>
                    <w:rPr>
                      <w:rFonts w:hint="default" w:ascii="Times New Roman" w:hAnsi="Times New Roman" w:eastAsia="宋体" w:cs="Times New Roman"/>
                      <w:color w:val="auto"/>
                      <w:spacing w:val="0"/>
                      <w:kern w:val="0"/>
                      <w:position w:val="0"/>
                      <w:sz w:val="21"/>
                      <w:szCs w:val="21"/>
                      <w:highlight w:val="none"/>
                      <w:lang w:eastAsia="zh-CN"/>
                    </w:rPr>
                    <w:t>”</w:t>
                  </w:r>
                  <w:r>
                    <w:rPr>
                      <w:rFonts w:hint="default" w:ascii="Times New Roman" w:hAnsi="Times New Roman" w:eastAsia="宋体" w:cs="Times New Roman"/>
                      <w:color w:val="auto"/>
                      <w:spacing w:val="0"/>
                      <w:kern w:val="0"/>
                      <w:position w:val="0"/>
                      <w:sz w:val="21"/>
                      <w:szCs w:val="21"/>
                      <w:highlight w:val="none"/>
                    </w:rPr>
                    <w:t>源头控制作用。②有效防止项目产生的含尘废气污染，推荐采用布袋式除尘器，除尘效率可达99%以上，技术成熟可靠，除尘后的气体通过排气筒排放，排放标准要符合《大气污染物综合排放标准》（GB16297-1996）二级标准要求。③对生产装置排放的含VOCs工艺排气宜优先回收利用，不能（或不能完全）回收利用的经处理后达标排放。</w:t>
                  </w:r>
                </w:p>
              </w:tc>
              <w:tc>
                <w:tcPr>
                  <w:tcW w:w="2914" w:type="dxa"/>
                  <w:noWrap w:val="0"/>
                  <w:vAlign w:val="center"/>
                </w:tcPr>
                <w:p w14:paraId="0E32C2B8">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lang w:eastAsia="zh-CN"/>
                    </w:rPr>
                  </w:pPr>
                  <w:r>
                    <w:rPr>
                      <w:rFonts w:hint="default" w:ascii="Times New Roman" w:hAnsi="Times New Roman" w:eastAsia="宋体" w:cs="Times New Roman"/>
                      <w:color w:val="auto"/>
                      <w:spacing w:val="0"/>
                      <w:position w:val="0"/>
                      <w:szCs w:val="21"/>
                      <w:highlight w:val="none"/>
                    </w:rPr>
                    <w:t>本项目使用生物质压块作为燃料，本项目产生的锅炉烟气经除尘效率为</w:t>
                  </w:r>
                  <w:r>
                    <w:rPr>
                      <w:rFonts w:hint="default" w:ascii="Times New Roman" w:hAnsi="Times New Roman" w:cs="Times New Roman"/>
                      <w:color w:val="auto"/>
                      <w:spacing w:val="0"/>
                      <w:position w:val="0"/>
                      <w:szCs w:val="21"/>
                      <w:highlight w:val="none"/>
                      <w:lang w:eastAsia="zh-CN"/>
                    </w:rPr>
                    <w:t>99.6</w:t>
                  </w:r>
                  <w:r>
                    <w:rPr>
                      <w:rFonts w:hint="default" w:ascii="Times New Roman" w:hAnsi="Times New Roman" w:eastAsia="宋体" w:cs="Times New Roman"/>
                      <w:color w:val="auto"/>
                      <w:spacing w:val="0"/>
                      <w:position w:val="0"/>
                      <w:szCs w:val="21"/>
                      <w:highlight w:val="none"/>
                    </w:rPr>
                    <w:t>%的</w:t>
                  </w:r>
                  <w:r>
                    <w:rPr>
                      <w:rFonts w:hint="default" w:ascii="Times New Roman" w:hAnsi="Times New Roman" w:eastAsia="宋体" w:cs="Times New Roman"/>
                      <w:color w:val="auto"/>
                      <w:spacing w:val="0"/>
                      <w:position w:val="0"/>
                      <w:szCs w:val="21"/>
                      <w:highlight w:val="none"/>
                      <w:lang w:eastAsia="zh-CN"/>
                    </w:rPr>
                    <w:t>“多管旋风</w:t>
                  </w:r>
                  <w:r>
                    <w:rPr>
                      <w:rFonts w:hint="default" w:ascii="Times New Roman" w:hAnsi="Times New Roman" w:eastAsia="宋体" w:cs="Times New Roman"/>
                      <w:color w:val="auto"/>
                      <w:spacing w:val="0"/>
                      <w:position w:val="0"/>
                      <w:szCs w:val="21"/>
                      <w:highlight w:val="none"/>
                    </w:rPr>
                    <w:t>除尘+布袋除尘器</w:t>
                  </w:r>
                  <w:r>
                    <w:rPr>
                      <w:rFonts w:hint="default" w:ascii="Times New Roman" w:hAnsi="Times New Roman" w:eastAsia="宋体" w:cs="Times New Roman"/>
                      <w:color w:val="auto"/>
                      <w:spacing w:val="0"/>
                      <w:position w:val="0"/>
                      <w:szCs w:val="21"/>
                      <w:highlight w:val="none"/>
                      <w:lang w:eastAsia="zh-CN"/>
                    </w:rPr>
                    <w:t>”</w:t>
                  </w:r>
                  <w:r>
                    <w:rPr>
                      <w:rFonts w:hint="default" w:ascii="Times New Roman" w:hAnsi="Times New Roman" w:eastAsia="宋体" w:cs="Times New Roman"/>
                      <w:color w:val="auto"/>
                      <w:spacing w:val="0"/>
                      <w:position w:val="0"/>
                      <w:szCs w:val="21"/>
                      <w:highlight w:val="none"/>
                    </w:rPr>
                    <w:t>处理，通过40m高烟囱排放，经处理后满足满足《锅炉大气污染物排放标准》（GB13271-2014）中表2标准要求。预处理车间产尘节点设置</w:t>
                  </w:r>
                  <w:r>
                    <w:rPr>
                      <w:rFonts w:hint="default" w:ascii="Times New Roman" w:hAnsi="Times New Roman" w:cs="Times New Roman"/>
                      <w:color w:val="auto"/>
                      <w:spacing w:val="0"/>
                      <w:position w:val="0"/>
                      <w:szCs w:val="21"/>
                      <w:highlight w:val="none"/>
                      <w:lang w:eastAsia="zh-CN"/>
                    </w:rPr>
                    <w:t>集气装置</w:t>
                  </w:r>
                  <w:r>
                    <w:rPr>
                      <w:rFonts w:hint="default" w:ascii="Times New Roman" w:hAnsi="Times New Roman" w:eastAsia="宋体" w:cs="Times New Roman"/>
                      <w:color w:val="auto"/>
                      <w:spacing w:val="0"/>
                      <w:position w:val="0"/>
                      <w:szCs w:val="21"/>
                      <w:highlight w:val="none"/>
                    </w:rPr>
                    <w:t>，经布袋除尘器处理，后经15m高排气筒达标排放</w:t>
                  </w:r>
                  <w:r>
                    <w:rPr>
                      <w:rFonts w:hint="default" w:ascii="Times New Roman" w:hAnsi="Times New Roman" w:eastAsia="宋体" w:cs="Times New Roman"/>
                      <w:color w:val="auto"/>
                      <w:spacing w:val="0"/>
                      <w:position w:val="0"/>
                      <w:szCs w:val="21"/>
                      <w:highlight w:val="none"/>
                      <w:lang w:eastAsia="zh-CN"/>
                    </w:rPr>
                    <w:t>。</w:t>
                  </w:r>
                  <w:r>
                    <w:rPr>
                      <w:rFonts w:hint="default" w:ascii="Times New Roman" w:hAnsi="Times New Roman" w:cs="Times New Roman"/>
                      <w:color w:val="auto"/>
                      <w:spacing w:val="0"/>
                      <w:position w:val="0"/>
                      <w:szCs w:val="21"/>
                      <w:highlight w:val="none"/>
                      <w:lang w:val="en-US" w:eastAsia="zh-CN"/>
                    </w:rPr>
                    <w:t>浸出车间废气经多级冷凝+石蜡吸收后经15m高排气筒排放。精炼车间废气经石蜡吸收+活性炭吸附后经15m高排气筒排放。</w:t>
                  </w:r>
                  <w:r>
                    <w:rPr>
                      <w:rFonts w:hint="default" w:ascii="Times New Roman" w:hAnsi="Times New Roman" w:eastAsia="宋体" w:cs="Times New Roman"/>
                      <w:color w:val="auto"/>
                      <w:spacing w:val="0"/>
                      <w:kern w:val="0"/>
                      <w:position w:val="0"/>
                      <w:sz w:val="21"/>
                      <w:szCs w:val="21"/>
                      <w:highlight w:val="none"/>
                    </w:rPr>
                    <w:t>符合要求。</w:t>
                  </w:r>
                </w:p>
              </w:tc>
            </w:tr>
            <w:tr w14:paraId="22B31B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727" w:type="dxa"/>
                  <w:noWrap w:val="0"/>
                  <w:vAlign w:val="center"/>
                </w:tcPr>
                <w:p w14:paraId="74CF1004">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rPr>
                    <w:t>地表水</w:t>
                  </w:r>
                </w:p>
              </w:tc>
              <w:tc>
                <w:tcPr>
                  <w:tcW w:w="3146" w:type="dxa"/>
                  <w:noWrap w:val="0"/>
                  <w:vAlign w:val="center"/>
                </w:tcPr>
                <w:p w14:paraId="5897EA41">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rPr>
                    <w:t>厂内废水进行预处理后再排入城市污水管网。</w:t>
                  </w:r>
                </w:p>
              </w:tc>
              <w:tc>
                <w:tcPr>
                  <w:tcW w:w="2914" w:type="dxa"/>
                  <w:noWrap w:val="0"/>
                  <w:vAlign w:val="center"/>
                </w:tcPr>
                <w:p w14:paraId="359F93A5">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lang w:val="en-US" w:eastAsia="zh-CN"/>
                    </w:rPr>
                    <w:t>本项目</w:t>
                  </w:r>
                  <w:r>
                    <w:rPr>
                      <w:rFonts w:hint="default" w:ascii="Times New Roman" w:hAnsi="Times New Roman" w:cs="Times New Roman"/>
                      <w:color w:val="auto"/>
                      <w:spacing w:val="0"/>
                      <w:kern w:val="0"/>
                      <w:position w:val="0"/>
                      <w:sz w:val="21"/>
                      <w:szCs w:val="21"/>
                      <w:highlight w:val="none"/>
                      <w:lang w:val="en-US" w:eastAsia="zh-CN"/>
                    </w:rPr>
                    <w:t>浸出</w:t>
                  </w:r>
                  <w:r>
                    <w:rPr>
                      <w:rFonts w:hint="default" w:ascii="Times New Roman" w:hAnsi="Times New Roman" w:eastAsia="宋体" w:cs="Times New Roman"/>
                      <w:color w:val="auto"/>
                      <w:spacing w:val="0"/>
                      <w:kern w:val="0"/>
                      <w:position w:val="0"/>
                      <w:sz w:val="21"/>
                      <w:szCs w:val="21"/>
                      <w:highlight w:val="none"/>
                      <w:lang w:val="en-US" w:eastAsia="zh-CN"/>
                    </w:rPr>
                    <w:t>废水</w:t>
                  </w:r>
                  <w:r>
                    <w:rPr>
                      <w:rFonts w:hint="default" w:ascii="Times New Roman" w:hAnsi="Times New Roman" w:cs="Times New Roman"/>
                      <w:color w:val="auto"/>
                      <w:spacing w:val="0"/>
                      <w:kern w:val="0"/>
                      <w:position w:val="0"/>
                      <w:sz w:val="21"/>
                      <w:szCs w:val="21"/>
                      <w:highlight w:val="none"/>
                      <w:lang w:val="en-US" w:eastAsia="zh-CN"/>
                    </w:rPr>
                    <w:t>、精炼废水经自建污水处理站处理后水质可满足</w:t>
                  </w:r>
                  <w:r>
                    <w:rPr>
                      <w:rFonts w:hint="default" w:ascii="Times New Roman" w:hAnsi="Times New Roman" w:eastAsia="宋体" w:cs="Times New Roman"/>
                      <w:color w:val="auto"/>
                      <w:spacing w:val="0"/>
                      <w:kern w:val="0"/>
                      <w:position w:val="0"/>
                      <w:sz w:val="21"/>
                      <w:szCs w:val="21"/>
                      <w:highlight w:val="none"/>
                    </w:rPr>
                    <w:t>《食品加工制造业水污染物排放标准》（GB 46817-2025）表1中间接排放标准</w:t>
                  </w:r>
                  <w:r>
                    <w:rPr>
                      <w:rFonts w:hint="default" w:ascii="Times New Roman" w:hAnsi="Times New Roman" w:cs="Times New Roman"/>
                      <w:color w:val="auto"/>
                      <w:spacing w:val="0"/>
                      <w:kern w:val="0"/>
                      <w:position w:val="0"/>
                      <w:sz w:val="21"/>
                      <w:szCs w:val="21"/>
                      <w:highlight w:val="none"/>
                      <w:lang w:val="en-US" w:eastAsia="zh-CN"/>
                    </w:rPr>
                    <w:t>后通过市政管网</w:t>
                  </w:r>
                  <w:r>
                    <w:rPr>
                      <w:rFonts w:hint="default" w:ascii="Times New Roman" w:hAnsi="Times New Roman" w:eastAsia="宋体" w:cs="Times New Roman"/>
                      <w:color w:val="auto"/>
                      <w:spacing w:val="0"/>
                      <w:position w:val="0"/>
                      <w:szCs w:val="21"/>
                      <w:highlight w:val="none"/>
                    </w:rPr>
                    <w:t>排入</w:t>
                  </w:r>
                  <w:r>
                    <w:rPr>
                      <w:rFonts w:hint="default" w:ascii="Times New Roman" w:hAnsi="Times New Roman" w:cs="Times New Roman"/>
                      <w:color w:val="auto"/>
                      <w:spacing w:val="0"/>
                      <w:position w:val="0"/>
                      <w:szCs w:val="21"/>
                      <w:highlight w:val="none"/>
                      <w:lang w:eastAsia="zh-CN"/>
                    </w:rPr>
                    <w:t>桦川县污水处理厂</w:t>
                  </w:r>
                  <w:r>
                    <w:rPr>
                      <w:rFonts w:hint="default" w:ascii="Times New Roman" w:hAnsi="Times New Roman" w:eastAsia="宋体" w:cs="Times New Roman"/>
                      <w:color w:val="auto"/>
                      <w:spacing w:val="0"/>
                      <w:position w:val="0"/>
                      <w:szCs w:val="21"/>
                      <w:highlight w:val="none"/>
                    </w:rPr>
                    <w:t>进行处理，经处理后满足《城镇污水处理厂污染物排放标准》（GB18918-2002）一级A标准后排入松花江。</w:t>
                  </w:r>
                  <w:r>
                    <w:rPr>
                      <w:rFonts w:hint="default" w:ascii="Times New Roman" w:hAnsi="Times New Roman" w:eastAsia="宋体" w:cs="Times New Roman"/>
                      <w:color w:val="auto"/>
                      <w:spacing w:val="0"/>
                      <w:kern w:val="0"/>
                      <w:position w:val="0"/>
                      <w:sz w:val="21"/>
                      <w:szCs w:val="21"/>
                      <w:highlight w:val="none"/>
                    </w:rPr>
                    <w:t>符合要求。</w:t>
                  </w:r>
                </w:p>
              </w:tc>
            </w:tr>
            <w:tr w14:paraId="35B107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54" w:hRule="atLeast"/>
                <w:jc w:val="center"/>
              </w:trPr>
              <w:tc>
                <w:tcPr>
                  <w:tcW w:w="727" w:type="dxa"/>
                  <w:noWrap w:val="0"/>
                  <w:vAlign w:val="center"/>
                </w:tcPr>
                <w:p w14:paraId="2CCA3D33">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rPr>
                    <w:t>地下水</w:t>
                  </w:r>
                </w:p>
              </w:tc>
              <w:tc>
                <w:tcPr>
                  <w:tcW w:w="3146" w:type="dxa"/>
                  <w:noWrap w:val="0"/>
                  <w:vAlign w:val="center"/>
                </w:tcPr>
                <w:p w14:paraId="5D93CF2B">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rPr>
                    <w:t>采取分区防渗措施，禁止开发区内企业的地下水开采，采取集中供水；严禁一切形式的渗井、渗坑排放污水和废水。</w:t>
                  </w:r>
                </w:p>
              </w:tc>
              <w:tc>
                <w:tcPr>
                  <w:tcW w:w="2914" w:type="dxa"/>
                  <w:noWrap w:val="0"/>
                  <w:vAlign w:val="center"/>
                </w:tcPr>
                <w:p w14:paraId="3752505B">
                  <w:pPr>
                    <w:keepNext w:val="0"/>
                    <w:keepLines w:val="0"/>
                    <w:pageBreakBefore w:val="0"/>
                    <w:widowControl w:val="0"/>
                    <w:kinsoku/>
                    <w:wordWrap w:val="0"/>
                    <w:overflowPunct/>
                    <w:topLinePunct w:val="0"/>
                    <w:autoSpaceDE w:val="0"/>
                    <w:autoSpaceDN w:val="0"/>
                    <w:bidi w:val="0"/>
                    <w:adjustRightInd w:val="0"/>
                    <w:snapToGrid w:val="0"/>
                    <w:spacing w:beforeAutospacing="0" w:afterAutospacing="0"/>
                    <w:ind w:left="0" w:leftChars="0" w:right="0" w:rightChars="0"/>
                    <w:jc w:val="center"/>
                    <w:textAlignment w:val="auto"/>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lang w:val="en-US" w:eastAsia="zh-CN"/>
                    </w:rPr>
                    <w:t>本项目不开采地下水，</w:t>
                  </w:r>
                  <w:r>
                    <w:rPr>
                      <w:rFonts w:hint="default" w:ascii="Times New Roman" w:hAnsi="Times New Roman" w:eastAsia="宋体" w:cs="Times New Roman"/>
                      <w:color w:val="auto"/>
                      <w:spacing w:val="0"/>
                      <w:position w:val="0"/>
                      <w:sz w:val="21"/>
                      <w:szCs w:val="21"/>
                      <w:highlight w:val="none"/>
                    </w:rPr>
                    <w:t>采取分区防渗措施，地下溶剂库、</w:t>
                  </w:r>
                  <w:r>
                    <w:rPr>
                      <w:rFonts w:hint="default" w:ascii="Times New Roman" w:hAnsi="Times New Roman" w:cs="Times New Roman"/>
                      <w:color w:val="auto"/>
                      <w:spacing w:val="0"/>
                      <w:position w:val="0"/>
                      <w:sz w:val="21"/>
                      <w:szCs w:val="21"/>
                      <w:highlight w:val="none"/>
                      <w:lang w:val="en-US" w:eastAsia="zh-CN"/>
                    </w:rPr>
                    <w:t>储油</w:t>
                  </w:r>
                  <w:r>
                    <w:rPr>
                      <w:rFonts w:hint="default" w:ascii="Times New Roman" w:hAnsi="Times New Roman" w:eastAsia="宋体" w:cs="Times New Roman"/>
                      <w:color w:val="auto"/>
                      <w:spacing w:val="0"/>
                      <w:position w:val="0"/>
                      <w:sz w:val="21"/>
                      <w:szCs w:val="21"/>
                      <w:highlight w:val="none"/>
                    </w:rPr>
                    <w:t>罐区</w:t>
                  </w:r>
                  <w:r>
                    <w:rPr>
                      <w:rFonts w:hint="default" w:ascii="Times New Roman" w:hAnsi="Times New Roman"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污水处理站、危险废物贮存库</w:t>
                  </w:r>
                  <w:r>
                    <w:rPr>
                      <w:rFonts w:hint="default" w:ascii="Times New Roman" w:hAnsi="Times New Roman" w:eastAsia="宋体" w:cs="Times New Roman"/>
                      <w:color w:val="auto"/>
                      <w:spacing w:val="0"/>
                      <w:position w:val="0"/>
                      <w:sz w:val="21"/>
                      <w:szCs w:val="21"/>
                      <w:highlight w:val="none"/>
                      <w:lang w:val="en-US" w:eastAsia="zh-CN"/>
                    </w:rPr>
                    <w:t>为重点防渗区，</w:t>
                  </w:r>
                  <w:r>
                    <w:rPr>
                      <w:rFonts w:hint="default" w:ascii="Times New Roman" w:hAnsi="Times New Roman" w:eastAsia="宋体" w:cs="Times New Roman"/>
                      <w:color w:val="auto"/>
                      <w:spacing w:val="0"/>
                      <w:position w:val="0"/>
                      <w:sz w:val="21"/>
                      <w:szCs w:val="24"/>
                      <w:highlight w:val="none"/>
                    </w:rPr>
                    <w:t>采用防渗水泥地面+2.0mm厚高密度聚乙烯进行防渗处理，达到等效黏土Mb≥6m，渗透系数K≤1×10</w:t>
                  </w:r>
                  <w:r>
                    <w:rPr>
                      <w:rFonts w:hint="default" w:ascii="Times New Roman" w:hAnsi="Times New Roman" w:eastAsia="宋体" w:cs="Times New Roman"/>
                      <w:color w:val="auto"/>
                      <w:spacing w:val="0"/>
                      <w:position w:val="0"/>
                      <w:sz w:val="21"/>
                      <w:szCs w:val="24"/>
                      <w:highlight w:val="none"/>
                      <w:vertAlign w:val="superscript"/>
                    </w:rPr>
                    <w:t>-10</w:t>
                  </w:r>
                  <w:r>
                    <w:rPr>
                      <w:rFonts w:hint="default" w:ascii="Times New Roman" w:hAnsi="Times New Roman" w:eastAsia="宋体" w:cs="Times New Roman"/>
                      <w:color w:val="auto"/>
                      <w:spacing w:val="0"/>
                      <w:position w:val="0"/>
                      <w:sz w:val="21"/>
                      <w:szCs w:val="24"/>
                      <w:highlight w:val="none"/>
                    </w:rPr>
                    <w:t>cm/s，本项目溶剂储罐区和储油罐区设置围堰，围堰进行重点防渗，采用防渗水泥地面+2.0mm厚高密度聚乙烯进行防渗处理，达到等效黏土Mb≥6m，渗透系数K≤1×10</w:t>
                  </w:r>
                  <w:r>
                    <w:rPr>
                      <w:rFonts w:hint="default" w:ascii="Times New Roman" w:hAnsi="Times New Roman" w:eastAsia="宋体" w:cs="Times New Roman"/>
                      <w:color w:val="auto"/>
                      <w:spacing w:val="0"/>
                      <w:position w:val="0"/>
                      <w:sz w:val="21"/>
                      <w:szCs w:val="24"/>
                      <w:highlight w:val="none"/>
                      <w:vertAlign w:val="superscript"/>
                    </w:rPr>
                    <w:t>-10</w:t>
                  </w:r>
                  <w:r>
                    <w:rPr>
                      <w:rFonts w:hint="default" w:ascii="Times New Roman" w:hAnsi="Times New Roman" w:eastAsia="宋体" w:cs="Times New Roman"/>
                      <w:color w:val="auto"/>
                      <w:spacing w:val="0"/>
                      <w:position w:val="0"/>
                      <w:sz w:val="21"/>
                      <w:szCs w:val="24"/>
                      <w:highlight w:val="none"/>
                    </w:rPr>
                    <w:t>cm/s；</w:t>
                  </w:r>
                  <w:r>
                    <w:rPr>
                      <w:rFonts w:hint="default" w:ascii="Times New Roman" w:hAnsi="Times New Roman" w:eastAsia="宋体" w:cs="Times New Roman"/>
                      <w:color w:val="auto"/>
                      <w:spacing w:val="0"/>
                      <w:position w:val="0"/>
                      <w:sz w:val="21"/>
                      <w:szCs w:val="21"/>
                      <w:highlight w:val="none"/>
                    </w:rPr>
                    <w:t>预处理车间、浸出车间、精炼车间、包装车间</w:t>
                  </w:r>
                  <w:r>
                    <w:rPr>
                      <w:rFonts w:hint="default" w:ascii="Times New Roman" w:hAnsi="Times New Roman" w:eastAsia="宋体" w:cs="Times New Roman"/>
                      <w:color w:val="auto"/>
                      <w:spacing w:val="0"/>
                      <w:position w:val="0"/>
                      <w:sz w:val="21"/>
                      <w:szCs w:val="21"/>
                      <w:highlight w:val="none"/>
                      <w:lang w:val="en-US" w:eastAsia="zh-CN"/>
                    </w:rPr>
                    <w:t>为</w:t>
                  </w:r>
                  <w:r>
                    <w:rPr>
                      <w:rFonts w:hint="default" w:ascii="Times New Roman" w:hAnsi="Times New Roman" w:eastAsia="宋体" w:cs="Times New Roman"/>
                      <w:color w:val="auto"/>
                      <w:spacing w:val="0"/>
                      <w:position w:val="0"/>
                      <w:sz w:val="21"/>
                      <w:szCs w:val="21"/>
                      <w:highlight w:val="none"/>
                    </w:rPr>
                    <w:t>一般防渗</w:t>
                  </w:r>
                  <w:r>
                    <w:rPr>
                      <w:rFonts w:hint="default" w:ascii="Times New Roman" w:hAnsi="Times New Roman" w:eastAsia="宋体" w:cs="Times New Roman"/>
                      <w:color w:val="auto"/>
                      <w:spacing w:val="0"/>
                      <w:position w:val="0"/>
                      <w:sz w:val="21"/>
                      <w:szCs w:val="21"/>
                      <w:highlight w:val="none"/>
                      <w:lang w:val="en-US" w:eastAsia="zh-CN"/>
                    </w:rPr>
                    <w:t>区</w:t>
                  </w:r>
                  <w:r>
                    <w:rPr>
                      <w:rFonts w:hint="default" w:ascii="Times New Roman" w:hAnsi="Times New Roman" w:eastAsia="宋体" w:cs="Times New Roman"/>
                      <w:color w:val="auto"/>
                      <w:spacing w:val="0"/>
                      <w:position w:val="0"/>
                      <w:sz w:val="21"/>
                      <w:szCs w:val="21"/>
                      <w:highlight w:val="none"/>
                    </w:rPr>
                    <w:t>，采取粘土铺底，再上层铺水泥进行硬化，达到等效黏土Mb≥1.5m，K≤1.0×10</w:t>
                  </w:r>
                  <w:r>
                    <w:rPr>
                      <w:rFonts w:hint="default" w:ascii="Times New Roman" w:hAnsi="Times New Roman" w:eastAsia="宋体" w:cs="Times New Roman"/>
                      <w:color w:val="auto"/>
                      <w:spacing w:val="0"/>
                      <w:position w:val="0"/>
                      <w:sz w:val="21"/>
                      <w:szCs w:val="21"/>
                      <w:highlight w:val="none"/>
                      <w:vertAlign w:val="superscript"/>
                    </w:rPr>
                    <w:t>-7</w:t>
                  </w:r>
                  <w:r>
                    <w:rPr>
                      <w:rFonts w:hint="default" w:ascii="Times New Roman" w:hAnsi="Times New Roman" w:eastAsia="宋体" w:cs="Times New Roman"/>
                      <w:color w:val="auto"/>
                      <w:spacing w:val="0"/>
                      <w:position w:val="0"/>
                      <w:sz w:val="21"/>
                      <w:szCs w:val="21"/>
                      <w:highlight w:val="none"/>
                    </w:rPr>
                    <w:t>cm/s。</w:t>
                  </w:r>
                  <w:r>
                    <w:rPr>
                      <w:rFonts w:hint="default" w:ascii="Times New Roman" w:hAnsi="Times New Roman" w:cs="Times New Roman"/>
                      <w:color w:val="auto"/>
                      <w:spacing w:val="0"/>
                      <w:position w:val="0"/>
                      <w:sz w:val="21"/>
                      <w:szCs w:val="21"/>
                      <w:highlight w:val="none"/>
                      <w:lang w:val="en-US" w:eastAsia="zh-CN"/>
                    </w:rPr>
                    <w:t>除重点防渗区和一般防渗区外为简单防渗区，采取水泥地面硬化。</w:t>
                  </w:r>
                  <w:r>
                    <w:rPr>
                      <w:rFonts w:hint="default" w:ascii="Times New Roman" w:hAnsi="Times New Roman" w:eastAsia="宋体" w:cs="Times New Roman"/>
                      <w:color w:val="auto"/>
                      <w:spacing w:val="0"/>
                      <w:kern w:val="0"/>
                      <w:position w:val="0"/>
                      <w:sz w:val="21"/>
                      <w:szCs w:val="21"/>
                      <w:highlight w:val="none"/>
                    </w:rPr>
                    <w:t>项目</w:t>
                  </w:r>
                  <w:r>
                    <w:rPr>
                      <w:rFonts w:hint="default" w:ascii="Times New Roman" w:hAnsi="Times New Roman" w:eastAsia="宋体" w:cs="Times New Roman"/>
                      <w:color w:val="auto"/>
                      <w:spacing w:val="0"/>
                      <w:kern w:val="0"/>
                      <w:position w:val="0"/>
                      <w:sz w:val="21"/>
                      <w:szCs w:val="21"/>
                      <w:highlight w:val="none"/>
                      <w:lang w:val="en-US" w:eastAsia="zh-CN"/>
                    </w:rPr>
                    <w:t>符合</w:t>
                  </w:r>
                  <w:r>
                    <w:rPr>
                      <w:rFonts w:hint="default" w:ascii="Times New Roman" w:hAnsi="Times New Roman" w:eastAsia="宋体" w:cs="Times New Roman"/>
                      <w:color w:val="auto"/>
                      <w:spacing w:val="0"/>
                      <w:kern w:val="0"/>
                      <w:position w:val="0"/>
                      <w:sz w:val="21"/>
                      <w:szCs w:val="21"/>
                      <w:highlight w:val="none"/>
                    </w:rPr>
                    <w:t>要求。</w:t>
                  </w:r>
                </w:p>
              </w:tc>
            </w:tr>
            <w:tr w14:paraId="6955D8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1" w:hRule="atLeast"/>
                <w:jc w:val="center"/>
              </w:trPr>
              <w:tc>
                <w:tcPr>
                  <w:tcW w:w="727" w:type="dxa"/>
                  <w:noWrap w:val="0"/>
                  <w:vAlign w:val="center"/>
                </w:tcPr>
                <w:p w14:paraId="72E010B4">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rPr>
                    <w:t>声环境</w:t>
                  </w:r>
                </w:p>
              </w:tc>
              <w:tc>
                <w:tcPr>
                  <w:tcW w:w="3146" w:type="dxa"/>
                  <w:noWrap w:val="0"/>
                  <w:vAlign w:val="center"/>
                </w:tcPr>
                <w:p w14:paraId="35D86ACB">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rPr>
                    <w:t>工业噪声采取合理布局、控制噪声源、加强管理措施。</w:t>
                  </w:r>
                </w:p>
              </w:tc>
              <w:tc>
                <w:tcPr>
                  <w:tcW w:w="2914" w:type="dxa"/>
                  <w:noWrap w:val="0"/>
                  <w:vAlign w:val="center"/>
                </w:tcPr>
                <w:p w14:paraId="6DF2D085">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rPr>
                    <w:t>项目车间设备采取合理布局、基础减振措施，符合要求。</w:t>
                  </w:r>
                </w:p>
              </w:tc>
            </w:tr>
            <w:tr w14:paraId="688F91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7" w:type="dxa"/>
                  <w:noWrap w:val="0"/>
                  <w:vAlign w:val="center"/>
                </w:tcPr>
                <w:p w14:paraId="4C66B2E1">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rPr>
                    <w:t>固废</w:t>
                  </w:r>
                </w:p>
              </w:tc>
              <w:tc>
                <w:tcPr>
                  <w:tcW w:w="3146" w:type="dxa"/>
                  <w:noWrap w:val="0"/>
                  <w:vAlign w:val="center"/>
                </w:tcPr>
                <w:p w14:paraId="3382F7D4">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rPr>
                    <w:t>一般固废采取改进生产工艺，减少产生量，鼓励综合利用。危废分类管理，分类收集、贮存，与具有危险废物经营许可证的单位签订处置协议。</w:t>
                  </w:r>
                </w:p>
              </w:tc>
              <w:tc>
                <w:tcPr>
                  <w:tcW w:w="2914" w:type="dxa"/>
                  <w:noWrap w:val="0"/>
                  <w:vAlign w:val="center"/>
                </w:tcPr>
                <w:p w14:paraId="68E4B004">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rPr>
                    <w:t>项目产生的油角、脂肪酸</w:t>
                  </w:r>
                  <w:r>
                    <w:rPr>
                      <w:rFonts w:hint="default" w:ascii="Times New Roman" w:hAnsi="Times New Roman" w:cs="Times New Roman"/>
                      <w:color w:val="auto"/>
                      <w:spacing w:val="0"/>
                      <w:kern w:val="0"/>
                      <w:position w:val="0"/>
                      <w:sz w:val="21"/>
                      <w:szCs w:val="21"/>
                      <w:highlight w:val="none"/>
                      <w:lang w:eastAsia="zh-CN"/>
                    </w:rPr>
                    <w:t>、</w:t>
                  </w:r>
                  <w:r>
                    <w:rPr>
                      <w:rFonts w:hint="default" w:ascii="Times New Roman" w:hAnsi="Times New Roman" w:eastAsia="宋体" w:cs="Times New Roman"/>
                      <w:color w:val="auto"/>
                      <w:spacing w:val="0"/>
                      <w:kern w:val="0"/>
                      <w:position w:val="0"/>
                      <w:sz w:val="21"/>
                      <w:szCs w:val="21"/>
                      <w:highlight w:val="none"/>
                    </w:rPr>
                    <w:t>锅炉炉渣、锅炉除尘器收尘外售综合利用。</w:t>
                  </w:r>
                  <w:r>
                    <w:rPr>
                      <w:rFonts w:hint="default" w:ascii="Times New Roman" w:hAnsi="Times New Roman" w:eastAsia="宋体" w:cs="Times New Roman"/>
                      <w:color w:val="auto"/>
                      <w:spacing w:val="0"/>
                      <w:kern w:val="0"/>
                      <w:position w:val="0"/>
                      <w:sz w:val="21"/>
                      <w:szCs w:val="21"/>
                      <w:highlight w:val="none"/>
                      <w:lang w:val="en-US" w:eastAsia="zh-CN"/>
                    </w:rPr>
                    <w:t>危险废物</w:t>
                  </w:r>
                  <w:r>
                    <w:rPr>
                      <w:rFonts w:hint="default" w:ascii="Times New Roman" w:hAnsi="Times New Roman" w:eastAsia="宋体" w:cs="Times New Roman"/>
                      <w:color w:val="auto"/>
                      <w:spacing w:val="0"/>
                      <w:kern w:val="0"/>
                      <w:position w:val="0"/>
                      <w:sz w:val="21"/>
                      <w:szCs w:val="21"/>
                      <w:highlight w:val="none"/>
                    </w:rPr>
                    <w:t>与具有危险废物经营许可证的单位签订处置协议</w:t>
                  </w:r>
                  <w:r>
                    <w:rPr>
                      <w:rFonts w:hint="default" w:ascii="Times New Roman" w:hAnsi="Times New Roman" w:eastAsia="宋体" w:cs="Times New Roman"/>
                      <w:color w:val="auto"/>
                      <w:spacing w:val="0"/>
                      <w:kern w:val="0"/>
                      <w:position w:val="0"/>
                      <w:sz w:val="21"/>
                      <w:szCs w:val="21"/>
                      <w:highlight w:val="none"/>
                      <w:lang w:eastAsia="zh-CN"/>
                    </w:rPr>
                    <w:t>，</w:t>
                  </w:r>
                  <w:r>
                    <w:rPr>
                      <w:rFonts w:hint="default" w:ascii="Times New Roman" w:hAnsi="Times New Roman" w:eastAsia="宋体" w:cs="Times New Roman"/>
                      <w:color w:val="auto"/>
                      <w:spacing w:val="0"/>
                      <w:kern w:val="0"/>
                      <w:position w:val="0"/>
                      <w:sz w:val="21"/>
                      <w:szCs w:val="21"/>
                      <w:highlight w:val="none"/>
                    </w:rPr>
                    <w:t>符合要求。</w:t>
                  </w:r>
                </w:p>
              </w:tc>
            </w:tr>
          </w:tbl>
          <w:p w14:paraId="7650D108">
            <w:pPr>
              <w:keepNext w:val="0"/>
              <w:keepLines w:val="0"/>
              <w:pageBreakBefore w:val="0"/>
              <w:widowControl w:val="0"/>
              <w:kinsoku/>
              <w:wordWrap w:val="0"/>
              <w:overflowPunct/>
              <w:topLinePunct w:val="0"/>
              <w:autoSpaceDE w:val="0"/>
              <w:autoSpaceDN w:val="0"/>
              <w:bidi w:val="0"/>
              <w:adjustRightInd w:val="0"/>
              <w:snapToGrid w:val="0"/>
              <w:spacing w:beforeAutospacing="0" w:afterAutospacing="0" w:line="360" w:lineRule="auto"/>
              <w:ind w:left="0" w:leftChars="0" w:right="0" w:rightChars="0" w:firstLine="482" w:firstLineChars="200"/>
              <w:jc w:val="left"/>
              <w:textAlignment w:val="auto"/>
              <w:rPr>
                <w:rFonts w:hint="default" w:ascii="Times New Roman" w:hAnsi="Times New Roman" w:eastAsia="宋体" w:cs="Times New Roman"/>
                <w:b/>
                <w:color w:val="auto"/>
                <w:spacing w:val="0"/>
                <w:kern w:val="0"/>
                <w:position w:val="0"/>
                <w:sz w:val="24"/>
                <w:szCs w:val="24"/>
                <w:highlight w:val="none"/>
              </w:rPr>
            </w:pPr>
            <w:r>
              <w:rPr>
                <w:rFonts w:hint="default" w:ascii="Times New Roman" w:hAnsi="Times New Roman" w:eastAsia="宋体" w:cs="Times New Roman"/>
                <w:b/>
                <w:color w:val="auto"/>
                <w:spacing w:val="0"/>
                <w:kern w:val="0"/>
                <w:position w:val="0"/>
                <w:sz w:val="24"/>
                <w:szCs w:val="24"/>
                <w:highlight w:val="none"/>
              </w:rPr>
              <w:t>三、关于《黑龙江桦川经济开发区控制性详细规划修编（2021-2030）环境影响报告书》的审查意见符合性分析</w:t>
            </w:r>
          </w:p>
          <w:p w14:paraId="46E6F85E">
            <w:pPr>
              <w:keepNext w:val="0"/>
              <w:keepLines w:val="0"/>
              <w:pageBreakBefore w:val="0"/>
              <w:kinsoku/>
              <w:wordWrap/>
              <w:overflowPunct/>
              <w:topLinePunct w:val="0"/>
              <w:autoSpaceDE w:val="0"/>
              <w:autoSpaceDN w:val="0"/>
              <w:bidi w:val="0"/>
              <w:adjustRightInd w:val="0"/>
              <w:snapToGrid w:val="0"/>
              <w:spacing w:beforeAutospacing="0" w:afterAutospacing="0" w:line="360" w:lineRule="auto"/>
              <w:ind w:left="0" w:leftChars="0" w:right="0" w:rightChars="0" w:firstLine="480" w:firstLineChars="200"/>
              <w:jc w:val="left"/>
              <w:rPr>
                <w:rFonts w:hint="default" w:ascii="Times New Roman" w:hAnsi="Times New Roman" w:eastAsia="宋体" w:cs="Times New Roman"/>
                <w:color w:val="auto"/>
                <w:spacing w:val="0"/>
                <w:kern w:val="0"/>
                <w:position w:val="0"/>
                <w:sz w:val="24"/>
                <w:szCs w:val="24"/>
                <w:highlight w:val="none"/>
              </w:rPr>
            </w:pPr>
            <w:r>
              <w:rPr>
                <w:rFonts w:hint="default" w:ascii="Times New Roman" w:hAnsi="Times New Roman" w:eastAsia="宋体" w:cs="Times New Roman"/>
                <w:color w:val="auto"/>
                <w:spacing w:val="0"/>
                <w:kern w:val="0"/>
                <w:position w:val="0"/>
                <w:sz w:val="24"/>
                <w:szCs w:val="24"/>
                <w:highlight w:val="none"/>
              </w:rPr>
              <w:t>审查意见中对规划包含项目环评的指导意见：符合园区产业定位、产业布局的建设项目，在开展环境影响评价时，重点关注水环境、大气环境、保护区环境风险等环境影响分析，与有关规划的协调性分析、公众参与调查和环境现状调查等方面的内容</w:t>
            </w:r>
            <w:r>
              <w:rPr>
                <w:rFonts w:hint="default" w:ascii="Times New Roman" w:hAnsi="Times New Roman" w:cs="Times New Roman"/>
                <w:color w:val="auto"/>
                <w:spacing w:val="0"/>
                <w:kern w:val="0"/>
                <w:position w:val="0"/>
                <w:sz w:val="24"/>
                <w:szCs w:val="24"/>
                <w:highlight w:val="none"/>
                <w:lang w:eastAsia="zh-CN"/>
              </w:rPr>
              <w:t>可以</w:t>
            </w:r>
            <w:r>
              <w:rPr>
                <w:rFonts w:hint="default" w:ascii="Times New Roman" w:hAnsi="Times New Roman" w:eastAsia="宋体" w:cs="Times New Roman"/>
                <w:color w:val="auto"/>
                <w:spacing w:val="0"/>
                <w:kern w:val="0"/>
                <w:position w:val="0"/>
                <w:sz w:val="24"/>
                <w:szCs w:val="24"/>
                <w:highlight w:val="none"/>
              </w:rPr>
              <w:t>适当简化。</w:t>
            </w:r>
          </w:p>
          <w:p w14:paraId="7FC8EBBA">
            <w:pPr>
              <w:keepNext w:val="0"/>
              <w:keepLines w:val="0"/>
              <w:pageBreakBefore w:val="0"/>
              <w:kinsoku/>
              <w:wordWrap/>
              <w:overflowPunct/>
              <w:topLinePunct w:val="0"/>
              <w:autoSpaceDE w:val="0"/>
              <w:autoSpaceDN w:val="0"/>
              <w:bidi w:val="0"/>
              <w:adjustRightInd w:val="0"/>
              <w:snapToGrid w:val="0"/>
              <w:spacing w:beforeAutospacing="0" w:afterAutospacing="0" w:line="360" w:lineRule="auto"/>
              <w:ind w:left="0" w:leftChars="0" w:right="0" w:rightChars="0" w:firstLine="480" w:firstLineChars="200"/>
              <w:jc w:val="left"/>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 w:val="24"/>
                <w:szCs w:val="24"/>
                <w:highlight w:val="none"/>
              </w:rPr>
              <w:t>本项目所在的区域为农副食品加工区。项目的国民经济行业类别为</w:t>
            </w:r>
            <w:r>
              <w:rPr>
                <w:rFonts w:hint="default" w:ascii="Times New Roman" w:hAnsi="Times New Roman" w:eastAsia="宋体" w:cs="Times New Roman"/>
                <w:color w:val="auto"/>
                <w:spacing w:val="0"/>
                <w:position w:val="0"/>
                <w:sz w:val="24"/>
                <w:szCs w:val="24"/>
                <w:highlight w:val="none"/>
              </w:rPr>
              <w:t>C1331 食用植物油加工</w:t>
            </w:r>
            <w:r>
              <w:rPr>
                <w:rFonts w:hint="default" w:ascii="Times New Roman" w:hAnsi="Times New Roman" w:eastAsia="宋体" w:cs="Times New Roman"/>
                <w:color w:val="auto"/>
                <w:spacing w:val="0"/>
                <w:kern w:val="0"/>
                <w:position w:val="0"/>
                <w:sz w:val="24"/>
                <w:szCs w:val="24"/>
                <w:highlight w:val="none"/>
              </w:rPr>
              <w:t>，项目的建设符合工业园区功能定位。项目无生产废水产生，本次评价重点关注大气环境影响分析，项目的建设符合关于《黑龙江桦川经济开发区控制性详细规划修编（2021-2030）环境影响报告书》的审查意见的要求。</w:t>
            </w:r>
          </w:p>
        </w:tc>
      </w:tr>
      <w:tr w14:paraId="1DCE80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40" w:type="dxa"/>
            <w:noWrap w:val="0"/>
            <w:vAlign w:val="center"/>
          </w:tcPr>
          <w:p w14:paraId="32B7315A">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 w:val="24"/>
                <w:szCs w:val="24"/>
                <w:highlight w:val="none"/>
              </w:rPr>
              <w:t>其他符合性分析</w:t>
            </w:r>
          </w:p>
        </w:tc>
        <w:tc>
          <w:tcPr>
            <w:tcW w:w="7030" w:type="dxa"/>
            <w:gridSpan w:val="3"/>
            <w:noWrap w:val="0"/>
            <w:vAlign w:val="center"/>
          </w:tcPr>
          <w:p w14:paraId="4BDD615C">
            <w:pPr>
              <w:pStyle w:val="87"/>
              <w:keepLines w:val="0"/>
              <w:pageBreakBefore w:val="0"/>
              <w:widowControl w:val="0"/>
              <w:wordWrap/>
              <w:overflowPunct w:val="0"/>
              <w:topLinePunct w:val="0"/>
              <w:autoSpaceDE/>
              <w:autoSpaceDN/>
              <w:bidi w:val="0"/>
              <w:adjustRightInd w:val="0"/>
              <w:snapToGrid w:val="0"/>
              <w:spacing w:line="360" w:lineRule="auto"/>
              <w:ind w:left="0" w:leftChars="0" w:firstLine="0" w:firstLineChars="0"/>
              <w:rPr>
                <w:rFonts w:hint="default" w:ascii="Times New Roman" w:hAnsi="Times New Roman" w:eastAsia="宋体" w:cs="Times New Roman"/>
                <w:b/>
                <w:bCs w:val="0"/>
                <w:color w:val="auto"/>
                <w:spacing w:val="0"/>
                <w:w w:val="100"/>
                <w:kern w:val="0"/>
                <w:sz w:val="24"/>
                <w:szCs w:val="24"/>
                <w:highlight w:val="none"/>
                <w:lang w:val="en-US" w:eastAsia="zh-CN"/>
              </w:rPr>
            </w:pPr>
            <w:r>
              <w:rPr>
                <w:rFonts w:hint="default" w:ascii="Times New Roman" w:hAnsi="Times New Roman" w:eastAsia="宋体" w:cs="Times New Roman"/>
                <w:b/>
                <w:bCs w:val="0"/>
                <w:color w:val="auto"/>
                <w:spacing w:val="0"/>
                <w:w w:val="100"/>
                <w:kern w:val="0"/>
                <w:sz w:val="24"/>
                <w:szCs w:val="24"/>
                <w:highlight w:val="none"/>
              </w:rPr>
              <w:t>1、产业政策合理性</w:t>
            </w:r>
            <w:r>
              <w:rPr>
                <w:rFonts w:hint="default" w:ascii="Times New Roman" w:hAnsi="Times New Roman" w:cs="Times New Roman"/>
                <w:b/>
                <w:bCs w:val="0"/>
                <w:color w:val="auto"/>
                <w:spacing w:val="0"/>
                <w:w w:val="100"/>
                <w:kern w:val="0"/>
                <w:sz w:val="24"/>
                <w:szCs w:val="24"/>
                <w:highlight w:val="none"/>
                <w:lang w:val="en-US" w:eastAsia="zh-CN"/>
              </w:rPr>
              <w:t>分析</w:t>
            </w:r>
          </w:p>
          <w:p w14:paraId="50271365">
            <w:pPr>
              <w:keepLines w:val="0"/>
              <w:pageBreakBefore w:val="0"/>
              <w:widowControl w:val="0"/>
              <w:wordWrap/>
              <w:overflowPunct w:val="0"/>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pacing w:val="0"/>
                <w:w w:val="100"/>
                <w:kern w:val="0"/>
                <w:sz w:val="24"/>
                <w:szCs w:val="24"/>
                <w:highlight w:val="none"/>
                <w:lang w:val="en-US" w:eastAsia="zh-CN"/>
              </w:rPr>
            </w:pPr>
            <w:r>
              <w:rPr>
                <w:rFonts w:hint="default" w:ascii="Times New Roman" w:hAnsi="Times New Roman" w:eastAsia="宋体" w:cs="Times New Roman"/>
                <w:color w:val="auto"/>
                <w:spacing w:val="0"/>
                <w:w w:val="100"/>
                <w:kern w:val="0"/>
                <w:sz w:val="24"/>
                <w:szCs w:val="24"/>
                <w:highlight w:val="none"/>
                <w:lang w:val="en-US" w:eastAsia="zh-CN"/>
              </w:rPr>
              <w:t>本项目不属于《产业结构调整指导目录（2024年本）》中鼓励类、限制类、淘汰类项目，为允许建设的项目，符合国家产业政策。</w:t>
            </w:r>
          </w:p>
          <w:p w14:paraId="761204D2">
            <w:pPr>
              <w:keepLines w:val="0"/>
              <w:pageBreakBefore w:val="0"/>
              <w:widowControl w:val="0"/>
              <w:wordWrap/>
              <w:overflowPunct w:val="0"/>
              <w:topLinePunct w:val="0"/>
              <w:autoSpaceDE/>
              <w:autoSpaceDN/>
              <w:bidi w:val="0"/>
              <w:adjustRightInd w:val="0"/>
              <w:snapToGrid w:val="0"/>
              <w:spacing w:line="360" w:lineRule="auto"/>
              <w:rPr>
                <w:rFonts w:hint="default" w:ascii="Times New Roman" w:hAnsi="Times New Roman" w:eastAsia="宋体" w:cs="Times New Roman"/>
                <w:b/>
                <w:bCs/>
                <w:color w:val="auto"/>
                <w:spacing w:val="0"/>
                <w:w w:val="100"/>
                <w:kern w:val="0"/>
                <w:sz w:val="24"/>
                <w:szCs w:val="24"/>
                <w:highlight w:val="none"/>
              </w:rPr>
            </w:pPr>
            <w:r>
              <w:rPr>
                <w:rFonts w:hint="default" w:ascii="Times New Roman" w:hAnsi="Times New Roman" w:eastAsia="宋体" w:cs="Times New Roman"/>
                <w:b/>
                <w:bCs/>
                <w:color w:val="auto"/>
                <w:spacing w:val="0"/>
                <w:w w:val="100"/>
                <w:kern w:val="0"/>
                <w:sz w:val="24"/>
                <w:szCs w:val="24"/>
                <w:highlight w:val="none"/>
                <w:lang w:val="en-US" w:eastAsia="zh-CN"/>
              </w:rPr>
              <w:t>2</w:t>
            </w:r>
            <w:r>
              <w:rPr>
                <w:rFonts w:hint="default" w:ascii="Times New Roman" w:hAnsi="Times New Roman" w:eastAsia="宋体" w:cs="Times New Roman"/>
                <w:b/>
                <w:bCs/>
                <w:color w:val="auto"/>
                <w:spacing w:val="0"/>
                <w:w w:val="100"/>
                <w:kern w:val="0"/>
                <w:sz w:val="24"/>
                <w:szCs w:val="24"/>
                <w:highlight w:val="none"/>
              </w:rPr>
              <w:t>、</w:t>
            </w:r>
            <w:r>
              <w:rPr>
                <w:rFonts w:hint="default" w:ascii="Times New Roman" w:hAnsi="Times New Roman" w:eastAsia="宋体" w:cs="Times New Roman"/>
                <w:b/>
                <w:bCs/>
                <w:color w:val="auto"/>
                <w:spacing w:val="0"/>
                <w:w w:val="100"/>
                <w:kern w:val="0"/>
                <w:sz w:val="24"/>
                <w:szCs w:val="24"/>
                <w:highlight w:val="none"/>
                <w:lang w:val="en-US" w:eastAsia="zh-CN"/>
              </w:rPr>
              <w:t>生态环境分区管控</w:t>
            </w:r>
            <w:r>
              <w:rPr>
                <w:rFonts w:hint="default" w:ascii="Times New Roman" w:hAnsi="Times New Roman" w:eastAsia="宋体" w:cs="Times New Roman"/>
                <w:b/>
                <w:bCs/>
                <w:color w:val="auto"/>
                <w:spacing w:val="0"/>
                <w:w w:val="100"/>
                <w:kern w:val="0"/>
                <w:sz w:val="24"/>
                <w:szCs w:val="24"/>
                <w:highlight w:val="none"/>
              </w:rPr>
              <w:t>符合性分析</w:t>
            </w:r>
          </w:p>
          <w:p w14:paraId="75873A88">
            <w:pPr>
              <w:keepNext w:val="0"/>
              <w:keepLines w:val="0"/>
              <w:pageBreakBefore w:val="0"/>
              <w:widowControl w:val="0"/>
              <w:kinsoku/>
              <w:wordWrap w:val="0"/>
              <w:overflowPunct/>
              <w:topLinePunct/>
              <w:autoSpaceDE/>
              <w:autoSpaceDN/>
              <w:bidi w:val="0"/>
              <w:adjustRightInd w:val="0"/>
              <w:snapToGrid w:val="0"/>
              <w:spacing w:line="360" w:lineRule="auto"/>
              <w:ind w:left="0" w:leftChars="0" w:right="0" w:firstLine="480" w:firstLineChars="200"/>
              <w:jc w:val="left"/>
              <w:textAlignment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highlight w:val="none"/>
              </w:rPr>
              <w:t>本项目位于</w:t>
            </w:r>
            <w:r>
              <w:rPr>
                <w:rFonts w:hint="default" w:ascii="Times New Roman" w:hAnsi="Times New Roman" w:eastAsia="宋体" w:cs="Times New Roman"/>
                <w:color w:val="auto"/>
                <w:spacing w:val="0"/>
                <w:position w:val="0"/>
                <w:sz w:val="24"/>
                <w:szCs w:val="24"/>
                <w:highlight w:val="none"/>
              </w:rPr>
              <w:t>黑龙江省佳木斯市桦川县悦来镇悦来大街南段（桦川县泰丰植物油脂有限公司院内）</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kern w:val="2"/>
                <w:sz w:val="24"/>
                <w:szCs w:val="24"/>
                <w:highlight w:val="none"/>
                <w:lang w:val="en-US" w:eastAsia="zh-CN" w:bidi="ar-SA"/>
              </w:rPr>
              <w:t>按照《自然资源部办公厅关于辽宁等省（市）启用</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三区三线</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划定成果作为报批建设项目用地用海依据的函》（自然资办函〔2022〕2341号）批复的黑龙江省划定成果，本项目不包含保护地与生态保护红线清单禁止项内容。</w:t>
            </w:r>
          </w:p>
          <w:p w14:paraId="40F6DEE1">
            <w:pPr>
              <w:pStyle w:val="98"/>
              <w:keepNext w:val="0"/>
              <w:keepLines w:val="0"/>
              <w:pageBreakBefore w:val="0"/>
              <w:kinsoku/>
              <w:bidi w:val="0"/>
              <w:adjustRightInd w:val="0"/>
              <w:snapToGrid w:val="0"/>
              <w:spacing w:after="0"/>
              <w:ind w:left="0" w:leftChars="0" w:right="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highlight w:val="none"/>
              </w:rPr>
              <w:t>根据黑龙江省</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三区三线</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划定结果，本项目选址不在生态保护红线范围内。本项目所在区域内无国家、省、市级自然保护区、风景名胜区、世界文化和自然遗产地、海洋特别保护区、基本农田保护区、基本草原、森林公园、地质公园、重要湿地、天然林、野生动物重要栖息地、重点保护野生植物生长繁殖地、重要水生生物的自然产卵场、索饵场、越冬场和洄游通道、天然渔场、沙化土地封禁保</w:t>
            </w:r>
            <w:r>
              <w:rPr>
                <w:rFonts w:hint="default" w:ascii="Times New Roman" w:hAnsi="Times New Roman" w:eastAsia="宋体" w:cs="Times New Roman"/>
                <w:color w:val="auto"/>
                <w:sz w:val="24"/>
                <w:szCs w:val="24"/>
                <w:highlight w:val="none"/>
              </w:rPr>
              <w:t>护区、封闭及半封闭海域等环境敏感区</w:t>
            </w:r>
            <w:r>
              <w:rPr>
                <w:rFonts w:hint="default" w:ascii="Times New Roman" w:hAnsi="Times New Roman" w:eastAsia="宋体" w:cs="Times New Roman"/>
                <w:color w:val="auto"/>
                <w:sz w:val="24"/>
                <w:szCs w:val="24"/>
                <w:highlight w:val="none"/>
                <w:lang w:eastAsia="zh-CN"/>
              </w:rPr>
              <w:t>。</w:t>
            </w:r>
          </w:p>
          <w:p w14:paraId="149B218E">
            <w:pPr>
              <w:keepNext w:val="0"/>
              <w:keepLines w:val="0"/>
              <w:pageBreakBefore w:val="0"/>
              <w:kinsoku/>
              <w:bidi w:val="0"/>
              <w:adjustRightInd w:val="0"/>
              <w:snapToGrid w:val="0"/>
              <w:spacing w:line="360" w:lineRule="auto"/>
              <w:ind w:left="0" w:leftChars="0" w:right="0"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根据2024年1月22日黑龙江省生态环境厅《关于发布2023年生态环境分区管控动态更新成果的通知》（黑环发〔2024〕1号）</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《黑龙江省生态环境分区管控文本（2023年版）</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黑龙江龙粮油脂有限公司10万吨米糠及3万吨大豆制油加工项目</w:t>
            </w:r>
            <w:r>
              <w:rPr>
                <w:rFonts w:hint="default" w:ascii="Times New Roman" w:hAnsi="Times New Roman" w:eastAsia="宋体" w:cs="Times New Roman"/>
                <w:color w:val="auto"/>
                <w:sz w:val="24"/>
                <w:szCs w:val="24"/>
                <w:highlight w:val="none"/>
                <w:lang w:eastAsia="zh-CN"/>
              </w:rPr>
              <w:t>生态环境分区管控分析报告》</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eastAsia="zh-CN"/>
              </w:rPr>
              <w:t>在结合</w:t>
            </w:r>
            <w:r>
              <w:rPr>
                <w:rFonts w:hint="default" w:ascii="Times New Roman" w:hAnsi="Times New Roman" w:eastAsia="宋体" w:cs="Times New Roman"/>
                <w:color w:val="auto"/>
                <w:sz w:val="24"/>
                <w:szCs w:val="24"/>
                <w:highlight w:val="none"/>
              </w:rPr>
              <w:t>本项目生产工艺、排污状况和区域环境及环境质量现状进行调查的基础上，本项目与管控要求符合性</w:t>
            </w:r>
            <w:r>
              <w:rPr>
                <w:rFonts w:hint="default" w:ascii="Times New Roman" w:hAnsi="Times New Roman" w:eastAsia="宋体" w:cs="Times New Roman"/>
                <w:color w:val="auto"/>
                <w:sz w:val="24"/>
                <w:szCs w:val="24"/>
                <w:highlight w:val="none"/>
                <w:lang w:val="en-US" w:eastAsia="zh-CN"/>
              </w:rPr>
              <w:t>如下：</w:t>
            </w:r>
          </w:p>
          <w:p w14:paraId="657CAE20">
            <w:pPr>
              <w:keepNext w:val="0"/>
              <w:keepLines w:val="0"/>
              <w:pageBreakBefore w:val="0"/>
              <w:kinsoku/>
              <w:bidi w:val="0"/>
              <w:adjustRightInd w:val="0"/>
              <w:snapToGrid w:val="0"/>
              <w:spacing w:line="360" w:lineRule="auto"/>
              <w:ind w:left="0" w:leftChars="0" w:right="0" w:firstLine="480" w:firstLineChars="200"/>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eastAsia="zh-CN"/>
              </w:rPr>
              <w:t>）</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一图</w:t>
            </w:r>
            <w:r>
              <w:rPr>
                <w:rFonts w:hint="default" w:ascii="Times New Roman" w:hAnsi="Times New Roman" w:cs="Times New Roman"/>
                <w:color w:val="auto"/>
                <w:sz w:val="24"/>
                <w:highlight w:val="none"/>
                <w:lang w:eastAsia="zh-CN"/>
              </w:rPr>
              <w:t>”</w:t>
            </w:r>
          </w:p>
          <w:p w14:paraId="3B107DBC">
            <w:pPr>
              <w:pStyle w:val="110"/>
              <w:keepNext w:val="0"/>
              <w:keepLines w:val="0"/>
              <w:pageBreakBefore w:val="0"/>
              <w:widowControl w:val="0"/>
              <w:kinsoku/>
              <w:wordWrap w:val="0"/>
              <w:overflowPunct/>
              <w:topLinePunct/>
              <w:autoSpaceDE/>
              <w:autoSpaceDN/>
              <w:bidi w:val="0"/>
              <w:adjustRightInd w:val="0"/>
              <w:snapToGrid w:val="0"/>
              <w:spacing w:before="0" w:beforeLines="0" w:after="0" w:line="240" w:lineRule="auto"/>
              <w:ind w:left="0" w:leftChars="0" w:right="0"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4407535" cy="2247265"/>
                  <wp:effectExtent l="0" t="0" r="12065" b="635"/>
                  <wp:docPr id="11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5"/>
                          <pic:cNvPicPr>
                            <a:picLocks noChangeAspect="1"/>
                          </pic:cNvPicPr>
                        </pic:nvPicPr>
                        <pic:blipFill>
                          <a:blip r:embed="rId20"/>
                          <a:srcRect b="32022"/>
                          <a:stretch>
                            <a:fillRect/>
                          </a:stretch>
                        </pic:blipFill>
                        <pic:spPr>
                          <a:xfrm>
                            <a:off x="0" y="0"/>
                            <a:ext cx="4407535" cy="2247265"/>
                          </a:xfrm>
                          <a:prstGeom prst="rect">
                            <a:avLst/>
                          </a:prstGeom>
                          <a:noFill/>
                          <a:ln>
                            <a:noFill/>
                          </a:ln>
                        </pic:spPr>
                      </pic:pic>
                    </a:graphicData>
                  </a:graphic>
                </wp:inline>
              </w:drawing>
            </w:r>
          </w:p>
          <w:p w14:paraId="11654795">
            <w:pPr>
              <w:pStyle w:val="110"/>
              <w:keepNext w:val="0"/>
              <w:keepLines w:val="0"/>
              <w:pageBreakBefore w:val="0"/>
              <w:widowControl w:val="0"/>
              <w:kinsoku/>
              <w:wordWrap w:val="0"/>
              <w:overflowPunct/>
              <w:topLinePunct/>
              <w:autoSpaceDE/>
              <w:autoSpaceDN/>
              <w:bidi w:val="0"/>
              <w:adjustRightInd w:val="0"/>
              <w:snapToGrid w:val="0"/>
              <w:spacing w:before="0" w:beforeLines="0" w:after="0" w:line="240" w:lineRule="auto"/>
              <w:ind w:left="0" w:leftChars="0" w:right="0"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
                <w:bCs/>
                <w:color w:val="auto"/>
                <w:sz w:val="24"/>
                <w:szCs w:val="24"/>
                <w:highlight w:val="none"/>
                <w:lang w:val="en-US" w:eastAsia="zh-CN"/>
              </w:rPr>
              <w:t>图1-1 与环境管控单元叠加图</w:t>
            </w:r>
          </w:p>
          <w:p w14:paraId="5EC67C3E">
            <w:pPr>
              <w:pStyle w:val="110"/>
              <w:keepNext w:val="0"/>
              <w:keepLines w:val="0"/>
              <w:pageBreakBefore w:val="0"/>
              <w:kinsoku/>
              <w:bidi w:val="0"/>
              <w:adjustRightInd w:val="0"/>
              <w:snapToGrid w:val="0"/>
              <w:spacing w:before="0" w:beforeLines="0" w:after="0"/>
              <w:ind w:left="0" w:leftChars="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根据图1-1，本项目与环境管控单元叠加图显示，本项目不属于优先保护单元，属于重点管控单元。本项目强化环境管理水平，且本项目不侵占生态保护红线、水源涵养功能极重要区、</w:t>
            </w:r>
            <w:r>
              <w:rPr>
                <w:rFonts w:hint="eastAsia" w:cs="Times New Roman"/>
                <w:color w:val="auto"/>
                <w:highlight w:val="none"/>
                <w:lang w:val="en-US" w:eastAsia="zh-CN"/>
              </w:rPr>
              <w:t>生物多样性保护</w:t>
            </w:r>
            <w:r>
              <w:rPr>
                <w:rFonts w:hint="default" w:ascii="Times New Roman" w:hAnsi="Times New Roman" w:eastAsia="宋体" w:cs="Times New Roman"/>
                <w:color w:val="auto"/>
                <w:highlight w:val="none"/>
                <w:lang w:val="en-US" w:eastAsia="zh-CN"/>
              </w:rPr>
              <w:t>功能极重要区，因此满足生态保护红线的要求。本项目建设符合国家产业政策和国家土地供应政策，不占用永久基本农田，不占用自然保护区，项目符合用地要求及“三区三线”管控要求。</w:t>
            </w:r>
          </w:p>
          <w:p w14:paraId="214A82A7">
            <w:pPr>
              <w:pStyle w:val="110"/>
              <w:keepNext w:val="0"/>
              <w:keepLines w:val="0"/>
              <w:pageBreakBefore w:val="0"/>
              <w:kinsoku/>
              <w:bidi w:val="0"/>
              <w:adjustRightInd w:val="0"/>
              <w:snapToGrid w:val="0"/>
              <w:spacing w:before="0" w:beforeLines="0" w:after="0"/>
              <w:ind w:left="0" w:leftChars="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一表</w:t>
            </w:r>
            <w:r>
              <w:rPr>
                <w:rFonts w:hint="default" w:ascii="Times New Roman" w:hAnsi="Times New Roman" w:cs="Times New Roman"/>
                <w:color w:val="auto"/>
                <w:highlight w:val="none"/>
                <w:lang w:val="en-US" w:eastAsia="zh-CN"/>
              </w:rPr>
              <w:t>”</w:t>
            </w:r>
          </w:p>
          <w:p w14:paraId="0577011F">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firstLine="0" w:firstLine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表1-2 本项目</w:t>
            </w:r>
            <w:r>
              <w:rPr>
                <w:rFonts w:hint="default" w:ascii="Times New Roman" w:hAnsi="Times New Roman"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lang w:val="en-US" w:eastAsia="zh-CN"/>
              </w:rPr>
              <w:t>生态环境分区管控</w:t>
            </w:r>
            <w:r>
              <w:rPr>
                <w:rFonts w:hint="default" w:ascii="Times New Roman" w:hAnsi="Times New Roman"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lang w:val="en-US" w:eastAsia="zh-CN"/>
              </w:rPr>
              <w:t>符合性分析表</w:t>
            </w:r>
          </w:p>
          <w:tbl>
            <w:tblPr>
              <w:tblStyle w:val="30"/>
              <w:tblW w:w="684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9"/>
              <w:gridCol w:w="4410"/>
              <w:gridCol w:w="1561"/>
            </w:tblGrid>
            <w:tr w14:paraId="672E8A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840" w:type="dxa"/>
                  <w:gridSpan w:val="3"/>
                  <w:tcBorders>
                    <w:tl2br w:val="nil"/>
                    <w:tr2bl w:val="nil"/>
                  </w:tcBorders>
                  <w:vAlign w:val="center"/>
                </w:tcPr>
                <w:p w14:paraId="441B2ABB">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一、生态保护红线</w:t>
                  </w:r>
                </w:p>
              </w:tc>
            </w:tr>
            <w:tr w14:paraId="26594D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869" w:type="dxa"/>
                  <w:tcBorders>
                    <w:tl2br w:val="nil"/>
                    <w:tr2bl w:val="nil"/>
                  </w:tcBorders>
                  <w:vAlign w:val="center"/>
                </w:tcPr>
                <w:p w14:paraId="004C481A">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管控单元类别</w:t>
                  </w:r>
                </w:p>
              </w:tc>
              <w:tc>
                <w:tcPr>
                  <w:tcW w:w="5971" w:type="dxa"/>
                  <w:gridSpan w:val="2"/>
                  <w:tcBorders>
                    <w:tl2br w:val="nil"/>
                    <w:tr2bl w:val="nil"/>
                  </w:tcBorders>
                  <w:vAlign w:val="center"/>
                </w:tcPr>
                <w:p w14:paraId="34156530">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一般管控区</w:t>
                  </w:r>
                </w:p>
              </w:tc>
            </w:tr>
            <w:tr w14:paraId="66E6E0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869" w:type="dxa"/>
                  <w:tcBorders>
                    <w:tl2br w:val="nil"/>
                    <w:tr2bl w:val="nil"/>
                  </w:tcBorders>
                  <w:vAlign w:val="center"/>
                </w:tcPr>
                <w:p w14:paraId="233817E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管控要求</w:t>
                  </w:r>
                </w:p>
              </w:tc>
              <w:tc>
                <w:tcPr>
                  <w:tcW w:w="5971" w:type="dxa"/>
                  <w:gridSpan w:val="2"/>
                  <w:tcBorders>
                    <w:tl2br w:val="nil"/>
                    <w:tr2bl w:val="nil"/>
                  </w:tcBorders>
                  <w:vAlign w:val="center"/>
                </w:tcPr>
                <w:p w14:paraId="21B27BBA">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生态空间包括生态保护红线和一般生态空间，生态保护红线及一般生态空间均属于优先保护区，其余区域属于一般管控区。</w:t>
                  </w:r>
                </w:p>
              </w:tc>
            </w:tr>
            <w:tr w14:paraId="593F11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869" w:type="dxa"/>
                  <w:tcBorders>
                    <w:tl2br w:val="nil"/>
                    <w:tr2bl w:val="nil"/>
                  </w:tcBorders>
                  <w:vAlign w:val="center"/>
                </w:tcPr>
                <w:p w14:paraId="03285287">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符合性分析</w:t>
                  </w:r>
                </w:p>
              </w:tc>
              <w:tc>
                <w:tcPr>
                  <w:tcW w:w="5971" w:type="dxa"/>
                  <w:gridSpan w:val="2"/>
                  <w:tcBorders>
                    <w:tl2br w:val="nil"/>
                    <w:tr2bl w:val="nil"/>
                  </w:tcBorders>
                  <w:vAlign w:val="center"/>
                </w:tcPr>
                <w:p w14:paraId="352CC09A">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根据本项目的《生态环境分区管控分析报告》，本项目所在区域不属于生态保护红线和一般生态空间，因此本项目符合生态保护红线要求。</w:t>
                  </w:r>
                </w:p>
              </w:tc>
            </w:tr>
            <w:tr w14:paraId="56BFE1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840" w:type="dxa"/>
                  <w:gridSpan w:val="3"/>
                  <w:tcBorders>
                    <w:tl2br w:val="nil"/>
                    <w:tr2bl w:val="nil"/>
                  </w:tcBorders>
                  <w:vAlign w:val="center"/>
                </w:tcPr>
                <w:p w14:paraId="51A9425B">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二、环境质量底线</w:t>
                  </w:r>
                </w:p>
              </w:tc>
            </w:tr>
            <w:tr w14:paraId="5ABFF8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1" w:hRule="atLeast"/>
                <w:jc w:val="center"/>
              </w:trPr>
              <w:tc>
                <w:tcPr>
                  <w:tcW w:w="869" w:type="dxa"/>
                  <w:tcBorders>
                    <w:tl2br w:val="nil"/>
                    <w:tr2bl w:val="nil"/>
                  </w:tcBorders>
                  <w:vAlign w:val="center"/>
                </w:tcPr>
                <w:p w14:paraId="2E332BC8">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大气环境质量底线</w:t>
                  </w:r>
                </w:p>
              </w:tc>
              <w:tc>
                <w:tcPr>
                  <w:tcW w:w="5971" w:type="dxa"/>
                  <w:gridSpan w:val="2"/>
                  <w:tcBorders>
                    <w:tl2br w:val="nil"/>
                    <w:tr2bl w:val="nil"/>
                  </w:tcBorders>
                  <w:vAlign w:val="center"/>
                </w:tcPr>
                <w:p w14:paraId="100BB03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根据《202</w:t>
                  </w:r>
                  <w:r>
                    <w:rPr>
                      <w:rFonts w:hint="default" w:ascii="Times New Roman" w:hAnsi="Times New Roman" w:eastAsia="宋体" w:cs="Times New Roman"/>
                      <w:color w:val="auto"/>
                      <w:sz w:val="21"/>
                      <w:szCs w:val="21"/>
                      <w:highlight w:val="none"/>
                      <w:vertAlign w:val="baseline"/>
                      <w:lang w:val="en-US" w:eastAsia="zh-CN"/>
                    </w:rPr>
                    <w:t>4</w:t>
                  </w:r>
                  <w:r>
                    <w:rPr>
                      <w:rFonts w:hint="default" w:ascii="Times New Roman" w:hAnsi="Times New Roman" w:eastAsia="宋体" w:cs="Times New Roman"/>
                      <w:color w:val="auto"/>
                      <w:sz w:val="21"/>
                      <w:szCs w:val="21"/>
                      <w:highlight w:val="none"/>
                      <w:vertAlign w:val="baseline"/>
                    </w:rPr>
                    <w:t>年佳木斯市生态环境质量简报》，佳木斯市各污染物平均浓度均优于《环境空气质量标准》（GB3095-2012）及其修改单中二级标准限值</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rPr>
                    <w:t>为达标区。</w:t>
                  </w:r>
                </w:p>
                <w:p w14:paraId="6D7DD546">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lang w:val="en-US" w:eastAsia="zh-CN"/>
                    </w:rPr>
                    <w:t>本项目</w:t>
                  </w:r>
                  <w:r>
                    <w:rPr>
                      <w:rFonts w:hint="default" w:ascii="Times New Roman" w:hAnsi="Times New Roman" w:cs="Times New Roman"/>
                      <w:color w:val="auto"/>
                      <w:sz w:val="21"/>
                      <w:szCs w:val="21"/>
                      <w:highlight w:val="none"/>
                      <w:vertAlign w:val="baseline"/>
                      <w:lang w:val="en-US" w:eastAsia="zh-CN"/>
                    </w:rPr>
                    <w:t>预处理车间废气经集气装置+布袋除尘器处理后经由15m高排气筒排放；浸出车间废气经冷凝+石蜡油吸收后经由15m高排气筒排放；精炼车间废气经石蜡油吸收+活性炭吸附后经由15m高排气筒排放；锅炉废气经旋风+布袋除尘器处理后经由40m高烟囱排放；本项目污水处理站废气经活性炭吸附后经由15m高排气筒排放。本项目预处理车间、浸出车间均为密闭车间，车间内安装排风扇，本项目浸出工艺系统设置负压吸风系统；正己烷储罐采用地埋式；采用原装进口的填料和密封垫片，经常巡检泵、管件阀门、进料口等并及时处理，最大限度地降低溶剂蒸汽泄漏，溶剂（正己烷）在各个生产过程中设备及管线及投料口等的无组织泄漏。</w:t>
                  </w:r>
                  <w:r>
                    <w:rPr>
                      <w:rFonts w:hint="default" w:ascii="Times New Roman" w:hAnsi="Times New Roman" w:eastAsia="宋体" w:cs="Times New Roman"/>
                      <w:color w:val="auto"/>
                      <w:sz w:val="21"/>
                      <w:szCs w:val="21"/>
                      <w:highlight w:val="none"/>
                      <w:vertAlign w:val="baseline"/>
                    </w:rPr>
                    <w:t>综上，本项目建设对环境影响较小，不会突破项目所在区域的</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rPr>
                    <w:t>大气环境质量底线</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rPr>
                    <w:t>。</w:t>
                  </w:r>
                </w:p>
              </w:tc>
            </w:tr>
            <w:tr w14:paraId="47EBCD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90" w:hRule="atLeast"/>
                <w:jc w:val="center"/>
              </w:trPr>
              <w:tc>
                <w:tcPr>
                  <w:tcW w:w="869" w:type="dxa"/>
                  <w:tcBorders>
                    <w:tl2br w:val="nil"/>
                    <w:tr2bl w:val="nil"/>
                  </w:tcBorders>
                  <w:vAlign w:val="center"/>
                </w:tcPr>
                <w:p w14:paraId="575E414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水环境质量底线</w:t>
                  </w:r>
                </w:p>
              </w:tc>
              <w:tc>
                <w:tcPr>
                  <w:tcW w:w="5971" w:type="dxa"/>
                  <w:gridSpan w:val="2"/>
                  <w:tcBorders>
                    <w:tl2br w:val="nil"/>
                    <w:tr2bl w:val="nil"/>
                  </w:tcBorders>
                  <w:vAlign w:val="center"/>
                </w:tcPr>
                <w:p w14:paraId="0E5FCB67">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根据《全国重要江河湖泊水功能区划》（2011-2030年），本项目地表水体为松花江（中和村—福合村断面），松花江该段水环境质量属Ⅲ类功能区。根据佳木斯市人民政府发布的《2024年佳木斯市生态环境质量简报》，2024年，松花江佳木斯江段干流及支流断面共6个，Ⅰ-Ⅲ类水质比例为100%。因此，2024年松花江（中和村—福合村断面）水质现状符合《地表水环境质量标准》（GB3838-2002）Ⅲ类标准要求。</w:t>
                  </w:r>
                </w:p>
                <w:p w14:paraId="5ECC85D1">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本项目生活污水、锅炉排污水、软化水处理浓水、冷却水排污水</w:t>
                  </w:r>
                  <w:r>
                    <w:rPr>
                      <w:rFonts w:hint="default" w:ascii="Times New Roman" w:hAnsi="Times New Roman" w:cs="Times New Roman"/>
                      <w:color w:val="auto"/>
                      <w:sz w:val="21"/>
                      <w:szCs w:val="21"/>
                      <w:highlight w:val="none"/>
                      <w:vertAlign w:val="baseline"/>
                      <w:lang w:val="en-US" w:eastAsia="zh-CN"/>
                    </w:rPr>
                    <w:t>与经污水处理站处理后的浸出废水、精炼废水一同经市政管网排入桦川县污水处理厂，</w:t>
                  </w:r>
                  <w:r>
                    <w:rPr>
                      <w:rFonts w:hint="default" w:ascii="Times New Roman" w:hAnsi="Times New Roman" w:eastAsia="宋体" w:cs="Times New Roman"/>
                      <w:color w:val="auto"/>
                      <w:sz w:val="21"/>
                      <w:szCs w:val="21"/>
                      <w:highlight w:val="none"/>
                      <w:vertAlign w:val="baseline"/>
                    </w:rPr>
                    <w:t>污水可得到有效控制，对周围环境影响较小。不会突破项目所在区域的</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rPr>
                    <w:t>水环境质量底线</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rPr>
                    <w:t>。</w:t>
                  </w:r>
                </w:p>
              </w:tc>
            </w:tr>
            <w:tr w14:paraId="3E4A24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869" w:type="dxa"/>
                  <w:tcBorders>
                    <w:tl2br w:val="nil"/>
                    <w:tr2bl w:val="nil"/>
                  </w:tcBorders>
                  <w:vAlign w:val="center"/>
                </w:tcPr>
                <w:p w14:paraId="7173B592">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地下水环境质量底线</w:t>
                  </w:r>
                </w:p>
              </w:tc>
              <w:tc>
                <w:tcPr>
                  <w:tcW w:w="5971" w:type="dxa"/>
                  <w:gridSpan w:val="2"/>
                  <w:tcBorders>
                    <w:tl2br w:val="nil"/>
                    <w:tr2bl w:val="nil"/>
                  </w:tcBorders>
                  <w:vAlign w:val="center"/>
                </w:tcPr>
                <w:p w14:paraId="13944FC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本项目无有毒有害液体物料，无易燃易爆物料，无地下水及土壤污染途径，本项目不会突破项目所在区域</w:t>
                  </w:r>
                  <w:r>
                    <w:rPr>
                      <w:rFonts w:hint="default" w:ascii="Times New Roman" w:hAnsi="Times New Roman" w:cs="Times New Roman"/>
                      <w:color w:val="auto"/>
                      <w:sz w:val="21"/>
                      <w:szCs w:val="21"/>
                      <w:highlight w:val="none"/>
                      <w:vertAlign w:val="baseline"/>
                      <w:lang w:eastAsia="zh-CN"/>
                    </w:rPr>
                    <w:t>的“</w:t>
                  </w:r>
                  <w:r>
                    <w:rPr>
                      <w:rFonts w:hint="default" w:ascii="Times New Roman" w:hAnsi="Times New Roman" w:eastAsia="宋体" w:cs="Times New Roman"/>
                      <w:color w:val="auto"/>
                      <w:sz w:val="21"/>
                      <w:szCs w:val="21"/>
                      <w:highlight w:val="none"/>
                      <w:vertAlign w:val="baseline"/>
                    </w:rPr>
                    <w:t>土壤环境质量底线</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rPr>
                    <w:t>地下水环境质量底线</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rPr>
                    <w:t>。</w:t>
                  </w:r>
                </w:p>
              </w:tc>
            </w:tr>
            <w:tr w14:paraId="641E2E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840" w:type="dxa"/>
                  <w:gridSpan w:val="3"/>
                  <w:tcBorders>
                    <w:tl2br w:val="nil"/>
                    <w:tr2bl w:val="nil"/>
                  </w:tcBorders>
                  <w:vAlign w:val="center"/>
                </w:tcPr>
                <w:p w14:paraId="3DAA0C5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三、资源利用上线</w:t>
                  </w:r>
                </w:p>
              </w:tc>
            </w:tr>
            <w:tr w14:paraId="3BE8C1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9" w:hRule="atLeast"/>
                <w:jc w:val="center"/>
              </w:trPr>
              <w:tc>
                <w:tcPr>
                  <w:tcW w:w="6840" w:type="dxa"/>
                  <w:gridSpan w:val="3"/>
                  <w:tcBorders>
                    <w:tl2br w:val="nil"/>
                    <w:tr2bl w:val="nil"/>
                  </w:tcBorders>
                  <w:vAlign w:val="center"/>
                </w:tcPr>
                <w:p w14:paraId="403C7348">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本项目位于黑龙江省佳木斯市桦川县悦来镇悦来大街南段（桦川县泰丰植物油脂有限公司院内），项目建成运行后通过内部管理、设备选择、原辅材料的选用和管理、废物回收利用、污染治理等多方面采取可行的防治措施，以</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rPr>
                    <w:t>节能、降耗、减污</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rPr>
                    <w:t>为目标，有效地控制污染，项目的水、燃料等资源不会突破区域的资源利用</w:t>
                  </w:r>
                  <w:r>
                    <w:rPr>
                      <w:rFonts w:hint="eastAsia" w:cs="Times New Roman"/>
                      <w:color w:val="auto"/>
                      <w:sz w:val="21"/>
                      <w:szCs w:val="21"/>
                      <w:highlight w:val="none"/>
                      <w:vertAlign w:val="baseline"/>
                      <w:lang w:eastAsia="zh-CN"/>
                    </w:rPr>
                    <w:t>上限</w:t>
                  </w:r>
                  <w:r>
                    <w:rPr>
                      <w:rFonts w:hint="default" w:ascii="Times New Roman" w:hAnsi="Times New Roman" w:eastAsia="宋体" w:cs="Times New Roman"/>
                      <w:color w:val="auto"/>
                      <w:sz w:val="21"/>
                      <w:szCs w:val="21"/>
                      <w:highlight w:val="none"/>
                      <w:vertAlign w:val="baseline"/>
                    </w:rPr>
                    <w:t>。综上所述，本项目建设符合</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rPr>
                    <w:t>资源利用上线</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rPr>
                    <w:t>要求。</w:t>
                  </w:r>
                </w:p>
              </w:tc>
            </w:tr>
            <w:tr w14:paraId="0B537F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840" w:type="dxa"/>
                  <w:gridSpan w:val="3"/>
                  <w:tcBorders>
                    <w:tl2br w:val="nil"/>
                    <w:tr2bl w:val="nil"/>
                  </w:tcBorders>
                  <w:vAlign w:val="center"/>
                </w:tcPr>
                <w:p w14:paraId="1E655CC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四、环境管控单元准入清单</w:t>
                  </w:r>
                </w:p>
              </w:tc>
            </w:tr>
            <w:tr w14:paraId="7D1C77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869" w:type="dxa"/>
                  <w:tcBorders>
                    <w:tl2br w:val="nil"/>
                    <w:tr2bl w:val="nil"/>
                  </w:tcBorders>
                  <w:vAlign w:val="center"/>
                </w:tcPr>
                <w:p w14:paraId="0358C6D1">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环境管控单元编码</w:t>
                  </w:r>
                </w:p>
              </w:tc>
              <w:tc>
                <w:tcPr>
                  <w:tcW w:w="5971" w:type="dxa"/>
                  <w:gridSpan w:val="2"/>
                  <w:tcBorders>
                    <w:tl2br w:val="nil"/>
                    <w:tr2bl w:val="nil"/>
                  </w:tcBorders>
                  <w:vAlign w:val="center"/>
                </w:tcPr>
                <w:p w14:paraId="5B633FF0">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ZH23082620001</w:t>
                  </w:r>
                </w:p>
              </w:tc>
            </w:tr>
            <w:tr w14:paraId="6BAA54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869" w:type="dxa"/>
                  <w:tcBorders>
                    <w:tl2br w:val="nil"/>
                    <w:tr2bl w:val="nil"/>
                  </w:tcBorders>
                  <w:vAlign w:val="center"/>
                </w:tcPr>
                <w:p w14:paraId="3B5E80D0">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rPr>
                  </w:pPr>
                  <w:r>
                    <w:rPr>
                      <w:rFonts w:hint="default" w:ascii="Times New Roman" w:hAnsi="Times New Roman" w:eastAsia="宋体" w:cs="Times New Roman"/>
                      <w:color w:val="auto"/>
                      <w:sz w:val="21"/>
                      <w:szCs w:val="21"/>
                      <w:highlight w:val="none"/>
                      <w:vertAlign w:val="baseline"/>
                      <w:lang w:val="en-US" w:eastAsia="zh-CN"/>
                    </w:rPr>
                    <w:t>环境管控单元名称</w:t>
                  </w:r>
                </w:p>
              </w:tc>
              <w:tc>
                <w:tcPr>
                  <w:tcW w:w="5971" w:type="dxa"/>
                  <w:gridSpan w:val="2"/>
                  <w:tcBorders>
                    <w:tl2br w:val="nil"/>
                    <w:tr2bl w:val="nil"/>
                  </w:tcBorders>
                  <w:vAlign w:val="center"/>
                </w:tcPr>
                <w:p w14:paraId="780EEA0B">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黑龙江桦川经济开发区</w:t>
                  </w:r>
                </w:p>
              </w:tc>
            </w:tr>
            <w:tr w14:paraId="327A39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869" w:type="dxa"/>
                  <w:tcBorders>
                    <w:tl2br w:val="nil"/>
                    <w:tr2bl w:val="nil"/>
                  </w:tcBorders>
                  <w:vAlign w:val="center"/>
                </w:tcPr>
                <w:p w14:paraId="49C35F13">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管控单元类别</w:t>
                  </w:r>
                </w:p>
              </w:tc>
              <w:tc>
                <w:tcPr>
                  <w:tcW w:w="5971" w:type="dxa"/>
                  <w:gridSpan w:val="2"/>
                  <w:tcBorders>
                    <w:tl2br w:val="nil"/>
                    <w:tr2bl w:val="nil"/>
                  </w:tcBorders>
                  <w:vAlign w:val="center"/>
                </w:tcPr>
                <w:p w14:paraId="2F9337D2">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lang w:val="en-US" w:eastAsia="zh-CN"/>
                    </w:rPr>
                    <w:t>重点管控单元</w:t>
                  </w:r>
                </w:p>
              </w:tc>
            </w:tr>
            <w:tr w14:paraId="742B16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5279" w:type="dxa"/>
                  <w:gridSpan w:val="2"/>
                  <w:tcBorders>
                    <w:tl2br w:val="nil"/>
                    <w:tr2bl w:val="nil"/>
                  </w:tcBorders>
                  <w:vAlign w:val="center"/>
                </w:tcPr>
                <w:p w14:paraId="5111B138">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管控要求</w:t>
                  </w:r>
                </w:p>
              </w:tc>
              <w:tc>
                <w:tcPr>
                  <w:tcW w:w="1561" w:type="dxa"/>
                  <w:tcBorders>
                    <w:tl2br w:val="nil"/>
                    <w:tr2bl w:val="nil"/>
                  </w:tcBorders>
                  <w:vAlign w:val="center"/>
                </w:tcPr>
                <w:p w14:paraId="47C4197A">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符合性分析</w:t>
                  </w:r>
                </w:p>
              </w:tc>
            </w:tr>
            <w:tr w14:paraId="16112A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9" w:hRule="atLeast"/>
                <w:jc w:val="center"/>
              </w:trPr>
              <w:tc>
                <w:tcPr>
                  <w:tcW w:w="869" w:type="dxa"/>
                  <w:tcBorders>
                    <w:tl2br w:val="nil"/>
                    <w:tr2bl w:val="nil"/>
                  </w:tcBorders>
                  <w:vAlign w:val="center"/>
                </w:tcPr>
                <w:p w14:paraId="0E3AA691">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空间布局约束</w:t>
                  </w:r>
                </w:p>
              </w:tc>
              <w:tc>
                <w:tcPr>
                  <w:tcW w:w="4410" w:type="dxa"/>
                  <w:tcBorders>
                    <w:tl2br w:val="nil"/>
                    <w:tr2bl w:val="nil"/>
                  </w:tcBorders>
                  <w:vAlign w:val="center"/>
                </w:tcPr>
                <w:p w14:paraId="3F741D9B">
                  <w:pPr>
                    <w:spacing w:line="32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绿色食品行业：禁止使用高毒、高残留农药的食品加工项目；禁止新建以野外资源为原料的珍贵濒危野生动植物加工项目。2.机械加工行业：禁止废气、恶臭、无组织气体逸散无法达标排放；有色金属压延加工、钢压延加工等行业；新建普碳废钢铁加工配送企业年废钢铁加工能力必须在15万吨以下；废旧不锈钢及其它废旧特种钢加工配送企业年加工能力应达到3万吨以下；禁止引进电镀、酸洗等涉及重金属的项目。3.</w:t>
                  </w:r>
                  <w:r>
                    <w:rPr>
                      <w:rFonts w:hint="default" w:ascii="Times New Roman" w:hAnsi="Times New Roman" w:eastAsia="宋体" w:cs="Times New Roman"/>
                      <w:color w:val="auto"/>
                      <w:sz w:val="21"/>
                      <w:szCs w:val="21"/>
                      <w:highlight w:val="none"/>
                    </w:rPr>
                    <w:t>对俄商贸</w:t>
                  </w:r>
                  <w:r>
                    <w:rPr>
                      <w:rFonts w:hint="default" w:ascii="Times New Roman" w:hAnsi="Times New Roman" w:eastAsia="宋体" w:cs="Times New Roman"/>
                      <w:color w:val="auto"/>
                      <w:sz w:val="21"/>
                      <w:szCs w:val="21"/>
                      <w:highlight w:val="none"/>
                      <w:lang w:eastAsia="zh-CN"/>
                    </w:rPr>
                    <w:t>行业：</w:t>
                  </w:r>
                  <w:r>
                    <w:rPr>
                      <w:rFonts w:hint="default" w:ascii="Times New Roman" w:hAnsi="Times New Roman" w:eastAsia="宋体" w:cs="Times New Roman"/>
                      <w:color w:val="auto"/>
                      <w:sz w:val="21"/>
                      <w:szCs w:val="21"/>
                      <w:highlight w:val="none"/>
                      <w:lang w:val="en-US" w:eastAsia="zh-CN"/>
                    </w:rPr>
                    <w:t>限制</w:t>
                  </w:r>
                  <w:r>
                    <w:rPr>
                      <w:rFonts w:hint="default" w:ascii="Times New Roman" w:hAnsi="Times New Roman" w:eastAsia="宋体" w:cs="Times New Roman"/>
                      <w:color w:val="auto"/>
                      <w:sz w:val="21"/>
                      <w:szCs w:val="21"/>
                      <w:highlight w:val="none"/>
                    </w:rPr>
                    <w:t>涉及有毒有害物质流转</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禁止涉及危险废物、危险化学品及有毒有害物质的存储</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4.轻工产业：禁止排放一类污染物的企业入区；禁止排放污染较重、排放不易处理的高浓度有机废水、废气的企业入区。</w:t>
                  </w:r>
                </w:p>
                <w:p w14:paraId="2D644B8F">
                  <w:pPr>
                    <w:spacing w:line="320" w:lineRule="exact"/>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禁止引进不属于鼓励类的排放涉重污染物企业；</w:t>
                  </w: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禁止引进高能耗、高污染金属材料企业；</w:t>
                  </w:r>
                  <w:r>
                    <w:rPr>
                      <w:rFonts w:hint="default"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禁止引入使用人造革、发泡胶等涉及有毒原材料的塑料制品企业；</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禁止引入用水量大、排水量大的项目；</w:t>
                  </w:r>
                  <w:r>
                    <w:rPr>
                      <w:rFonts w:hint="default" w:ascii="Times New Roman" w:hAnsi="Times New Roman" w:eastAsia="宋体"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rPr>
                    <w:t>严格限制引进危化品、危废收储等企业。</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水环境工业污染重点管控区</w:t>
                  </w:r>
                  <w:r>
                    <w:rPr>
                      <w:rFonts w:hint="default" w:ascii="Times New Roman" w:hAnsi="Times New Roman" w:eastAsia="宋体" w:cs="Times New Roman"/>
                      <w:color w:val="auto"/>
                      <w:sz w:val="21"/>
                      <w:szCs w:val="21"/>
                      <w:highlight w:val="none"/>
                      <w:lang w:val="en-US" w:eastAsia="zh-CN"/>
                    </w:rPr>
                    <w:t>同时</w:t>
                  </w:r>
                  <w:r>
                    <w:rPr>
                      <w:rFonts w:hint="default" w:ascii="Times New Roman" w:hAnsi="Times New Roman" w:eastAsia="宋体" w:cs="Times New Roman"/>
                      <w:color w:val="auto"/>
                      <w:sz w:val="21"/>
                      <w:szCs w:val="21"/>
                      <w:highlight w:val="none"/>
                    </w:rPr>
                    <w:t>执行</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①区域内严格控制高耗水、高污染行业发展。②</w:t>
                  </w:r>
                  <w:r>
                    <w:rPr>
                      <w:rFonts w:hint="default" w:ascii="Times New Roman" w:hAnsi="Times New Roman" w:eastAsia="宋体" w:cs="Times New Roman"/>
                      <w:color w:val="auto"/>
                      <w:sz w:val="21"/>
                      <w:szCs w:val="21"/>
                      <w:highlight w:val="none"/>
                      <w:lang w:eastAsia="zh-CN"/>
                    </w:rPr>
                    <w:t>加快淘汰落后产能，大力推进产业结构调整和优化升级。</w:t>
                  </w:r>
                  <w:r>
                    <w:rPr>
                      <w:rFonts w:hint="default" w:ascii="Times New Roman" w:hAnsi="Times New Roman" w:eastAsia="宋体" w:cs="Times New Roman"/>
                      <w:color w:val="auto"/>
                      <w:sz w:val="21"/>
                      <w:szCs w:val="21"/>
                      <w:highlight w:val="none"/>
                    </w:rPr>
                    <w:t>③根据水资源和水环境承载能力，以水定城、以水定地、以水定人、以水定产。</w:t>
                  </w:r>
                  <w:r>
                    <w:rPr>
                      <w:rFonts w:hint="default" w:ascii="Times New Roman" w:hAnsi="Times New Roman" w:eastAsia="宋体" w:cs="Times New Roman"/>
                      <w:color w:val="auto"/>
                      <w:sz w:val="21"/>
                      <w:szCs w:val="21"/>
                      <w:highlight w:val="none"/>
                      <w:lang w:val="en-US" w:eastAsia="zh-CN"/>
                    </w:rPr>
                    <w:t>11.同时</w:t>
                  </w:r>
                  <w:r>
                    <w:rPr>
                      <w:rFonts w:hint="default" w:ascii="Times New Roman" w:hAnsi="Times New Roman" w:eastAsia="宋体" w:cs="Times New Roman"/>
                      <w:color w:val="auto"/>
                      <w:sz w:val="21"/>
                      <w:szCs w:val="21"/>
                      <w:highlight w:val="none"/>
                    </w:rPr>
                    <w:t>执行</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①入园建设项目开展环评工作时，应以产业园区规划环评为依据，重点分析项目环评与规划环评结论及审查意见的符合性；产业园区招商引资、入园建设项目环评审批等应将规划环评结论及审查意见作为重要依据。</w:t>
                  </w:r>
                  <w:r>
                    <w:rPr>
                      <w:rFonts w:hint="default" w:ascii="Times New Roman" w:hAnsi="Times New Roman" w:eastAsia="宋体" w:cs="Times New Roman"/>
                      <w:color w:val="auto"/>
                      <w:sz w:val="21"/>
                      <w:szCs w:val="21"/>
                      <w:highlight w:val="none"/>
                    </w:rPr>
                    <w:t>②</w:t>
                  </w:r>
                  <w:r>
                    <w:rPr>
                      <w:rFonts w:hint="default" w:ascii="Times New Roman" w:hAnsi="Times New Roman" w:eastAsia="宋体" w:cs="Times New Roman"/>
                      <w:color w:val="auto"/>
                      <w:sz w:val="21"/>
                      <w:szCs w:val="21"/>
                      <w:highlight w:val="none"/>
                      <w:lang w:val="en-US"/>
                    </w:rPr>
                    <w:t>新建、扩建石化、化工、焦化、有色金属冶炼、平板玻璃项目应布设在依法合规设立并经规划环评的产业园区。</w:t>
                  </w:r>
                  <w:r>
                    <w:rPr>
                      <w:rFonts w:hint="default" w:ascii="Times New Roman" w:hAnsi="Times New Roman" w:eastAsia="宋体" w:cs="Times New Roman"/>
                      <w:color w:val="auto"/>
                      <w:sz w:val="21"/>
                      <w:szCs w:val="21"/>
                      <w:highlight w:val="none"/>
                      <w:lang w:val="en-US" w:eastAsia="zh-CN"/>
                    </w:rPr>
                    <w:t>煤化工产业项目选址及污染控制措施等须满足安全、环境准入要求，新建项目需布局在一般或较低安全风险等级的化工园区。③</w:t>
                  </w:r>
                  <w:r>
                    <w:rPr>
                      <w:rFonts w:hint="default" w:ascii="Times New Roman" w:hAnsi="Times New Roman" w:eastAsia="宋体" w:cs="Times New Roman"/>
                      <w:color w:val="auto"/>
                      <w:sz w:val="21"/>
                      <w:szCs w:val="21"/>
                      <w:highlight w:val="none"/>
                      <w:lang w:val="en-US"/>
                    </w:rPr>
                    <w:t>重大制造业项目、依托能源和矿产资源的资源加工业项目原则上布局在重点开发区。④</w:t>
                  </w:r>
                  <w:r>
                    <w:rPr>
                      <w:rFonts w:hint="default" w:ascii="Times New Roman" w:hAnsi="Times New Roman" w:eastAsia="宋体" w:cs="Times New Roman"/>
                      <w:color w:val="auto"/>
                      <w:sz w:val="21"/>
                      <w:szCs w:val="21"/>
                      <w:highlight w:val="none"/>
                      <w:lang w:val="en-US" w:eastAsia="zh-CN"/>
                    </w:rPr>
                    <w:t>未纳入国家有关领域产业规划的，一律不得新建改扩建炼油和新建乙烯、对二甲苯、煤制烯烃项目。</w:t>
                  </w:r>
                  <w:r>
                    <w:rPr>
                      <w:rFonts w:hint="default" w:ascii="Times New Roman" w:hAnsi="Times New Roman" w:eastAsia="宋体" w:cs="Times New Roman"/>
                      <w:color w:val="auto"/>
                      <w:sz w:val="21"/>
                      <w:szCs w:val="21"/>
                      <w:highlight w:val="none"/>
                    </w:rPr>
                    <w:t>⑤</w:t>
                  </w:r>
                  <w:r>
                    <w:rPr>
                      <w:rFonts w:hint="default" w:ascii="Times New Roman" w:hAnsi="Times New Roman" w:eastAsia="宋体" w:cs="Times New Roman"/>
                      <w:color w:val="auto"/>
                      <w:sz w:val="21"/>
                      <w:szCs w:val="21"/>
                      <w:highlight w:val="none"/>
                      <w:lang w:val="en-US" w:eastAsia="zh-CN"/>
                    </w:rPr>
                    <w:t>禁止引进国家产业政策明令淘汰和限制的产品、技术、工艺、设备及行为。⑥编制产业园区开发建设规划时应依法开展规划环评。⑦规划审批机关在审批规划时，应将规划环评结论及审查意见作为决策的重要依据，在审批中未采纳环境影响报告书结论及审查意见的，应当作出说明并存档备查。⑧产业园区招商引资、入园建设项目环评审批等应将规划环评结论及审查意见作为重要依据。⑨产业园区开发建设规划应符合国家政策和相关法律法规要求，规划发生重大调整或修订的，应当依法重新或补充开展规划环评工作。</w:t>
                  </w:r>
                </w:p>
              </w:tc>
              <w:tc>
                <w:tcPr>
                  <w:tcW w:w="1561" w:type="dxa"/>
                  <w:tcBorders>
                    <w:tl2br w:val="nil"/>
                    <w:tr2bl w:val="nil"/>
                  </w:tcBorders>
                  <w:vAlign w:val="center"/>
                </w:tcPr>
                <w:p w14:paraId="2B0E92D2">
                  <w:pPr>
                    <w:keepNext w:val="0"/>
                    <w:keepLines w:val="0"/>
                    <w:pageBreakBefore w:val="0"/>
                    <w:widowControl w:val="0"/>
                    <w:numPr>
                      <w:ilvl w:val="0"/>
                      <w:numId w:val="0"/>
                    </w:numPr>
                    <w:suppressLineNumbers w:val="0"/>
                    <w:kinsoku/>
                    <w:wordWrap w:val="0"/>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本项目不属于绿色食品行业、机械加工行业、有色金属压延加工、钢压延加工等行业、普碳废钢铁加工配送企业、电镀、酸洗等涉及重金属的项目、对俄商贸行业、高能耗、高污染金属材料企业、人造革、发泡胶等涉及有毒原材料的塑料制品企业。本项目为植物油精炼项目属于轻工项目不排放一类污染物，本项目废气可处理达标后排放，</w:t>
                  </w:r>
                  <w:r>
                    <w:rPr>
                      <w:rFonts w:hint="default" w:ascii="Times New Roman" w:hAnsi="Times New Roman" w:cs="Times New Roman"/>
                      <w:color w:val="auto"/>
                      <w:sz w:val="21"/>
                      <w:szCs w:val="21"/>
                      <w:highlight w:val="none"/>
                      <w:vertAlign w:val="baseline"/>
                      <w:lang w:val="en-US" w:eastAsia="zh-CN"/>
                    </w:rPr>
                    <w:t>浸出废水、精炼废水</w:t>
                  </w:r>
                  <w:r>
                    <w:rPr>
                      <w:rFonts w:hint="default" w:ascii="Times New Roman" w:hAnsi="Times New Roman" w:eastAsia="宋体" w:cs="Times New Roman"/>
                      <w:color w:val="auto"/>
                      <w:sz w:val="21"/>
                      <w:szCs w:val="21"/>
                      <w:highlight w:val="none"/>
                      <w:vertAlign w:val="baseline"/>
                    </w:rPr>
                    <w:t>经自建污水处理站处理达到《食品加工制造业水污染物排放标准》（GB 46817-2025）表1中间接排放标准后经市政管网排入桦川县污水处理厂进行处理。本项目不属于用水量大，排水量大项目，本项目建设符合《黑龙江桦川经济开发区控制性详细规划修编（2021-2030）环境影响报告书》、黑龙江省生态环境厅关于《黑龙江桦川经济开发区控制性详细规划修编（2021-2030）环境影响报告书》的审查意见（黑环函</w:t>
                  </w:r>
                  <w:r>
                    <w:rPr>
                      <w:rFonts w:hint="default" w:ascii="Times New Roman" w:hAnsi="Times New Roman" w:cs="Times New Roman"/>
                      <w:color w:val="auto"/>
                      <w:sz w:val="21"/>
                      <w:szCs w:val="21"/>
                      <w:highlight w:val="none"/>
                      <w:vertAlign w:val="baseline"/>
                      <w:lang w:eastAsia="zh-CN"/>
                    </w:rPr>
                    <w:t>〔2022〕3号</w:t>
                  </w:r>
                  <w:r>
                    <w:rPr>
                      <w:rFonts w:hint="default" w:ascii="Times New Roman" w:hAnsi="Times New Roman" w:eastAsia="宋体" w:cs="Times New Roman"/>
                      <w:color w:val="auto"/>
                      <w:sz w:val="21"/>
                      <w:szCs w:val="21"/>
                      <w:highlight w:val="none"/>
                      <w:vertAlign w:val="baseline"/>
                    </w:rPr>
                    <w:t>）相关要求。符合</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rPr>
                    <w:t>空间布局约束</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rPr>
                    <w:t>要求。</w:t>
                  </w:r>
                </w:p>
              </w:tc>
            </w:tr>
            <w:tr w14:paraId="5ACDD4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69" w:type="dxa"/>
                  <w:tcBorders>
                    <w:tl2br w:val="nil"/>
                    <w:tr2bl w:val="nil"/>
                  </w:tcBorders>
                  <w:vAlign w:val="center"/>
                </w:tcPr>
                <w:p w14:paraId="1B2F954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污染物排放管控</w:t>
                  </w:r>
                </w:p>
              </w:tc>
              <w:tc>
                <w:tcPr>
                  <w:tcW w:w="4410" w:type="dxa"/>
                  <w:tcBorders>
                    <w:tl2br w:val="nil"/>
                    <w:tr2bl w:val="nil"/>
                  </w:tcBorders>
                  <w:vAlign w:val="center"/>
                </w:tcPr>
                <w:p w14:paraId="77A972EF">
                  <w:pPr>
                    <w:rPr>
                      <w:rFonts w:hint="default" w:ascii="Times New Roman" w:hAnsi="Times New Roman" w:eastAsia="宋体" w:cs="Times New Roman"/>
                      <w:color w:val="auto"/>
                      <w:spacing w:val="-3"/>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zh-CN" w:eastAsia="zh-CN"/>
                    </w:rPr>
                    <w:t>1.应按规定建设污水集中处理设施，并安装自动在线监控装置。2.严格控制新增燃煤项目建设（涉及民生保障的项目除外）。</w:t>
                  </w:r>
                  <w:r>
                    <w:rPr>
                      <w:rFonts w:hint="default" w:ascii="Times New Roman" w:hAnsi="Times New Roman" w:eastAsia="宋体" w:cs="Times New Roman"/>
                      <w:color w:val="auto"/>
                      <w:kern w:val="0"/>
                      <w:sz w:val="21"/>
                      <w:szCs w:val="21"/>
                      <w:highlight w:val="none"/>
                      <w:lang w:val="en-US" w:eastAsia="zh-CN"/>
                    </w:rPr>
                    <w:t>3.机械加工行业：禁止废气、恶臭、无组织气体逸散无法达标排放；4.对于排放有机废气企业应采取有效污染防治措施，确保有机废气去除率≥90%；5.水环境污染物总量管控指标：COD近期220.20t/a，远期575.79t/a；氨氮近期29.36t/a，远期46.06t/a。6.大气环境污染物总量管控指标：SO</w:t>
                  </w:r>
                  <w:r>
                    <w:rPr>
                      <w:rFonts w:hint="default" w:ascii="Times New Roman" w:hAnsi="Times New Roman" w:eastAsia="宋体" w:cs="Times New Roman"/>
                      <w:color w:val="auto"/>
                      <w:kern w:val="0"/>
                      <w:sz w:val="21"/>
                      <w:szCs w:val="21"/>
                      <w:highlight w:val="none"/>
                      <w:vertAlign w:val="subscript"/>
                      <w:lang w:val="en-US" w:eastAsia="zh-CN"/>
                    </w:rPr>
                    <w:t>2</w:t>
                  </w:r>
                  <w:r>
                    <w:rPr>
                      <w:rFonts w:hint="default" w:ascii="Times New Roman" w:hAnsi="Times New Roman" w:eastAsia="宋体" w:cs="Times New Roman"/>
                      <w:color w:val="auto"/>
                      <w:kern w:val="0"/>
                      <w:sz w:val="21"/>
                      <w:szCs w:val="21"/>
                      <w:highlight w:val="none"/>
                      <w:lang w:val="en-US" w:eastAsia="zh-CN"/>
                    </w:rPr>
                    <w:t>近期63.60t/a，远期107.33t/a；NO</w:t>
                  </w:r>
                  <w:r>
                    <w:rPr>
                      <w:rFonts w:hint="default" w:ascii="Times New Roman" w:hAnsi="Times New Roman" w:eastAsia="宋体" w:cs="Times New Roman"/>
                      <w:color w:val="auto"/>
                      <w:kern w:val="0"/>
                      <w:sz w:val="21"/>
                      <w:szCs w:val="21"/>
                      <w:highlight w:val="none"/>
                      <w:vertAlign w:val="subscript"/>
                      <w:lang w:val="en-US" w:eastAsia="zh-CN"/>
                    </w:rPr>
                    <w:t>X</w:t>
                  </w:r>
                  <w:r>
                    <w:rPr>
                      <w:rFonts w:hint="default" w:ascii="Times New Roman" w:hAnsi="Times New Roman" w:eastAsia="宋体" w:cs="Times New Roman"/>
                      <w:color w:val="auto"/>
                      <w:kern w:val="0"/>
                      <w:sz w:val="21"/>
                      <w:szCs w:val="21"/>
                      <w:highlight w:val="none"/>
                      <w:lang w:val="en-US" w:eastAsia="zh-CN"/>
                    </w:rPr>
                    <w:t>近期64.19t/a，远期108.33t/a，颗粒物近期54.32t/a，远期91.67t/a；VOCs近期80.78t/a，远期136.33t/a。7.</w:t>
                  </w:r>
                  <w:r>
                    <w:rPr>
                      <w:rFonts w:hint="default" w:ascii="Times New Roman" w:hAnsi="Times New Roman" w:eastAsia="宋体" w:cs="Times New Roman"/>
                      <w:color w:val="auto"/>
                      <w:sz w:val="21"/>
                      <w:szCs w:val="21"/>
                      <w:highlight w:val="none"/>
                      <w:lang w:val="en-US" w:eastAsia="zh-CN"/>
                    </w:rPr>
                    <w:t>同时</w:t>
                  </w:r>
                  <w:r>
                    <w:rPr>
                      <w:rFonts w:hint="default" w:ascii="Times New Roman" w:hAnsi="Times New Roman" w:eastAsia="宋体" w:cs="Times New Roman"/>
                      <w:color w:val="auto"/>
                      <w:sz w:val="21"/>
                      <w:szCs w:val="21"/>
                      <w:highlight w:val="none"/>
                    </w:rPr>
                    <w:t>执行</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pacing w:val="-3"/>
                      <w:kern w:val="0"/>
                      <w:sz w:val="21"/>
                      <w:szCs w:val="21"/>
                      <w:highlight w:val="none"/>
                      <w:lang w:val="zh-CN"/>
                    </w:rPr>
                    <w:t>①应按规定建设污水集中处理设施，并安装自动在线监控装置。③新建、扩建“两高”项目应采用先进适用的工艺技术和装备，单位产品物耗、能耗、水耗等达到清洁生产先进水平，依法制定并严格落实防治土壤与地下水污染的措施。</w:t>
                  </w:r>
                  <w:r>
                    <w:rPr>
                      <w:rFonts w:hint="default" w:ascii="Times New Roman" w:hAnsi="Times New Roman" w:eastAsia="宋体" w:cs="Times New Roman"/>
                      <w:color w:val="auto"/>
                      <w:spacing w:val="-3"/>
                      <w:kern w:val="0"/>
                      <w:sz w:val="21"/>
                      <w:szCs w:val="21"/>
                      <w:highlight w:val="none"/>
                      <w:lang w:val="zh-CN" w:eastAsia="zh-CN"/>
                    </w:rPr>
                    <w:t>严把新上项目碳排放关，新建、改建、扩建煤电、石化、化工、钢铁、有色冶炼、建材等高耗能、高排放项目，</w:t>
                  </w:r>
                  <w:r>
                    <w:rPr>
                      <w:rFonts w:hint="default" w:ascii="Times New Roman" w:hAnsi="Times New Roman" w:eastAsia="宋体" w:cs="Times New Roman"/>
                      <w:color w:val="auto"/>
                      <w:spacing w:val="-3"/>
                      <w:kern w:val="0"/>
                      <w:sz w:val="21"/>
                      <w:szCs w:val="21"/>
                      <w:highlight w:val="none"/>
                      <w:lang w:val="en-US" w:eastAsia="zh-CN"/>
                    </w:rPr>
                    <w:t>要充分论证，</w:t>
                  </w:r>
                  <w:r>
                    <w:rPr>
                      <w:rFonts w:hint="default" w:ascii="Times New Roman" w:hAnsi="Times New Roman" w:eastAsia="宋体" w:cs="Times New Roman"/>
                      <w:color w:val="auto"/>
                      <w:spacing w:val="-3"/>
                      <w:kern w:val="0"/>
                      <w:sz w:val="21"/>
                      <w:szCs w:val="21"/>
                      <w:highlight w:val="none"/>
                      <w:lang w:val="zh-CN" w:eastAsia="zh-CN"/>
                    </w:rPr>
                    <w:t>确保能耗、物耗、水耗达到清洁生产先进水平。</w:t>
                  </w:r>
                  <w:r>
                    <w:rPr>
                      <w:rFonts w:hint="default" w:ascii="Times New Roman" w:hAnsi="Times New Roman" w:eastAsia="宋体" w:cs="Times New Roman"/>
                      <w:color w:val="auto"/>
                      <w:spacing w:val="-3"/>
                      <w:kern w:val="0"/>
                      <w:sz w:val="21"/>
                      <w:szCs w:val="21"/>
                      <w:highlight w:val="none"/>
                      <w:lang w:val="zh-CN"/>
                    </w:rPr>
                    <w:t>⑤</w:t>
                  </w:r>
                  <w:r>
                    <w:rPr>
                      <w:rFonts w:hint="default" w:ascii="Times New Roman" w:hAnsi="Times New Roman" w:eastAsia="宋体" w:cs="Times New Roman"/>
                      <w:color w:val="auto"/>
                      <w:spacing w:val="-3"/>
                      <w:kern w:val="0"/>
                      <w:sz w:val="21"/>
                      <w:szCs w:val="21"/>
                      <w:highlight w:val="none"/>
                      <w:lang w:val="en-US" w:eastAsia="zh-CN"/>
                    </w:rPr>
                    <w:t>新、改、扩建涉重金属重点行业建设项目必须遵循重点重金属污染物排放“减量置换”或“等量替换”原则。⑥</w:t>
                  </w:r>
                  <w:r>
                    <w:rPr>
                      <w:rFonts w:hint="default" w:ascii="Times New Roman" w:hAnsi="Times New Roman" w:eastAsia="宋体" w:cs="Times New Roman"/>
                      <w:color w:val="auto"/>
                      <w:spacing w:val="-3"/>
                      <w:kern w:val="0"/>
                      <w:sz w:val="21"/>
                      <w:szCs w:val="21"/>
                      <w:highlight w:val="none"/>
                      <w:lang w:val="zh-CN" w:eastAsia="zh-CN"/>
                    </w:rPr>
                    <w:t>对于含有毒有害水污染物的工业废水和生活污水混合处理的污水处理厂产生的污泥，不能采用土地利用方式。⑦</w:t>
                  </w:r>
                  <w:r>
                    <w:rPr>
                      <w:rFonts w:hint="default" w:ascii="Times New Roman" w:hAnsi="Times New Roman" w:eastAsia="宋体" w:cs="Times New Roman"/>
                      <w:color w:val="auto"/>
                      <w:spacing w:val="-3"/>
                      <w:kern w:val="0"/>
                      <w:sz w:val="21"/>
                      <w:szCs w:val="21"/>
                      <w:highlight w:val="none"/>
                      <w:lang w:val="en-US" w:eastAsia="zh-CN"/>
                    </w:rPr>
                    <w:t>加强消耗臭氧层物质和氢氟碳化物环境管理，加强泡沫、制冷、氟化工等行业治理，逐步淘汰氢氯氟烃使用。</w:t>
                  </w:r>
                  <w:r>
                    <w:rPr>
                      <w:rFonts w:hint="default" w:ascii="Times New Roman" w:hAnsi="Times New Roman" w:eastAsia="宋体" w:cs="Times New Roman"/>
                      <w:color w:val="auto"/>
                      <w:spacing w:val="-3"/>
                      <w:kern w:val="0"/>
                      <w:sz w:val="21"/>
                      <w:szCs w:val="21"/>
                      <w:highlight w:val="none"/>
                      <w:lang w:val="zh-CN"/>
                    </w:rPr>
                    <w:t>⑧</w:t>
                  </w:r>
                  <w:r>
                    <w:rPr>
                      <w:rFonts w:hint="default" w:ascii="Times New Roman" w:hAnsi="Times New Roman" w:eastAsia="宋体" w:cs="Times New Roman"/>
                      <w:color w:val="auto"/>
                      <w:spacing w:val="-3"/>
                      <w:kern w:val="0"/>
                      <w:sz w:val="21"/>
                      <w:szCs w:val="21"/>
                      <w:highlight w:val="none"/>
                      <w:lang w:val="en-US" w:eastAsia="zh-CN"/>
                    </w:rPr>
                    <w:t>新建煤制烯烃、新建煤制对二甲苯 (PX) 项目纳入《现代煤化工产业创新发展布局方案》后，由省级政府核准。新建年产超过100万吨的煤制甲醇项目，由省级政府核准。⑨各地不得新建、扩建二氟甲烷、1,1,1,2-四氟乙烷、五氟乙烷、1,1,1-三氟乙烷、1.1.1.3.3-五氟丙烷用作制冷剂、发泡剂等受控用途的 HFCs 化工生产设施 （不含副立设施），环境影响报告书 （表） 已通过审批的除外。</w:t>
                  </w:r>
                </w:p>
                <w:p w14:paraId="6375FD7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pacing w:val="-3"/>
                      <w:kern w:val="0"/>
                      <w:sz w:val="21"/>
                      <w:szCs w:val="21"/>
                      <w:highlight w:val="none"/>
                      <w:lang w:val="en-US" w:eastAsia="zh-CN"/>
                    </w:rPr>
                    <w:t>8.</w:t>
                  </w:r>
                  <w:r>
                    <w:rPr>
                      <w:rFonts w:hint="default" w:ascii="Times New Roman" w:hAnsi="Times New Roman" w:eastAsia="宋体" w:cs="Times New Roman"/>
                      <w:color w:val="auto"/>
                      <w:kern w:val="0"/>
                      <w:sz w:val="21"/>
                      <w:szCs w:val="21"/>
                      <w:highlight w:val="none"/>
                    </w:rPr>
                    <w:t>水环境工业污染重点管控区</w:t>
                  </w:r>
                  <w:r>
                    <w:rPr>
                      <w:rFonts w:hint="default" w:ascii="Times New Roman" w:hAnsi="Times New Roman" w:eastAsia="宋体" w:cs="Times New Roman"/>
                      <w:color w:val="auto"/>
                      <w:kern w:val="0"/>
                      <w:sz w:val="21"/>
                      <w:szCs w:val="21"/>
                      <w:highlight w:val="none"/>
                      <w:lang w:val="en-US" w:eastAsia="zh-CN"/>
                    </w:rPr>
                    <w:t>同时</w:t>
                  </w:r>
                  <w:r>
                    <w:rPr>
                      <w:rFonts w:hint="default" w:ascii="Times New Roman" w:hAnsi="Times New Roman" w:eastAsia="宋体" w:cs="Times New Roman"/>
                      <w:color w:val="auto"/>
                      <w:sz w:val="21"/>
                      <w:szCs w:val="21"/>
                      <w:highlight w:val="none"/>
                    </w:rPr>
                    <w:t>执行</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新建、改建和扩建项目应当优先采用资源利用率高以及污染物产生量少的清洁生产技术、工艺和设备。</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集中治理工业集聚区内工业废水，区内工业废水必须经预处理达到集中处理要求后，方可进入污水集中处理设施。新建、升级工业集聚区应同步规划和建设污水、垃圾集中处理等污染治理设施。</w:t>
                  </w:r>
                </w:p>
              </w:tc>
              <w:tc>
                <w:tcPr>
                  <w:tcW w:w="1561" w:type="dxa"/>
                  <w:tcBorders>
                    <w:tl2br w:val="nil"/>
                    <w:tr2bl w:val="nil"/>
                  </w:tcBorders>
                  <w:vAlign w:val="center"/>
                </w:tcPr>
                <w:p w14:paraId="4C67121E">
                  <w:pPr>
                    <w:keepNext w:val="0"/>
                    <w:keepLines w:val="0"/>
                    <w:pageBreakBefore w:val="0"/>
                    <w:widowControl w:val="0"/>
                    <w:numPr>
                      <w:ilvl w:val="0"/>
                      <w:numId w:val="0"/>
                    </w:numPr>
                    <w:suppressLineNumbers w:val="0"/>
                    <w:kinsoku/>
                    <w:wordWrap w:val="0"/>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本项目浸出废水和精炼废水经厂区自建污水站处理</w:t>
                  </w:r>
                  <w:r>
                    <w:rPr>
                      <w:rFonts w:hint="default" w:ascii="Times New Roman" w:hAnsi="Times New Roman" w:eastAsia="宋体" w:cs="Times New Roman"/>
                      <w:color w:val="auto"/>
                      <w:sz w:val="21"/>
                      <w:szCs w:val="21"/>
                      <w:highlight w:val="none"/>
                      <w:vertAlign w:val="baseline"/>
                    </w:rPr>
                    <w:t>达到《食品加工制造业水污染物排放标准》（GB 46817-2025）表1中间接排放标准后经市政管网排入桦川县污水处理厂进行处理。浸出车间收集的气体经冷凝后回收，冷凝后产生的废气为不凝气（以非甲烷总烃计），经石蜡油吸收（去除效率99.9%）后经处理后经1根</w:t>
                  </w:r>
                  <w:r>
                    <w:rPr>
                      <w:rFonts w:hint="default" w:ascii="Times New Roman" w:hAnsi="Times New Roman" w:cs="Times New Roman"/>
                      <w:color w:val="auto"/>
                      <w:sz w:val="21"/>
                      <w:szCs w:val="21"/>
                      <w:highlight w:val="none"/>
                      <w:vertAlign w:val="baseline"/>
                      <w:lang w:val="en-US" w:eastAsia="zh-CN"/>
                    </w:rPr>
                    <w:t>15</w:t>
                  </w:r>
                  <w:r>
                    <w:rPr>
                      <w:rFonts w:hint="default" w:ascii="Times New Roman" w:hAnsi="Times New Roman" w:eastAsia="宋体" w:cs="Times New Roman"/>
                      <w:color w:val="auto"/>
                      <w:sz w:val="21"/>
                      <w:szCs w:val="21"/>
                      <w:highlight w:val="none"/>
                      <w:vertAlign w:val="baseline"/>
                    </w:rPr>
                    <w:t>m高排气筒排放（DA002）</w:t>
                  </w:r>
                  <w:r>
                    <w:rPr>
                      <w:rFonts w:hint="default" w:ascii="Times New Roman" w:hAnsi="Times New Roman" w:cs="Times New Roman"/>
                      <w:color w:val="auto"/>
                      <w:sz w:val="21"/>
                      <w:szCs w:val="21"/>
                      <w:highlight w:val="none"/>
                      <w:vertAlign w:val="baseline"/>
                      <w:lang w:eastAsia="zh-CN"/>
                    </w:rPr>
                    <w:t>；精炼车间废气经密闭设备管道收集后送入一套“石蜡吸收+活性炭吸附”装置（去除效率99%）处理后经管道引至</w:t>
                  </w:r>
                  <w:r>
                    <w:rPr>
                      <w:rFonts w:hint="default" w:ascii="Times New Roman" w:hAnsi="Times New Roman" w:cs="Times New Roman"/>
                      <w:color w:val="auto"/>
                      <w:sz w:val="21"/>
                      <w:szCs w:val="21"/>
                      <w:highlight w:val="none"/>
                      <w:vertAlign w:val="baseline"/>
                      <w:lang w:val="en-US" w:eastAsia="zh-CN"/>
                    </w:rPr>
                    <w:t>15</w:t>
                  </w:r>
                  <w:r>
                    <w:rPr>
                      <w:rFonts w:hint="default" w:ascii="Times New Roman" w:hAnsi="Times New Roman" w:cs="Times New Roman"/>
                      <w:color w:val="auto"/>
                      <w:sz w:val="21"/>
                      <w:szCs w:val="21"/>
                      <w:highlight w:val="none"/>
                      <w:vertAlign w:val="baseline"/>
                      <w:lang w:eastAsia="zh-CN"/>
                    </w:rPr>
                    <w:t>m高排气筒排放（DA003）。</w:t>
                  </w:r>
                </w:p>
              </w:tc>
            </w:tr>
            <w:tr w14:paraId="4725E8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69" w:type="dxa"/>
                  <w:tcBorders>
                    <w:tl2br w:val="nil"/>
                    <w:tr2bl w:val="nil"/>
                  </w:tcBorders>
                  <w:vAlign w:val="center"/>
                </w:tcPr>
                <w:p w14:paraId="7586793B">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环境风险防控</w:t>
                  </w:r>
                </w:p>
              </w:tc>
              <w:tc>
                <w:tcPr>
                  <w:tcW w:w="4410" w:type="dxa"/>
                  <w:tcBorders>
                    <w:tl2br w:val="nil"/>
                    <w:tr2bl w:val="nil"/>
                  </w:tcBorders>
                  <w:vAlign w:val="center"/>
                </w:tcPr>
                <w:p w14:paraId="2D0D3083">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1.加强环境应急预案管理和风险预警。园区及园区内企业应当结合经营性质、规模、组织体系，建立健全环境应急预案体系，并强化企业、园区以及上级政府环境应急预案之间的衔接。加强环境应急预案演练、评估与修订。园区管理机构应当组织建设有毒有害气体环境风险预警体系，建设园区环境风险防范设施。2.在居住和工业企业混住区域，应加强环境风险防控。3.同时执行加强环境应急预案管理和风险预警。园区及园区内企业应当结合经营性质、规模、组织体系，建立健全环境应急预案体系，并强化企业、园区以及上级政府环境应急预案之间的衔接。加强环境应急预案演练、评估与修订。园区管理机构应当组织建设有毒有害气体环境风险预警体系，建设园区环境风险防范设施。4.水环境工业污染重点管控区同时执行排放《有毒有害水污染物名录》所列有毒有害水污染物的企业事业单位和其他生产经营者，应当对排污口和周边环境进行监测，评估环境风险，排查环境安全隐患，并公开有毒有害水污染物信息，采取有效措施防范环境风险。</w:t>
                  </w:r>
                </w:p>
              </w:tc>
              <w:tc>
                <w:tcPr>
                  <w:tcW w:w="1561" w:type="dxa"/>
                  <w:tcBorders>
                    <w:tl2br w:val="nil"/>
                    <w:tr2bl w:val="nil"/>
                  </w:tcBorders>
                  <w:vAlign w:val="center"/>
                </w:tcPr>
                <w:p w14:paraId="764E3836">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经过落实相关环境风险防范措施，本项目编制突发环境事件应急预案并强化与黑龙江桦川经济开发区及上级政府环境应急预案之间的衔接。满足“环境风险防控”要求。</w:t>
                  </w:r>
                </w:p>
              </w:tc>
            </w:tr>
            <w:tr w14:paraId="003B47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69" w:type="dxa"/>
                  <w:tcBorders>
                    <w:tl2br w:val="nil"/>
                    <w:tr2bl w:val="nil"/>
                  </w:tcBorders>
                  <w:vAlign w:val="center"/>
                </w:tcPr>
                <w:p w14:paraId="76EA53A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资源利用效率要求</w:t>
                  </w:r>
                </w:p>
              </w:tc>
              <w:tc>
                <w:tcPr>
                  <w:tcW w:w="4410" w:type="dxa"/>
                  <w:tcBorders>
                    <w:tl2br w:val="nil"/>
                    <w:tr2bl w:val="nil"/>
                  </w:tcBorders>
                  <w:vAlign w:val="center"/>
                </w:tcPr>
                <w:p w14:paraId="335AD70C">
                  <w:pPr>
                    <w:keepNext w:val="0"/>
                    <w:keepLines w:val="0"/>
                    <w:pageBreakBefore w:val="0"/>
                    <w:widowControl w:val="0"/>
                    <w:numPr>
                      <w:ilvl w:val="0"/>
                      <w:numId w:val="0"/>
                    </w:numPr>
                    <w:suppressLineNumbers w:val="0"/>
                    <w:kinsoku/>
                    <w:wordWrap w:val="0"/>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1.水资源利用上限：用水总量上限为11690t/d。2.土地资源利用上限：土地资源总量上限为697.24公顷，建设用地总量上限为696.13公顷，工业用地总量上限为449.04公顷。3.单位工业增加值综合能耗≤0.5吨标煤/万元。4.落实最严格的水资源管理制度，实行水资源消耗总量和强度双控。5.提高清洁生产水平和资源、能源利用效率。6.发展项目行业要求：①能源消耗率4t/万元；②新鲜水耗4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vertAlign w:val="baseline"/>
                    </w:rPr>
                    <w:t>/万元；7.高污染燃料禁燃区同时执行：①在禁燃区内，禁止销售、燃用高污染燃料；禁止新建、扩建燃用高污染燃料的设施，已建成的，应当在城市人民政府规定的期限内改用天然气、页岩气、液化石油气、电或者其他清洁能源。②城市建设应当统筹规划，在燃煤供热地区，推进热电联产和集中供热。在集中供热管网覆盖地区，禁止新建、扩建分散燃煤供热锅炉；已建成的不能达标排放的燃煤供热锅炉，应当在城市人民政府规定的期限内拆除。8.同时执行：①落实最严格的水资源管理制度，实行水资源消耗总量和强度双控。②全面推行清洁生产，依法在“双超双有高耗能”行业实施强制性清洁生产审核。</w:t>
                  </w:r>
                </w:p>
              </w:tc>
              <w:tc>
                <w:tcPr>
                  <w:tcW w:w="1561" w:type="dxa"/>
                  <w:tcBorders>
                    <w:tl2br w:val="nil"/>
                    <w:tr2bl w:val="nil"/>
                  </w:tcBorders>
                  <w:vAlign w:val="center"/>
                </w:tcPr>
                <w:p w14:paraId="38AFABCB">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rPr>
                    <w:t>本项目新鲜水用量为125048t/a</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rPr>
                    <w:t>不属于用水量大，排水量大项目</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cs="Times New Roman"/>
                      <w:color w:val="auto"/>
                      <w:sz w:val="21"/>
                      <w:szCs w:val="21"/>
                      <w:highlight w:val="none"/>
                      <w:vertAlign w:val="baseline"/>
                      <w:lang w:val="en-US" w:eastAsia="zh-CN"/>
                    </w:rPr>
                    <w:t>本项目</w:t>
                  </w:r>
                  <w:r>
                    <w:rPr>
                      <w:rFonts w:hint="default" w:ascii="Times New Roman" w:hAnsi="Times New Roman" w:cs="Times New Roman"/>
                      <w:color w:val="auto"/>
                      <w:sz w:val="21"/>
                      <w:szCs w:val="21"/>
                      <w:highlight w:val="none"/>
                      <w:vertAlign w:val="baseline"/>
                      <w:lang w:eastAsia="zh-CN"/>
                    </w:rPr>
                    <w:t>燃料为生物质成型燃料，不属于《桦川县人民政府 关于划定高污染燃料禁燃区的通告》（桦政发〔2020〕60号）中所列出高污染燃料，因此本项目的建设符合“资源利用效率”要求。</w:t>
                  </w:r>
                </w:p>
              </w:tc>
            </w:tr>
          </w:tbl>
          <w:p w14:paraId="5C6AD775">
            <w:pPr>
              <w:pStyle w:val="110"/>
              <w:keepNext w:val="0"/>
              <w:keepLines w:val="0"/>
              <w:pageBreakBefore w:val="0"/>
              <w:kinsoku/>
              <w:bidi w:val="0"/>
              <w:adjustRightInd w:val="0"/>
              <w:snapToGrid w:val="0"/>
              <w:spacing w:before="0" w:beforeLines="0" w:after="0"/>
              <w:ind w:left="0" w:leftChars="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一说明</w:t>
            </w:r>
            <w:r>
              <w:rPr>
                <w:rFonts w:hint="default" w:ascii="Times New Roman" w:hAnsi="Times New Roman" w:cs="Times New Roman"/>
                <w:color w:val="auto"/>
                <w:highlight w:val="none"/>
                <w:lang w:val="en-US" w:eastAsia="zh-CN"/>
              </w:rPr>
              <w:t>”</w:t>
            </w:r>
          </w:p>
          <w:p w14:paraId="5331D3B4">
            <w:pPr>
              <w:pStyle w:val="110"/>
              <w:keepNext w:val="0"/>
              <w:keepLines w:val="0"/>
              <w:pageBreakBefore w:val="0"/>
              <w:kinsoku/>
              <w:bidi w:val="0"/>
              <w:adjustRightInd w:val="0"/>
              <w:snapToGrid w:val="0"/>
              <w:spacing w:before="0" w:beforeLines="0" w:after="0"/>
              <w:ind w:left="0" w:leftChars="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黑龙江龙粮油脂有限公司10万吨米糠及3万吨大豆制油加工项目生态环境分区管控分析报告》可知，黑龙江龙粮油脂有限公司10万吨米糠及3万吨大豆制油加工项目位置涉及佳木斯市桦川县；项目占地总面积0.05平方公里。与生态保护红线交集面积为0.00平方公里，占项目占地面积的0.00%。与自然保护地整合优化方案数据交集面积为0.00平方公里，占项目占地面积的0.00%。保护地涉及等类型。与自然保护地（现状管理数据）交集面积为0.00平方公里，占项目占地面积的0.00%。保护地涉及等类型。与饮用水水源保护区交集面积为0.00平方公里，占项目占地面积的0.00%。与国家级水产种质资源保护区交集面积为0.00平方公里，占项目占地面积的0.00%。与环境管控单元优先保护单元交集面积为0.00平方公里，占项目占地面积的0.00%；与重点管控单元交集面积为0.05平方公里，占项目占地面积的100.00%；一般管控单元交集面积为0.00平方公里，占项目占地面积的0.00%。与地下水环境优先保护区交集面积为0.00平方公里，占项目占地面积的0.00%；与地下水环境重点管控区交集面积为0.05平方公里，占项目占地面积的100.00%，与地下水环境一般管控区交集面积为0.00平方公里，占项目占地面积的0.00%。</w:t>
            </w:r>
          </w:p>
          <w:p w14:paraId="52C434EA">
            <w:pPr>
              <w:pStyle w:val="110"/>
              <w:keepNext w:val="0"/>
              <w:keepLines w:val="0"/>
              <w:pageBreakBefore w:val="0"/>
              <w:kinsoku/>
              <w:bidi w:val="0"/>
              <w:adjustRightInd w:val="0"/>
              <w:snapToGrid w:val="0"/>
              <w:spacing w:before="0" w:beforeLines="0" w:after="0"/>
              <w:ind w:left="0" w:leftChars="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综上，本项目的建设符合《黑龙江省人民政府关于实施</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三线一单</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生态环境分区管控的意见》（黑政发〔2020〕14号）、《关于发布2023年生态环境分区管控动态更新的通知》（黑环发〔2024〕1号）、《佳木斯市人民政府关于</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三线一单</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生态环境分区管控的实施意见》（佳政规〔2021〕4号）、《佳木斯市生态环境准入清单》（2023年版）及本项目的《生态环境分区管控分析报告》中的要求。</w:t>
            </w:r>
          </w:p>
          <w:p w14:paraId="1CF8B80F">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right="0" w:rightChars="0"/>
              <w:textAlignment w:val="auto"/>
              <w:rPr>
                <w:rFonts w:hint="default" w:ascii="Times New Roman" w:hAnsi="Times New Roman" w:eastAsia="宋体" w:cs="Times New Roman"/>
                <w:b/>
                <w:bCs/>
                <w:color w:val="auto"/>
                <w:spacing w:val="0"/>
                <w:position w:val="0"/>
                <w:sz w:val="24"/>
                <w:szCs w:val="32"/>
                <w:highlight w:val="none"/>
                <w:lang w:bidi="ar"/>
              </w:rPr>
            </w:pPr>
            <w:r>
              <w:rPr>
                <w:rFonts w:hint="default" w:ascii="Times New Roman" w:hAnsi="Times New Roman" w:cs="Times New Roman"/>
                <w:b/>
                <w:bCs/>
                <w:color w:val="auto"/>
                <w:spacing w:val="0"/>
                <w:position w:val="0"/>
                <w:sz w:val="24"/>
                <w:szCs w:val="32"/>
                <w:highlight w:val="none"/>
                <w:lang w:val="en-US" w:eastAsia="zh-CN" w:bidi="ar"/>
              </w:rPr>
              <w:t>3、</w:t>
            </w:r>
            <w:r>
              <w:rPr>
                <w:rFonts w:hint="default" w:ascii="Times New Roman" w:hAnsi="Times New Roman" w:eastAsia="宋体" w:cs="Times New Roman"/>
                <w:b/>
                <w:bCs/>
                <w:color w:val="auto"/>
                <w:spacing w:val="0"/>
                <w:position w:val="0"/>
                <w:sz w:val="24"/>
                <w:szCs w:val="32"/>
                <w:highlight w:val="none"/>
                <w:lang w:bidi="ar"/>
              </w:rPr>
              <w:t>与《黑龙江省大气污染防治条例》符合性分析</w:t>
            </w:r>
          </w:p>
          <w:p w14:paraId="6EE9DC50">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position w:val="0"/>
                <w:sz w:val="24"/>
                <w:szCs w:val="32"/>
                <w:highlight w:val="none"/>
              </w:rPr>
            </w:pPr>
            <w:r>
              <w:rPr>
                <w:rFonts w:hint="default" w:ascii="Times New Roman" w:hAnsi="Times New Roman" w:eastAsia="宋体" w:cs="Times New Roman"/>
                <w:b/>
                <w:bCs/>
                <w:color w:val="auto"/>
                <w:spacing w:val="0"/>
                <w:position w:val="0"/>
                <w:sz w:val="24"/>
                <w:szCs w:val="32"/>
                <w:highlight w:val="none"/>
              </w:rPr>
              <w:t>表1-</w:t>
            </w:r>
            <w:r>
              <w:rPr>
                <w:rFonts w:hint="default" w:ascii="Times New Roman" w:hAnsi="Times New Roman" w:cs="Times New Roman"/>
                <w:b/>
                <w:bCs/>
                <w:color w:val="auto"/>
                <w:spacing w:val="0"/>
                <w:position w:val="0"/>
                <w:sz w:val="24"/>
                <w:szCs w:val="32"/>
                <w:highlight w:val="none"/>
                <w:lang w:val="en-US" w:eastAsia="zh-CN"/>
              </w:rPr>
              <w:t>3</w:t>
            </w:r>
            <w:r>
              <w:rPr>
                <w:rFonts w:hint="default" w:ascii="Times New Roman" w:hAnsi="Times New Roman" w:eastAsia="宋体" w:cs="Times New Roman"/>
                <w:b/>
                <w:bCs/>
                <w:color w:val="auto"/>
                <w:spacing w:val="0"/>
                <w:position w:val="0"/>
                <w:sz w:val="24"/>
                <w:szCs w:val="32"/>
                <w:highlight w:val="none"/>
              </w:rPr>
              <w:t xml:space="preserve"> 与《黑龙江省大气污染防治条例》符合性分析一览表</w:t>
            </w:r>
          </w:p>
          <w:tbl>
            <w:tblPr>
              <w:tblStyle w:val="29"/>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6"/>
              <w:gridCol w:w="3517"/>
              <w:gridCol w:w="2590"/>
            </w:tblGrid>
            <w:tr w14:paraId="7E50F6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518" w:type="pct"/>
                  <w:noWrap w:val="0"/>
                  <w:vAlign w:val="center"/>
                </w:tcPr>
                <w:p w14:paraId="51EAAED9">
                  <w:pPr>
                    <w:keepNext w:val="0"/>
                    <w:keepLines w:val="0"/>
                    <w:pageBreakBefore w:val="0"/>
                    <w:kinsoku/>
                    <w:wordWrap/>
                    <w:overflowPunct/>
                    <w:topLinePunct w:val="0"/>
                    <w:bidi w:val="0"/>
                    <w:adjustRightInd w:val="0"/>
                    <w:snapToGrid w:val="0"/>
                    <w:spacing w:beforeAutospacing="0" w:afterAutospacing="0" w:line="360" w:lineRule="exact"/>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名称</w:t>
                  </w:r>
                </w:p>
              </w:tc>
              <w:tc>
                <w:tcPr>
                  <w:tcW w:w="2581" w:type="pct"/>
                  <w:noWrap w:val="0"/>
                  <w:vAlign w:val="center"/>
                </w:tcPr>
                <w:p w14:paraId="32A3B54F">
                  <w:pPr>
                    <w:keepNext w:val="0"/>
                    <w:keepLines w:val="0"/>
                    <w:pageBreakBefore w:val="0"/>
                    <w:kinsoku/>
                    <w:wordWrap/>
                    <w:overflowPunct/>
                    <w:topLinePunct w:val="0"/>
                    <w:bidi w:val="0"/>
                    <w:adjustRightInd w:val="0"/>
                    <w:snapToGrid w:val="0"/>
                    <w:spacing w:beforeAutospacing="0" w:afterAutospacing="0" w:line="360" w:lineRule="exact"/>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要求</w:t>
                  </w:r>
                </w:p>
              </w:tc>
              <w:tc>
                <w:tcPr>
                  <w:tcW w:w="1900" w:type="pct"/>
                  <w:noWrap w:val="0"/>
                  <w:vAlign w:val="center"/>
                </w:tcPr>
                <w:p w14:paraId="58E708BD">
                  <w:pPr>
                    <w:keepNext w:val="0"/>
                    <w:keepLines w:val="0"/>
                    <w:pageBreakBefore w:val="0"/>
                    <w:kinsoku/>
                    <w:wordWrap/>
                    <w:overflowPunct/>
                    <w:topLinePunct w:val="0"/>
                    <w:bidi w:val="0"/>
                    <w:adjustRightInd w:val="0"/>
                    <w:snapToGrid w:val="0"/>
                    <w:spacing w:beforeAutospacing="0" w:afterAutospacing="0" w:line="360" w:lineRule="exact"/>
                    <w:ind w:left="0" w:leftChars="0" w:right="0" w:rightChars="0"/>
                    <w:jc w:val="center"/>
                    <w:rPr>
                      <w:rFonts w:hint="default" w:ascii="Times New Roman" w:hAnsi="Times New Roman" w:eastAsia="宋体" w:cs="Times New Roman"/>
                      <w:color w:val="auto"/>
                      <w:spacing w:val="0"/>
                      <w:position w:val="0"/>
                      <w:sz w:val="21"/>
                      <w:szCs w:val="21"/>
                      <w:highlight w:val="none"/>
                      <w:lang w:bidi="ar"/>
                    </w:rPr>
                  </w:pPr>
                  <w:r>
                    <w:rPr>
                      <w:rFonts w:hint="default" w:ascii="Times New Roman" w:hAnsi="Times New Roman" w:eastAsia="宋体" w:cs="Times New Roman"/>
                      <w:color w:val="auto"/>
                      <w:spacing w:val="0"/>
                      <w:position w:val="0"/>
                      <w:sz w:val="21"/>
                      <w:szCs w:val="21"/>
                      <w:highlight w:val="none"/>
                    </w:rPr>
                    <w:t>本项目情况</w:t>
                  </w:r>
                </w:p>
              </w:tc>
            </w:tr>
            <w:tr w14:paraId="2649A1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518" w:type="pct"/>
                  <w:noWrap w:val="0"/>
                  <w:vAlign w:val="center"/>
                </w:tcPr>
                <w:p w14:paraId="1CABDA76">
                  <w:pPr>
                    <w:keepNext w:val="0"/>
                    <w:keepLines w:val="0"/>
                    <w:pageBreakBefore w:val="0"/>
                    <w:kinsoku/>
                    <w:wordWrap/>
                    <w:overflowPunct/>
                    <w:topLinePunct w:val="0"/>
                    <w:bidi w:val="0"/>
                    <w:adjustRightInd w:val="0"/>
                    <w:snapToGrid w:val="0"/>
                    <w:spacing w:beforeAutospacing="0" w:afterAutospacing="0" w:line="360" w:lineRule="exact"/>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《黑龙江省大气污染防治条例》</w:t>
                  </w:r>
                </w:p>
              </w:tc>
              <w:tc>
                <w:tcPr>
                  <w:tcW w:w="2581" w:type="pct"/>
                  <w:noWrap w:val="0"/>
                  <w:vAlign w:val="center"/>
                </w:tcPr>
                <w:p w14:paraId="0F145E8B">
                  <w:pPr>
                    <w:keepNext w:val="0"/>
                    <w:keepLines w:val="0"/>
                    <w:pageBreakBefore w:val="0"/>
                    <w:kinsoku/>
                    <w:wordWrap/>
                    <w:overflowPunct/>
                    <w:topLinePunct w:val="0"/>
                    <w:bidi w:val="0"/>
                    <w:adjustRightInd w:val="0"/>
                    <w:snapToGrid w:val="0"/>
                    <w:spacing w:beforeAutospacing="0" w:afterAutospacing="0" w:line="360" w:lineRule="exact"/>
                    <w:ind w:left="0" w:leftChars="0" w:right="0" w:rightChars="0"/>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第十条：企业事业单位和其他生产经营者建设对大气环境有影响的项目，应当依法进行环境影响评价、公开环境影响评价文件；向大气排放污染物的，应当符合大气污染物排放标准，遵守重点大气污染物排放总量控制要求。第十一条：向大气排放污染物的企业事业单位和其他生产经营者，应当配套建设大气污染防治设施。配套建设的大气污染防治设施，应当与主体工程同时设计、同时施工、同时投产使用，不得擅自拆除或者闲置。</w:t>
                  </w:r>
                </w:p>
                <w:p w14:paraId="4392A3ED">
                  <w:pPr>
                    <w:keepNext w:val="0"/>
                    <w:keepLines w:val="0"/>
                    <w:pageBreakBefore w:val="0"/>
                    <w:kinsoku/>
                    <w:wordWrap/>
                    <w:overflowPunct/>
                    <w:topLinePunct w:val="0"/>
                    <w:bidi w:val="0"/>
                    <w:adjustRightInd w:val="0"/>
                    <w:snapToGrid w:val="0"/>
                    <w:spacing w:beforeAutospacing="0" w:afterAutospacing="0" w:line="360" w:lineRule="exact"/>
                    <w:ind w:left="0" w:leftChars="0" w:right="0" w:rightChars="0"/>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第五十四条：运输煤炭、垃圾、渣土、砂石、土方、灰浆等散装、流体物料的车辆，应当采取密闭或者其他措施防止物料遗撒、泄漏，并按照规定的路线和时间行驶。</w:t>
                  </w:r>
                </w:p>
                <w:p w14:paraId="21C2D4BB">
                  <w:pPr>
                    <w:keepNext w:val="0"/>
                    <w:keepLines w:val="0"/>
                    <w:pageBreakBefore w:val="0"/>
                    <w:kinsoku/>
                    <w:wordWrap/>
                    <w:overflowPunct/>
                    <w:topLinePunct w:val="0"/>
                    <w:bidi w:val="0"/>
                    <w:adjustRightInd w:val="0"/>
                    <w:snapToGrid w:val="0"/>
                    <w:spacing w:beforeAutospacing="0" w:afterAutospacing="0" w:line="360" w:lineRule="exact"/>
                    <w:ind w:left="0" w:leftChars="0" w:right="0" w:rightChars="0"/>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第四十条：下列产生含挥发性有机物废气的活动，应当按照国家规定在密闭空间或者设备中进行，并按照规定安装、使用污染防治设施；无法密闭的，应当采取措施减少废气排放：</w:t>
                  </w:r>
                </w:p>
                <w:p w14:paraId="3C860684">
                  <w:pPr>
                    <w:keepNext w:val="0"/>
                    <w:keepLines w:val="0"/>
                    <w:pageBreakBefore w:val="0"/>
                    <w:kinsoku/>
                    <w:wordWrap/>
                    <w:overflowPunct/>
                    <w:topLinePunct w:val="0"/>
                    <w:bidi w:val="0"/>
                    <w:adjustRightInd w:val="0"/>
                    <w:snapToGrid w:val="0"/>
                    <w:spacing w:beforeAutospacing="0" w:afterAutospacing="0" w:line="360" w:lineRule="exact"/>
                    <w:ind w:left="0" w:leftChars="0" w:right="0" w:rightChars="0"/>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（一）煤炭加工与转化、石油化工生产；</w:t>
                  </w:r>
                </w:p>
                <w:p w14:paraId="7BD92757">
                  <w:pPr>
                    <w:keepNext w:val="0"/>
                    <w:keepLines w:val="0"/>
                    <w:pageBreakBefore w:val="0"/>
                    <w:kinsoku/>
                    <w:wordWrap/>
                    <w:overflowPunct/>
                    <w:topLinePunct w:val="0"/>
                    <w:bidi w:val="0"/>
                    <w:adjustRightInd w:val="0"/>
                    <w:snapToGrid w:val="0"/>
                    <w:spacing w:beforeAutospacing="0" w:afterAutospacing="0" w:line="360" w:lineRule="exact"/>
                    <w:ind w:left="0" w:leftChars="0" w:right="0" w:rightChars="0"/>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（二）燃油、溶剂的储存、运输和销售；</w:t>
                  </w:r>
                </w:p>
                <w:p w14:paraId="098EED1A">
                  <w:pPr>
                    <w:keepNext w:val="0"/>
                    <w:keepLines w:val="0"/>
                    <w:pageBreakBefore w:val="0"/>
                    <w:kinsoku/>
                    <w:wordWrap/>
                    <w:overflowPunct/>
                    <w:topLinePunct w:val="0"/>
                    <w:bidi w:val="0"/>
                    <w:adjustRightInd w:val="0"/>
                    <w:snapToGrid w:val="0"/>
                    <w:spacing w:beforeAutospacing="0" w:afterAutospacing="0" w:line="360" w:lineRule="exact"/>
                    <w:ind w:left="0" w:leftChars="0" w:right="0" w:rightChars="0"/>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（三）涂料、油墨、胶粘剂、农药等以挥发性有机物为原材料的生产；</w:t>
                  </w:r>
                </w:p>
                <w:p w14:paraId="5E40B3B6">
                  <w:pPr>
                    <w:keepNext w:val="0"/>
                    <w:keepLines w:val="0"/>
                    <w:pageBreakBefore w:val="0"/>
                    <w:kinsoku/>
                    <w:wordWrap/>
                    <w:overflowPunct/>
                    <w:topLinePunct w:val="0"/>
                    <w:bidi w:val="0"/>
                    <w:adjustRightInd w:val="0"/>
                    <w:snapToGrid w:val="0"/>
                    <w:spacing w:beforeAutospacing="0" w:afterAutospacing="0" w:line="360" w:lineRule="exact"/>
                    <w:ind w:left="0" w:leftChars="0" w:right="0" w:rightChars="0"/>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（四）涂装、印刷、粘合和工业清洗；</w:t>
                  </w:r>
                </w:p>
                <w:p w14:paraId="7D676114">
                  <w:pPr>
                    <w:keepNext w:val="0"/>
                    <w:keepLines w:val="0"/>
                    <w:pageBreakBefore w:val="0"/>
                    <w:kinsoku/>
                    <w:wordWrap/>
                    <w:overflowPunct/>
                    <w:topLinePunct w:val="0"/>
                    <w:bidi w:val="0"/>
                    <w:adjustRightInd w:val="0"/>
                    <w:snapToGrid w:val="0"/>
                    <w:spacing w:beforeAutospacing="0" w:afterAutospacing="0" w:line="360" w:lineRule="exact"/>
                    <w:ind w:left="0" w:leftChars="0" w:right="0" w:rightChars="0"/>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（五）其他产生含挥发性有机物废气的活动。</w:t>
                  </w:r>
                </w:p>
              </w:tc>
              <w:tc>
                <w:tcPr>
                  <w:tcW w:w="1900" w:type="pct"/>
                  <w:noWrap w:val="0"/>
                  <w:vAlign w:val="center"/>
                </w:tcPr>
                <w:p w14:paraId="66CB748C">
                  <w:pPr>
                    <w:keepNext w:val="0"/>
                    <w:keepLines w:val="0"/>
                    <w:pageBreakBefore w:val="0"/>
                    <w:kinsoku/>
                    <w:wordWrap/>
                    <w:overflowPunct/>
                    <w:topLinePunct w:val="0"/>
                    <w:bidi w:val="0"/>
                    <w:adjustRightInd w:val="0"/>
                    <w:snapToGrid w:val="0"/>
                    <w:spacing w:beforeAutospacing="0" w:afterAutospacing="0" w:line="360" w:lineRule="exact"/>
                    <w:ind w:left="0" w:leftChars="0" w:right="0" w:rightChars="0"/>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本项目依法进行环境影响评价。本项目预处理车间废气经集气装置+布袋除尘器处理后经由15m高排气筒排放；浸出车间废气经冷凝+石蜡油吸收后经由15m高排气筒排放；精炼车间废气经石蜡油吸收+活性炭吸附后经由15m高排气筒排放；锅炉废气经旋风+布袋除尘器处理后经由40m高烟囱排放；本项目污水处理站废气经活性炭吸附后经由15m高排气筒排放。本项目预处理车间、浸出车间均为密闭车间，车间内安装排风扇，本项目浸出工艺系统设置负压吸风系统；正己烷储罐采用地埋式；采用原装进口的填料和密封垫片，经常巡检泵、管件阀门、进料口等并及时处理，最大限度</w:t>
                  </w:r>
                  <w:r>
                    <w:rPr>
                      <w:rFonts w:hint="default" w:ascii="Times New Roman" w:hAnsi="Times New Roman" w:cs="Times New Roman"/>
                      <w:color w:val="auto"/>
                      <w:spacing w:val="0"/>
                      <w:position w:val="0"/>
                      <w:sz w:val="21"/>
                      <w:szCs w:val="21"/>
                      <w:highlight w:val="none"/>
                      <w:lang w:eastAsia="zh-CN"/>
                    </w:rPr>
                    <w:t>地</w:t>
                  </w:r>
                  <w:r>
                    <w:rPr>
                      <w:rFonts w:hint="default" w:ascii="Times New Roman" w:hAnsi="Times New Roman" w:eastAsia="宋体" w:cs="Times New Roman"/>
                      <w:color w:val="auto"/>
                      <w:spacing w:val="0"/>
                      <w:position w:val="0"/>
                      <w:sz w:val="21"/>
                      <w:szCs w:val="21"/>
                      <w:highlight w:val="none"/>
                    </w:rPr>
                    <w:t>降低溶剂蒸汽泄漏，溶剂（</w:t>
                  </w:r>
                  <w:r>
                    <w:rPr>
                      <w:rFonts w:hint="default" w:ascii="Times New Roman" w:hAnsi="Times New Roman" w:cs="Times New Roman"/>
                      <w:color w:val="auto"/>
                      <w:spacing w:val="0"/>
                      <w:position w:val="0"/>
                      <w:sz w:val="21"/>
                      <w:szCs w:val="21"/>
                      <w:highlight w:val="none"/>
                      <w:lang w:eastAsia="zh-CN"/>
                    </w:rPr>
                    <w:t>正己烷</w:t>
                  </w:r>
                  <w:r>
                    <w:rPr>
                      <w:rFonts w:hint="default" w:ascii="Times New Roman" w:hAnsi="Times New Roman" w:eastAsia="宋体" w:cs="Times New Roman"/>
                      <w:color w:val="auto"/>
                      <w:spacing w:val="0"/>
                      <w:position w:val="0"/>
                      <w:sz w:val="21"/>
                      <w:szCs w:val="21"/>
                      <w:highlight w:val="none"/>
                    </w:rPr>
                    <w:t>）在各个生产过程中设备及管线及投料口等的无组织泄漏。对周边环境影响较小。运输车辆采用苫布苫盖，并洒水降尘，并按规定的路线和时间</w:t>
                  </w:r>
                  <w:r>
                    <w:rPr>
                      <w:rFonts w:hint="default" w:ascii="Times New Roman" w:hAnsi="Times New Roman" w:cs="Times New Roman"/>
                      <w:color w:val="auto"/>
                      <w:spacing w:val="0"/>
                      <w:position w:val="0"/>
                      <w:sz w:val="21"/>
                      <w:szCs w:val="21"/>
                      <w:highlight w:val="none"/>
                      <w:lang w:eastAsia="zh-CN"/>
                    </w:rPr>
                    <w:t>行驶</w:t>
                  </w:r>
                  <w:r>
                    <w:rPr>
                      <w:rFonts w:hint="default" w:ascii="Times New Roman" w:hAnsi="Times New Roman" w:eastAsia="宋体" w:cs="Times New Roman"/>
                      <w:color w:val="auto"/>
                      <w:spacing w:val="0"/>
                      <w:position w:val="0"/>
                      <w:sz w:val="21"/>
                      <w:szCs w:val="21"/>
                      <w:highlight w:val="none"/>
                    </w:rPr>
                    <w:t>。</w:t>
                  </w:r>
                </w:p>
              </w:tc>
            </w:tr>
          </w:tbl>
          <w:p w14:paraId="20BAA064">
            <w:pPr>
              <w:keepNext w:val="0"/>
              <w:keepLines w:val="0"/>
              <w:pageBreakBefore w:val="0"/>
              <w:widowControl w:val="0"/>
              <w:kinsoku/>
              <w:wordWrap/>
              <w:overflowPunct/>
              <w:topLinePunct w:val="0"/>
              <w:autoSpaceDE w:val="0"/>
              <w:autoSpaceDN w:val="0"/>
              <w:bidi w:val="0"/>
              <w:adjustRightInd w:val="0"/>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根据表1-3分析，本项目符合《黑龙江省大气污染防治条例》相关要求。</w:t>
            </w:r>
          </w:p>
          <w:p w14:paraId="077ACE6F">
            <w:pPr>
              <w:keepNext w:val="0"/>
              <w:keepLines w:val="0"/>
              <w:pageBreakBefore w:val="0"/>
              <w:widowControl w:val="0"/>
              <w:numPr>
                <w:ilvl w:val="0"/>
                <w:numId w:val="0"/>
              </w:numPr>
              <w:kinsoku/>
              <w:wordWrap/>
              <w:overflowPunct/>
              <w:topLinePunct w:val="0"/>
              <w:autoSpaceDE/>
              <w:autoSpaceDN/>
              <w:bidi w:val="0"/>
              <w:adjustRightInd w:val="0"/>
              <w:snapToGrid w:val="0"/>
              <w:spacing w:beforeAutospacing="0" w:afterAutospacing="0" w:line="360" w:lineRule="auto"/>
              <w:ind w:right="0" w:rightChars="0"/>
              <w:textAlignment w:val="auto"/>
              <w:rPr>
                <w:rFonts w:hint="default" w:ascii="Times New Roman" w:hAnsi="Times New Roman" w:eastAsia="宋体" w:cs="Times New Roman"/>
                <w:b/>
                <w:bCs/>
                <w:color w:val="auto"/>
                <w:spacing w:val="0"/>
                <w:kern w:val="2"/>
                <w:position w:val="0"/>
                <w:sz w:val="24"/>
                <w:szCs w:val="32"/>
                <w:highlight w:val="none"/>
                <w:lang w:val="en-US" w:eastAsia="zh-CN" w:bidi="ar-SA"/>
              </w:rPr>
            </w:pPr>
            <w:r>
              <w:rPr>
                <w:rFonts w:hint="default" w:ascii="Times New Roman" w:hAnsi="Times New Roman" w:cs="Times New Roman"/>
                <w:b/>
                <w:bCs/>
                <w:color w:val="auto"/>
                <w:spacing w:val="0"/>
                <w:position w:val="0"/>
                <w:sz w:val="24"/>
                <w:szCs w:val="32"/>
                <w:highlight w:val="none"/>
                <w:lang w:val="en-US" w:eastAsia="zh-CN"/>
              </w:rPr>
              <w:t>4、</w:t>
            </w:r>
            <w:r>
              <w:rPr>
                <w:rFonts w:hint="default" w:ascii="Times New Roman" w:hAnsi="Times New Roman" w:eastAsia="宋体" w:cs="Times New Roman"/>
                <w:b/>
                <w:bCs/>
                <w:color w:val="auto"/>
                <w:spacing w:val="0"/>
                <w:position w:val="0"/>
                <w:sz w:val="24"/>
                <w:szCs w:val="32"/>
                <w:highlight w:val="none"/>
                <w:lang w:val="en-US" w:eastAsia="zh-CN"/>
              </w:rPr>
              <w:t>与《黑龙江省重点行业挥发性有机物综合治理行动方案》（黑环发</w:t>
            </w:r>
            <w:r>
              <w:rPr>
                <w:rFonts w:hint="default" w:ascii="Times New Roman" w:hAnsi="Times New Roman" w:cs="Times New Roman"/>
                <w:b/>
                <w:bCs/>
                <w:color w:val="auto"/>
                <w:spacing w:val="0"/>
                <w:position w:val="0"/>
                <w:sz w:val="24"/>
                <w:szCs w:val="32"/>
                <w:highlight w:val="none"/>
                <w:lang w:val="en-US" w:eastAsia="zh-CN"/>
              </w:rPr>
              <w:t>〔2019〕153号</w:t>
            </w:r>
            <w:r>
              <w:rPr>
                <w:rFonts w:hint="default" w:ascii="Times New Roman" w:hAnsi="Times New Roman" w:eastAsia="宋体" w:cs="Times New Roman"/>
                <w:b/>
                <w:bCs/>
                <w:color w:val="auto"/>
                <w:spacing w:val="0"/>
                <w:position w:val="0"/>
                <w:sz w:val="24"/>
                <w:szCs w:val="32"/>
                <w:highlight w:val="none"/>
                <w:lang w:val="en-US" w:eastAsia="zh-CN"/>
              </w:rPr>
              <w:t>）符合性分析</w:t>
            </w:r>
          </w:p>
          <w:p w14:paraId="07BBFA68">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default" w:ascii="Times New Roman" w:hAnsi="Times New Roman" w:eastAsia="宋体" w:cs="Times New Roman"/>
                <w:b/>
                <w:bCs/>
                <w:color w:val="auto"/>
                <w:spacing w:val="0"/>
                <w:position w:val="0"/>
                <w:sz w:val="24"/>
                <w:szCs w:val="32"/>
                <w:highlight w:val="none"/>
                <w:lang w:val="en-US" w:eastAsia="zh-CN"/>
              </w:rPr>
            </w:pPr>
            <w:r>
              <w:rPr>
                <w:rFonts w:hint="default" w:ascii="Times New Roman" w:hAnsi="Times New Roman" w:eastAsia="宋体" w:cs="Times New Roman"/>
                <w:b/>
                <w:bCs/>
                <w:color w:val="auto"/>
                <w:spacing w:val="0"/>
                <w:position w:val="0"/>
                <w:sz w:val="24"/>
                <w:szCs w:val="32"/>
                <w:highlight w:val="none"/>
                <w:lang w:val="en-US" w:eastAsia="zh-CN"/>
              </w:rPr>
              <w:t>表1-</w:t>
            </w:r>
            <w:r>
              <w:rPr>
                <w:rFonts w:hint="default" w:ascii="Times New Roman" w:hAnsi="Times New Roman" w:cs="Times New Roman"/>
                <w:b/>
                <w:bCs/>
                <w:color w:val="auto"/>
                <w:spacing w:val="0"/>
                <w:position w:val="0"/>
                <w:sz w:val="24"/>
                <w:szCs w:val="32"/>
                <w:highlight w:val="none"/>
                <w:lang w:val="en-US" w:eastAsia="zh-CN"/>
              </w:rPr>
              <w:t>4</w:t>
            </w:r>
            <w:r>
              <w:rPr>
                <w:rFonts w:hint="default" w:ascii="Times New Roman" w:hAnsi="Times New Roman" w:eastAsia="宋体" w:cs="Times New Roman"/>
                <w:b/>
                <w:bCs/>
                <w:color w:val="auto"/>
                <w:spacing w:val="0"/>
                <w:position w:val="0"/>
                <w:sz w:val="24"/>
                <w:szCs w:val="32"/>
                <w:highlight w:val="none"/>
                <w:lang w:val="en-US" w:eastAsia="zh-CN"/>
              </w:rPr>
              <w:t xml:space="preserve"> 项目与《黑龙江省重点行业挥发性有机物综合治理行动方案》符合性分析</w:t>
            </w:r>
          </w:p>
          <w:tbl>
            <w:tblPr>
              <w:tblStyle w:val="2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6"/>
              <w:gridCol w:w="4099"/>
              <w:gridCol w:w="1859"/>
            </w:tblGrid>
            <w:tr w14:paraId="699466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8" w:type="pct"/>
                  <w:noWrap w:val="0"/>
                  <w:vAlign w:val="center"/>
                </w:tcPr>
                <w:p w14:paraId="4BF39AA7">
                  <w:pPr>
                    <w:keepNext w:val="0"/>
                    <w:keepLines w:val="0"/>
                    <w:pageBreakBefore w:val="0"/>
                    <w:kinsoku/>
                    <w:wordWrap/>
                    <w:overflowPunct/>
                    <w:topLinePunct w:val="0"/>
                    <w:bidi w:val="0"/>
                    <w:adjustRightInd w:val="0"/>
                    <w:snapToGrid w:val="0"/>
                    <w:spacing w:beforeAutospacing="0" w:afterAutospacing="0" w:line="360" w:lineRule="exact"/>
                    <w:ind w:left="0" w:leftChars="0" w:right="0" w:rightChars="0"/>
                    <w:jc w:val="center"/>
                    <w:textAlignment w:val="baseline"/>
                    <w:rPr>
                      <w:rFonts w:hint="default" w:ascii="Times New Roman" w:hAnsi="Times New Roman" w:eastAsia="宋体" w:cs="Times New Roman"/>
                      <w:b w:val="0"/>
                      <w:i w:val="0"/>
                      <w:caps w:val="0"/>
                      <w:color w:val="auto"/>
                      <w:spacing w:val="0"/>
                      <w:w w:val="100"/>
                      <w:position w:val="0"/>
                      <w:sz w:val="21"/>
                      <w:szCs w:val="21"/>
                      <w:highlight w:val="none"/>
                      <w:lang w:val="en-US" w:eastAsia="zh-CN"/>
                    </w:rPr>
                  </w:pPr>
                  <w:r>
                    <w:rPr>
                      <w:rFonts w:hint="default" w:ascii="Times New Roman" w:hAnsi="Times New Roman" w:eastAsia="宋体" w:cs="Times New Roman"/>
                      <w:b w:val="0"/>
                      <w:i w:val="0"/>
                      <w:caps w:val="0"/>
                      <w:color w:val="auto"/>
                      <w:spacing w:val="0"/>
                      <w:w w:val="100"/>
                      <w:position w:val="0"/>
                      <w:sz w:val="21"/>
                      <w:szCs w:val="21"/>
                      <w:highlight w:val="none"/>
                      <w:lang w:val="en-US" w:eastAsia="zh-CN"/>
                    </w:rPr>
                    <w:t>名称</w:t>
                  </w:r>
                </w:p>
              </w:tc>
              <w:tc>
                <w:tcPr>
                  <w:tcW w:w="3007" w:type="pct"/>
                  <w:noWrap w:val="0"/>
                  <w:vAlign w:val="center"/>
                </w:tcPr>
                <w:p w14:paraId="0F7D9FF9">
                  <w:pPr>
                    <w:keepNext w:val="0"/>
                    <w:keepLines w:val="0"/>
                    <w:pageBreakBefore w:val="0"/>
                    <w:kinsoku/>
                    <w:wordWrap/>
                    <w:overflowPunct/>
                    <w:topLinePunct w:val="0"/>
                    <w:bidi w:val="0"/>
                    <w:adjustRightInd w:val="0"/>
                    <w:snapToGrid w:val="0"/>
                    <w:spacing w:beforeAutospacing="0" w:afterAutospacing="0" w:line="360" w:lineRule="exact"/>
                    <w:ind w:left="0" w:leftChars="0" w:right="0" w:rightChars="0"/>
                    <w:jc w:val="center"/>
                    <w:textAlignment w:val="baseline"/>
                    <w:rPr>
                      <w:rFonts w:hint="default" w:ascii="Times New Roman" w:hAnsi="Times New Roman" w:eastAsia="宋体" w:cs="Times New Roman"/>
                      <w:b w:val="0"/>
                      <w:i w:val="0"/>
                      <w:caps w:val="0"/>
                      <w:color w:val="auto"/>
                      <w:spacing w:val="0"/>
                      <w:w w:val="100"/>
                      <w:position w:val="0"/>
                      <w:sz w:val="21"/>
                      <w:szCs w:val="21"/>
                      <w:highlight w:val="none"/>
                      <w:lang w:val="en-US" w:eastAsia="zh-CN"/>
                    </w:rPr>
                  </w:pPr>
                  <w:r>
                    <w:rPr>
                      <w:rFonts w:hint="default" w:ascii="Times New Roman" w:hAnsi="Times New Roman" w:eastAsia="宋体" w:cs="Times New Roman"/>
                      <w:b w:val="0"/>
                      <w:i w:val="0"/>
                      <w:caps w:val="0"/>
                      <w:color w:val="auto"/>
                      <w:spacing w:val="0"/>
                      <w:w w:val="100"/>
                      <w:position w:val="0"/>
                      <w:sz w:val="21"/>
                      <w:szCs w:val="21"/>
                      <w:highlight w:val="none"/>
                      <w:lang w:val="en-US" w:eastAsia="zh-CN"/>
                    </w:rPr>
                    <w:t>正常要求</w:t>
                  </w:r>
                </w:p>
              </w:tc>
              <w:tc>
                <w:tcPr>
                  <w:tcW w:w="1364" w:type="pct"/>
                  <w:noWrap w:val="0"/>
                  <w:vAlign w:val="center"/>
                </w:tcPr>
                <w:p w14:paraId="0CC6D519">
                  <w:pPr>
                    <w:keepNext w:val="0"/>
                    <w:keepLines w:val="0"/>
                    <w:pageBreakBefore w:val="0"/>
                    <w:kinsoku/>
                    <w:wordWrap/>
                    <w:overflowPunct/>
                    <w:topLinePunct w:val="0"/>
                    <w:bidi w:val="0"/>
                    <w:adjustRightInd w:val="0"/>
                    <w:snapToGrid w:val="0"/>
                    <w:spacing w:beforeAutospacing="0" w:afterAutospacing="0" w:line="360" w:lineRule="exact"/>
                    <w:ind w:left="0" w:leftChars="0" w:right="0" w:rightChars="0"/>
                    <w:jc w:val="center"/>
                    <w:textAlignment w:val="baseline"/>
                    <w:rPr>
                      <w:rFonts w:hint="default" w:ascii="Times New Roman" w:hAnsi="Times New Roman" w:eastAsia="宋体" w:cs="Times New Roman"/>
                      <w:b w:val="0"/>
                      <w:i w:val="0"/>
                      <w:caps w:val="0"/>
                      <w:color w:val="auto"/>
                      <w:spacing w:val="0"/>
                      <w:w w:val="100"/>
                      <w:position w:val="0"/>
                      <w:sz w:val="21"/>
                      <w:szCs w:val="21"/>
                      <w:highlight w:val="none"/>
                      <w:lang w:val="en-US" w:eastAsia="zh-CN"/>
                    </w:rPr>
                  </w:pPr>
                  <w:r>
                    <w:rPr>
                      <w:rFonts w:hint="default" w:ascii="Times New Roman" w:hAnsi="Times New Roman" w:eastAsia="宋体" w:cs="Times New Roman"/>
                      <w:b w:val="0"/>
                      <w:i w:val="0"/>
                      <w:caps w:val="0"/>
                      <w:color w:val="auto"/>
                      <w:spacing w:val="0"/>
                      <w:w w:val="100"/>
                      <w:position w:val="0"/>
                      <w:sz w:val="21"/>
                      <w:szCs w:val="21"/>
                      <w:highlight w:val="none"/>
                      <w:lang w:val="en-US" w:eastAsia="zh-CN"/>
                    </w:rPr>
                    <w:t>本项目情况</w:t>
                  </w:r>
                </w:p>
              </w:tc>
            </w:tr>
            <w:tr w14:paraId="602D00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1" w:hRule="atLeast"/>
              </w:trPr>
              <w:tc>
                <w:tcPr>
                  <w:tcW w:w="628" w:type="pct"/>
                  <w:vMerge w:val="restart"/>
                  <w:noWrap w:val="0"/>
                  <w:vAlign w:val="center"/>
                </w:tcPr>
                <w:p w14:paraId="17888E09">
                  <w:pPr>
                    <w:keepNext w:val="0"/>
                    <w:keepLines w:val="0"/>
                    <w:pageBreakBefore w:val="0"/>
                    <w:kinsoku/>
                    <w:wordWrap/>
                    <w:overflowPunct/>
                    <w:topLinePunct w:val="0"/>
                    <w:bidi w:val="0"/>
                    <w:adjustRightInd w:val="0"/>
                    <w:snapToGrid w:val="0"/>
                    <w:spacing w:beforeAutospacing="0" w:afterAutospacing="0" w:line="360" w:lineRule="exact"/>
                    <w:ind w:left="0" w:leftChars="0" w:right="0" w:rightChars="0"/>
                    <w:jc w:val="center"/>
                    <w:textAlignment w:val="baseline"/>
                    <w:rPr>
                      <w:rFonts w:hint="default" w:ascii="Times New Roman" w:hAnsi="Times New Roman" w:eastAsia="宋体" w:cs="Times New Roman"/>
                      <w:b w:val="0"/>
                      <w:i w:val="0"/>
                      <w:caps w:val="0"/>
                      <w:color w:val="auto"/>
                      <w:spacing w:val="0"/>
                      <w:w w:val="100"/>
                      <w:position w:val="0"/>
                      <w:sz w:val="21"/>
                      <w:szCs w:val="21"/>
                      <w:highlight w:val="none"/>
                      <w:lang w:val="en-US" w:eastAsia="zh-CN"/>
                    </w:rPr>
                  </w:pPr>
                  <w:r>
                    <w:rPr>
                      <w:rFonts w:hint="default" w:ascii="Times New Roman" w:hAnsi="Times New Roman" w:eastAsia="宋体" w:cs="Times New Roman"/>
                      <w:b w:val="0"/>
                      <w:i w:val="0"/>
                      <w:caps w:val="0"/>
                      <w:color w:val="auto"/>
                      <w:spacing w:val="0"/>
                      <w:w w:val="100"/>
                      <w:position w:val="0"/>
                      <w:sz w:val="21"/>
                      <w:szCs w:val="21"/>
                      <w:highlight w:val="none"/>
                      <w:lang w:val="en-US" w:eastAsia="zh-CN"/>
                    </w:rPr>
                    <w:t>《黑龙江省重点行业挥发性有机物综合治理行动方案》</w:t>
                  </w:r>
                </w:p>
              </w:tc>
              <w:tc>
                <w:tcPr>
                  <w:tcW w:w="3007" w:type="pct"/>
                  <w:noWrap w:val="0"/>
                  <w:vAlign w:val="center"/>
                </w:tcPr>
                <w:p w14:paraId="0286B38F">
                  <w:pPr>
                    <w:keepNext w:val="0"/>
                    <w:keepLines w:val="0"/>
                    <w:pageBreakBefore w:val="0"/>
                    <w:kinsoku/>
                    <w:wordWrap/>
                    <w:overflowPunct/>
                    <w:topLinePunct w:val="0"/>
                    <w:bidi w:val="0"/>
                    <w:adjustRightInd w:val="0"/>
                    <w:snapToGrid w:val="0"/>
                    <w:spacing w:beforeAutospacing="0" w:afterAutospacing="0" w:line="360" w:lineRule="exact"/>
                    <w:ind w:left="0" w:leftChars="0" w:right="0" w:rightChars="0"/>
                    <w:jc w:val="center"/>
                    <w:textAlignment w:val="baseline"/>
                    <w:rPr>
                      <w:rFonts w:hint="default" w:ascii="Times New Roman" w:hAnsi="Times New Roman" w:eastAsia="宋体" w:cs="Times New Roman"/>
                      <w:b w:val="0"/>
                      <w:i w:val="0"/>
                      <w:caps w:val="0"/>
                      <w:color w:val="auto"/>
                      <w:spacing w:val="0"/>
                      <w:w w:val="100"/>
                      <w:position w:val="0"/>
                      <w:sz w:val="21"/>
                      <w:szCs w:val="21"/>
                      <w:highlight w:val="none"/>
                      <w:lang w:val="en-US" w:eastAsia="zh-CN"/>
                    </w:rPr>
                  </w:pPr>
                  <w:r>
                    <w:rPr>
                      <w:rFonts w:hint="default" w:ascii="Times New Roman" w:hAnsi="Times New Roman" w:eastAsia="宋体" w:cs="Times New Roman"/>
                      <w:b w:val="0"/>
                      <w:i w:val="0"/>
                      <w:caps w:val="0"/>
                      <w:color w:val="auto"/>
                      <w:spacing w:val="0"/>
                      <w:w w:val="100"/>
                      <w:position w:val="0"/>
                      <w:sz w:val="21"/>
                      <w:szCs w:val="21"/>
                      <w:highlight w:val="none"/>
                      <w:lang w:val="en-US" w:eastAsia="zh-CN"/>
                    </w:rPr>
                    <w:t>（四）全面加强无组织排放控制。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w:t>
                  </w:r>
                </w:p>
                <w:p w14:paraId="1AED07BF">
                  <w:pPr>
                    <w:keepNext w:val="0"/>
                    <w:keepLines w:val="0"/>
                    <w:pageBreakBefore w:val="0"/>
                    <w:kinsoku/>
                    <w:wordWrap/>
                    <w:overflowPunct/>
                    <w:topLinePunct w:val="0"/>
                    <w:bidi w:val="0"/>
                    <w:adjustRightInd w:val="0"/>
                    <w:snapToGrid w:val="0"/>
                    <w:spacing w:beforeAutospacing="0" w:afterAutospacing="0" w:line="360" w:lineRule="exact"/>
                    <w:ind w:left="0" w:leftChars="0" w:right="0" w:rightChars="0"/>
                    <w:jc w:val="center"/>
                    <w:textAlignment w:val="baseline"/>
                    <w:rPr>
                      <w:rFonts w:hint="default" w:ascii="Times New Roman" w:hAnsi="Times New Roman" w:eastAsia="宋体" w:cs="Times New Roman"/>
                      <w:b w:val="0"/>
                      <w:i w:val="0"/>
                      <w:caps w:val="0"/>
                      <w:color w:val="auto"/>
                      <w:spacing w:val="0"/>
                      <w:w w:val="100"/>
                      <w:position w:val="0"/>
                      <w:sz w:val="21"/>
                      <w:szCs w:val="21"/>
                      <w:highlight w:val="none"/>
                      <w:lang w:val="en-US" w:eastAsia="zh-CN"/>
                    </w:rPr>
                  </w:pPr>
                  <w:r>
                    <w:rPr>
                      <w:rFonts w:hint="default" w:ascii="Times New Roman" w:hAnsi="Times New Roman" w:eastAsia="宋体" w:cs="Times New Roman"/>
                      <w:b w:val="0"/>
                      <w:i w:val="0"/>
                      <w:caps w:val="0"/>
                      <w:color w:val="auto"/>
                      <w:spacing w:val="0"/>
                      <w:w w:val="100"/>
                      <w:position w:val="0"/>
                      <w:sz w:val="21"/>
                      <w:szCs w:val="21"/>
                      <w:highlight w:val="none"/>
                      <w:lang w:val="en-US" w:eastAsia="zh-CN"/>
                    </w:rPr>
                    <w:t>加强设备与场所密闭管理。含VOCs物料应储存于密闭容器、包装袋，高效密封储罐，封闭式储库、料仓等。含VOCs物料转移和输送，应采用密闭管道或密闭容器、罐车等。高VOCs含量废水（废水液面上方100毫米处VOCs检测浓度超过200ppm，其中，重点区域超过100ppm，以碳计）的集输、储存和处理过程，应加盖密闭。含VOCs物料生产和使用过程，应采取有效收集措施或在密闭空间中操作。</w:t>
                  </w:r>
                </w:p>
                <w:p w14:paraId="1B4389B5">
                  <w:pPr>
                    <w:keepNext w:val="0"/>
                    <w:keepLines w:val="0"/>
                    <w:pageBreakBefore w:val="0"/>
                    <w:kinsoku/>
                    <w:wordWrap/>
                    <w:overflowPunct/>
                    <w:topLinePunct w:val="0"/>
                    <w:bidi w:val="0"/>
                    <w:adjustRightInd w:val="0"/>
                    <w:snapToGrid w:val="0"/>
                    <w:spacing w:beforeAutospacing="0" w:afterAutospacing="0" w:line="360" w:lineRule="exact"/>
                    <w:ind w:left="0" w:leftChars="0" w:right="0" w:rightChars="0"/>
                    <w:jc w:val="center"/>
                    <w:textAlignment w:val="baseline"/>
                    <w:rPr>
                      <w:rFonts w:hint="default" w:ascii="Times New Roman" w:hAnsi="Times New Roman" w:eastAsia="宋体" w:cs="Times New Roman"/>
                      <w:b w:val="0"/>
                      <w:i w:val="0"/>
                      <w:caps w:val="0"/>
                      <w:color w:val="auto"/>
                      <w:spacing w:val="0"/>
                      <w:w w:val="100"/>
                      <w:position w:val="0"/>
                      <w:sz w:val="21"/>
                      <w:szCs w:val="21"/>
                      <w:highlight w:val="none"/>
                      <w:lang w:val="en-US" w:eastAsia="zh-CN"/>
                    </w:rPr>
                  </w:pPr>
                  <w:r>
                    <w:rPr>
                      <w:rFonts w:hint="default" w:ascii="Times New Roman" w:hAnsi="Times New Roman" w:eastAsia="宋体" w:cs="Times New Roman"/>
                      <w:b w:val="0"/>
                      <w:i w:val="0"/>
                      <w:caps w:val="0"/>
                      <w:color w:val="auto"/>
                      <w:spacing w:val="0"/>
                      <w:w w:val="100"/>
                      <w:position w:val="0"/>
                      <w:sz w:val="21"/>
                      <w:szCs w:val="21"/>
                      <w:highlight w:val="none"/>
                      <w:lang w:val="en-US" w:eastAsia="zh-CN"/>
                    </w:rPr>
                    <w:t>推进使用先进生产工艺。通过采用全密闭、连续化、自动化等生产技术，以及高效工艺与设备等，减少工艺过程无组织排放。挥发性有机液体装载优先采用底部装载方式。石化、化工行业重点推进使用低（无）泄漏的泵、压缩机、过滤机、离心机、干燥设备等，推广采用油品在线调和技术、密闭式循环水冷却系统等。工业涂装行业重点推进使用紧凑式涂装工艺，推广采用辊涂、静电喷涂、高压无气喷涂、空气辅助无气喷涂、热喷涂等涂装技术，鼓励企业采用自动化、智能化喷涂设备替代人工喷涂，减少使用空气喷涂技术。包装印刷行业大力推广使用无溶剂复合、挤出复合、共挤出复合技术，鼓励采用水性凹印、醇水凹印、辐射固化凹印、柔版印刷、无水胶印等印刷工艺。提高废气收集率。遵循“应收尽收、分质收集”的原则，科学设计废气收集系统，将无组织排放转变为有组织排放进行控制。采用全密闭</w:t>
                  </w:r>
                  <w:r>
                    <w:rPr>
                      <w:rFonts w:hint="default" w:ascii="Times New Roman" w:hAnsi="Times New Roman" w:cs="Times New Roman"/>
                      <w:b w:val="0"/>
                      <w:i w:val="0"/>
                      <w:caps w:val="0"/>
                      <w:color w:val="auto"/>
                      <w:spacing w:val="0"/>
                      <w:w w:val="100"/>
                      <w:position w:val="0"/>
                      <w:sz w:val="21"/>
                      <w:szCs w:val="21"/>
                      <w:highlight w:val="none"/>
                      <w:lang w:val="en-US" w:eastAsia="zh-CN"/>
                    </w:rPr>
                    <w:t>集气装置</w:t>
                  </w:r>
                  <w:r>
                    <w:rPr>
                      <w:rFonts w:hint="default" w:ascii="Times New Roman" w:hAnsi="Times New Roman" w:eastAsia="宋体" w:cs="Times New Roman"/>
                      <w:b w:val="0"/>
                      <w:i w:val="0"/>
                      <w:caps w:val="0"/>
                      <w:color w:val="auto"/>
                      <w:spacing w:val="0"/>
                      <w:w w:val="100"/>
                      <w:position w:val="0"/>
                      <w:sz w:val="21"/>
                      <w:szCs w:val="21"/>
                      <w:highlight w:val="none"/>
                      <w:lang w:val="en-US" w:eastAsia="zh-CN"/>
                    </w:rPr>
                    <w:t>或密闭空间的，除行业有特殊要求外，应保持微负压状态，并根据相关规范合理设置通风量。采用局部</w:t>
                  </w:r>
                  <w:r>
                    <w:rPr>
                      <w:rFonts w:hint="default" w:ascii="Times New Roman" w:hAnsi="Times New Roman" w:cs="Times New Roman"/>
                      <w:b w:val="0"/>
                      <w:i w:val="0"/>
                      <w:caps w:val="0"/>
                      <w:color w:val="auto"/>
                      <w:spacing w:val="0"/>
                      <w:w w:val="100"/>
                      <w:position w:val="0"/>
                      <w:sz w:val="21"/>
                      <w:szCs w:val="21"/>
                      <w:highlight w:val="none"/>
                      <w:lang w:val="en-US" w:eastAsia="zh-CN"/>
                    </w:rPr>
                    <w:t>集气装置</w:t>
                  </w:r>
                  <w:r>
                    <w:rPr>
                      <w:rFonts w:hint="default" w:ascii="Times New Roman" w:hAnsi="Times New Roman" w:eastAsia="宋体" w:cs="Times New Roman"/>
                      <w:b w:val="0"/>
                      <w:i w:val="0"/>
                      <w:caps w:val="0"/>
                      <w:color w:val="auto"/>
                      <w:spacing w:val="0"/>
                      <w:w w:val="100"/>
                      <w:position w:val="0"/>
                      <w:sz w:val="21"/>
                      <w:szCs w:val="21"/>
                      <w:highlight w:val="none"/>
                      <w:lang w:val="en-US" w:eastAsia="zh-CN"/>
                    </w:rPr>
                    <w:t>的，距</w:t>
                  </w:r>
                  <w:r>
                    <w:rPr>
                      <w:rFonts w:hint="default" w:ascii="Times New Roman" w:hAnsi="Times New Roman" w:cs="Times New Roman"/>
                      <w:b w:val="0"/>
                      <w:i w:val="0"/>
                      <w:caps w:val="0"/>
                      <w:color w:val="auto"/>
                      <w:spacing w:val="0"/>
                      <w:w w:val="100"/>
                      <w:position w:val="0"/>
                      <w:sz w:val="21"/>
                      <w:szCs w:val="21"/>
                      <w:highlight w:val="none"/>
                      <w:lang w:val="en-US" w:eastAsia="zh-CN"/>
                    </w:rPr>
                    <w:t>集气装置</w:t>
                  </w:r>
                  <w:r>
                    <w:rPr>
                      <w:rFonts w:hint="default" w:ascii="Times New Roman" w:hAnsi="Times New Roman" w:eastAsia="宋体" w:cs="Times New Roman"/>
                      <w:b w:val="0"/>
                      <w:i w:val="0"/>
                      <w:caps w:val="0"/>
                      <w:color w:val="auto"/>
                      <w:spacing w:val="0"/>
                      <w:w w:val="100"/>
                      <w:position w:val="0"/>
                      <w:sz w:val="21"/>
                      <w:szCs w:val="21"/>
                      <w:highlight w:val="none"/>
                      <w:lang w:val="en-US" w:eastAsia="zh-CN"/>
                    </w:rPr>
                    <w:t>开口面最远处的VOCs无组织排放位置，控制风速应不低于0.3米/秒，有行业要求的按相关规定执行。加强设备与管线组件泄漏控制。企业中载有气态、液态VOCs物料的设备与管线组件，密封点数量大于等于2000个的，应按要求开展LDAR工作。石化企业按行业排放标准规定执行。</w:t>
                  </w:r>
                </w:p>
              </w:tc>
              <w:tc>
                <w:tcPr>
                  <w:tcW w:w="1364" w:type="pct"/>
                  <w:vMerge w:val="restart"/>
                  <w:noWrap w:val="0"/>
                  <w:vAlign w:val="center"/>
                </w:tcPr>
                <w:p w14:paraId="60C6E38A">
                  <w:pPr>
                    <w:keepNext w:val="0"/>
                    <w:keepLines w:val="0"/>
                    <w:pageBreakBefore w:val="0"/>
                    <w:kinsoku/>
                    <w:wordWrap/>
                    <w:overflowPunct/>
                    <w:topLinePunct w:val="0"/>
                    <w:bidi w:val="0"/>
                    <w:adjustRightInd w:val="0"/>
                    <w:snapToGrid w:val="0"/>
                    <w:spacing w:beforeAutospacing="0" w:afterAutospacing="0" w:line="360" w:lineRule="exact"/>
                    <w:ind w:left="0" w:leftChars="0" w:right="0" w:rightChars="0"/>
                    <w:jc w:val="center"/>
                    <w:textAlignment w:val="baseline"/>
                    <w:rPr>
                      <w:rFonts w:hint="default" w:ascii="Times New Roman" w:hAnsi="Times New Roman" w:eastAsia="宋体" w:cs="Times New Roman"/>
                      <w:b w:val="0"/>
                      <w:i w:val="0"/>
                      <w:caps w:val="0"/>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position w:val="0"/>
                      <w:szCs w:val="21"/>
                      <w:highlight w:val="none"/>
                    </w:rPr>
                    <w:t>本项目</w:t>
                  </w:r>
                  <w:r>
                    <w:rPr>
                      <w:rFonts w:hint="default" w:ascii="Times New Roman" w:hAnsi="Times New Roman" w:eastAsia="宋体" w:cs="Times New Roman"/>
                      <w:color w:val="auto"/>
                      <w:spacing w:val="0"/>
                      <w:position w:val="0"/>
                      <w:sz w:val="21"/>
                      <w:szCs w:val="21"/>
                      <w:highlight w:val="none"/>
                    </w:rPr>
                    <w:t>浸出车间废气经冷凝+石蜡油吸收后经由15m高排气筒排放；精炼车间废气经石蜡油吸收+活性炭吸附后经由15m高排气筒排放。本项目预处理车间、浸出车间均为密闭车间，车间内安装排风扇，本项目浸出工艺系统设置负压吸风系统；正己烷储罐采用地埋式；采用原装进口的填料和密封垫片，经常巡检泵、管件阀门、进料口等并及时处理，最大限度</w:t>
                  </w:r>
                  <w:r>
                    <w:rPr>
                      <w:rFonts w:hint="default" w:ascii="Times New Roman" w:hAnsi="Times New Roman" w:cs="Times New Roman"/>
                      <w:color w:val="auto"/>
                      <w:spacing w:val="0"/>
                      <w:position w:val="0"/>
                      <w:sz w:val="21"/>
                      <w:szCs w:val="21"/>
                      <w:highlight w:val="none"/>
                      <w:lang w:eastAsia="zh-CN"/>
                    </w:rPr>
                    <w:t>地</w:t>
                  </w:r>
                  <w:r>
                    <w:rPr>
                      <w:rFonts w:hint="default" w:ascii="Times New Roman" w:hAnsi="Times New Roman" w:eastAsia="宋体" w:cs="Times New Roman"/>
                      <w:color w:val="auto"/>
                      <w:spacing w:val="0"/>
                      <w:position w:val="0"/>
                      <w:sz w:val="21"/>
                      <w:szCs w:val="21"/>
                      <w:highlight w:val="none"/>
                    </w:rPr>
                    <w:t>降低溶剂蒸汽泄漏，溶剂（</w:t>
                  </w:r>
                  <w:r>
                    <w:rPr>
                      <w:rFonts w:hint="default" w:ascii="Times New Roman" w:hAnsi="Times New Roman" w:cs="Times New Roman"/>
                      <w:color w:val="auto"/>
                      <w:spacing w:val="0"/>
                      <w:position w:val="0"/>
                      <w:sz w:val="21"/>
                      <w:szCs w:val="21"/>
                      <w:highlight w:val="none"/>
                      <w:lang w:eastAsia="zh-CN"/>
                    </w:rPr>
                    <w:t>正己烷</w:t>
                  </w:r>
                  <w:r>
                    <w:rPr>
                      <w:rFonts w:hint="default" w:ascii="Times New Roman" w:hAnsi="Times New Roman" w:eastAsia="宋体" w:cs="Times New Roman"/>
                      <w:color w:val="auto"/>
                      <w:spacing w:val="0"/>
                      <w:position w:val="0"/>
                      <w:sz w:val="21"/>
                      <w:szCs w:val="21"/>
                      <w:highlight w:val="none"/>
                    </w:rPr>
                    <w:t>）在各个生产过程中设备及管线及投料口等的无组织泄漏。对周边环境影响较小。</w:t>
                  </w:r>
                  <w:r>
                    <w:rPr>
                      <w:rFonts w:hint="default" w:ascii="Times New Roman" w:hAnsi="Times New Roman" w:eastAsia="宋体" w:cs="Times New Roman"/>
                      <w:b w:val="0"/>
                      <w:i w:val="0"/>
                      <w:caps w:val="0"/>
                      <w:color w:val="auto"/>
                      <w:spacing w:val="0"/>
                      <w:w w:val="100"/>
                      <w:position w:val="0"/>
                      <w:sz w:val="21"/>
                      <w:szCs w:val="21"/>
                      <w:highlight w:val="none"/>
                      <w:lang w:val="en-US" w:eastAsia="zh-CN"/>
                    </w:rPr>
                    <w:t>符合《黑龙江省重点行业挥发性有机物综合治理行动方案》要求</w:t>
                  </w:r>
                </w:p>
              </w:tc>
            </w:tr>
            <w:tr w14:paraId="09A4A7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628" w:type="pct"/>
                  <w:vMerge w:val="continue"/>
                  <w:noWrap w:val="0"/>
                  <w:vAlign w:val="center"/>
                </w:tcPr>
                <w:p w14:paraId="571733F0">
                  <w:pPr>
                    <w:pStyle w:val="50"/>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bCs/>
                      <w:snapToGrid w:val="0"/>
                      <w:color w:val="auto"/>
                      <w:spacing w:val="0"/>
                      <w:position w:val="0"/>
                      <w:sz w:val="21"/>
                      <w:szCs w:val="21"/>
                      <w:highlight w:val="none"/>
                    </w:rPr>
                  </w:pPr>
                </w:p>
              </w:tc>
              <w:tc>
                <w:tcPr>
                  <w:tcW w:w="3007" w:type="pct"/>
                  <w:noWrap w:val="0"/>
                  <w:vAlign w:val="center"/>
                </w:tcPr>
                <w:p w14:paraId="52455544">
                  <w:pPr>
                    <w:keepNext w:val="0"/>
                    <w:keepLines w:val="0"/>
                    <w:pageBreakBefore w:val="0"/>
                    <w:kinsoku/>
                    <w:wordWrap/>
                    <w:overflowPunct/>
                    <w:topLinePunct w:val="0"/>
                    <w:bidi w:val="0"/>
                    <w:adjustRightInd w:val="0"/>
                    <w:snapToGrid w:val="0"/>
                    <w:spacing w:beforeAutospacing="0" w:afterAutospacing="0" w:line="360" w:lineRule="exact"/>
                    <w:ind w:left="0" w:leftChars="0" w:right="0" w:rightChars="0"/>
                    <w:jc w:val="center"/>
                    <w:textAlignment w:val="baseline"/>
                    <w:rPr>
                      <w:rFonts w:hint="default" w:ascii="Times New Roman" w:hAnsi="Times New Roman" w:eastAsia="宋体" w:cs="Times New Roman"/>
                      <w:b w:val="0"/>
                      <w:i w:val="0"/>
                      <w:caps w:val="0"/>
                      <w:color w:val="auto"/>
                      <w:spacing w:val="0"/>
                      <w:w w:val="100"/>
                      <w:position w:val="0"/>
                      <w:sz w:val="21"/>
                      <w:szCs w:val="21"/>
                      <w:highlight w:val="none"/>
                      <w:lang w:val="en-US" w:eastAsia="zh-CN"/>
                    </w:rPr>
                  </w:pPr>
                  <w:r>
                    <w:rPr>
                      <w:rFonts w:hint="default" w:ascii="Times New Roman" w:hAnsi="Times New Roman" w:eastAsia="宋体" w:cs="Times New Roman"/>
                      <w:b w:val="0"/>
                      <w:i w:val="0"/>
                      <w:caps w:val="0"/>
                      <w:color w:val="auto"/>
                      <w:spacing w:val="0"/>
                      <w:w w:val="100"/>
                      <w:position w:val="0"/>
                      <w:sz w:val="21"/>
                      <w:szCs w:val="21"/>
                      <w:highlight w:val="none"/>
                      <w:lang w:val="en-US" w:eastAsia="zh-CN"/>
                    </w:rPr>
                    <w:t>（五）推进建设适宜高效的治污设施。企业新建治污设施或对现有治污设施实施改造，应依据排放废气的浓度、组分、风量，温度、湿度、压力，以及生产工况等，合理选择治理技术。鼓励企业采用多种技术的组合工艺，提高VOCs治理效率。低浓度、大风量废气，宜采用沸石转轮吸附、活性炭吸附、减风增浓等浓缩技术，提高VOCs浓度后净化处理；高浓度废气，优先进行溶剂回收，难以回收的，宜采用高温焚烧、催化燃烧等技术。油气（溶剂）回收宜采用冷凝+吸附、吸附+吸收、膜分离+吸附等技术。低温等离子、光催化、光氧化技术主要适用于恶臭异味等治理；生物法主要适用于低浓度VOCs废气治理和恶臭异味治理。非水溶性的VOCs废气禁止采用水或水溶液喷淋吸收处理。采用一次性活性炭吸附技术的，应定期更换活性炭，废旧活性炭应再生或处理处置。有条件的工业园区和产业集群等，推广集中喷涂、溶剂集中回收、活性炭集中再生等，加强资源共享，提高VOCs治理效率。实行重点排放源排放浓度与去除效率双重控制。车间或生产设施收集排放的废气，VOCs初始排放速率大于等于3千克/小时，应加大控制力度，除确保排放浓度稳定达标外，还应实行去除效率控制，去除效率不低于80%；采用的原辅材料符合国家有关低VOCs含量产品规定的除外，有行业排放标准的按其相关规定执行。</w:t>
                  </w:r>
                </w:p>
              </w:tc>
              <w:tc>
                <w:tcPr>
                  <w:tcW w:w="1364" w:type="pct"/>
                  <w:vMerge w:val="continue"/>
                  <w:noWrap w:val="0"/>
                  <w:vAlign w:val="center"/>
                </w:tcPr>
                <w:p w14:paraId="63895ED8">
                  <w:pPr>
                    <w:keepNext w:val="0"/>
                    <w:keepLines w:val="0"/>
                    <w:pageBreakBefore w:val="0"/>
                    <w:kinsoku/>
                    <w:wordWrap/>
                    <w:overflowPunct/>
                    <w:topLinePunct w:val="0"/>
                    <w:bidi w:val="0"/>
                    <w:adjustRightInd w:val="0"/>
                    <w:snapToGrid w:val="0"/>
                    <w:spacing w:beforeAutospacing="0" w:afterAutospacing="0" w:line="360" w:lineRule="exact"/>
                    <w:ind w:left="0" w:leftChars="0" w:right="0" w:rightChars="0"/>
                    <w:jc w:val="center"/>
                    <w:textAlignment w:val="baseline"/>
                    <w:rPr>
                      <w:rFonts w:hint="default" w:ascii="Times New Roman" w:hAnsi="Times New Roman" w:eastAsia="宋体" w:cs="Times New Roman"/>
                      <w:b w:val="0"/>
                      <w:i w:val="0"/>
                      <w:caps w:val="0"/>
                      <w:color w:val="auto"/>
                      <w:spacing w:val="0"/>
                      <w:w w:val="100"/>
                      <w:position w:val="0"/>
                      <w:sz w:val="21"/>
                      <w:szCs w:val="21"/>
                      <w:highlight w:val="none"/>
                      <w:lang w:val="en-US" w:eastAsia="zh-CN"/>
                    </w:rPr>
                  </w:pPr>
                </w:p>
              </w:tc>
            </w:tr>
          </w:tbl>
          <w:p w14:paraId="7A6AD2F6">
            <w:pPr>
              <w:spacing w:line="520" w:lineRule="exact"/>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5、与佳木斯市</w:t>
            </w:r>
            <w:r>
              <w:rPr>
                <w:rFonts w:hint="default" w:ascii="Times New Roman" w:hAnsi="Times New Roman" w:eastAsia="宋体" w:cs="Times New Roman"/>
                <w:b/>
                <w:bCs/>
                <w:color w:val="auto"/>
                <w:highlight w:val="none"/>
              </w:rPr>
              <w:t>《佳木斯市空气质量持续改善行动计划实施方案》</w:t>
            </w:r>
            <w:r>
              <w:rPr>
                <w:rFonts w:hint="default" w:ascii="Times New Roman" w:hAnsi="Times New Roman" w:eastAsia="宋体" w:cs="Times New Roman"/>
                <w:b/>
                <w:bCs/>
                <w:color w:val="auto"/>
                <w:highlight w:val="none"/>
                <w:lang w:val="en-US" w:eastAsia="zh-CN"/>
              </w:rPr>
              <w:t>符合性分析</w:t>
            </w:r>
          </w:p>
          <w:p w14:paraId="7E237C60">
            <w:pPr>
              <w:autoSpaceDE w:val="0"/>
              <w:autoSpaceDN w:val="0"/>
              <w:adjustRightInd w:val="0"/>
              <w:snapToGrid w:val="0"/>
              <w:spacing w:line="520" w:lineRule="exact"/>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color w:val="auto"/>
                <w:szCs w:val="21"/>
                <w:highlight w:val="none"/>
                <w:lang w:val="en-US" w:eastAsia="zh-CN"/>
              </w:rPr>
              <w:t xml:space="preserve"> </w:t>
            </w:r>
            <w:r>
              <w:rPr>
                <w:rFonts w:hint="default" w:ascii="Times New Roman" w:hAnsi="Times New Roman" w:cs="Times New Roman"/>
                <w:b/>
                <w:bCs/>
                <w:color w:val="auto"/>
                <w:highlight w:val="none"/>
              </w:rPr>
              <w:t>表1-</w:t>
            </w:r>
            <w:r>
              <w:rPr>
                <w:rFonts w:hint="default" w:ascii="Times New Roman" w:hAnsi="Times New Roman" w:cs="Times New Roman"/>
                <w:b/>
                <w:bCs/>
                <w:color w:val="auto"/>
                <w:highlight w:val="none"/>
                <w:lang w:val="en-US" w:eastAsia="zh-CN"/>
              </w:rPr>
              <w:t xml:space="preserve">5 </w:t>
            </w:r>
            <w:r>
              <w:rPr>
                <w:rFonts w:hint="default" w:ascii="Times New Roman" w:hAnsi="Times New Roman" w:cs="Times New Roman"/>
                <w:b/>
                <w:bCs/>
                <w:color w:val="auto"/>
                <w:highlight w:val="none"/>
              </w:rPr>
              <w:t>项</w:t>
            </w:r>
            <w:r>
              <w:rPr>
                <w:rFonts w:hint="default" w:ascii="Times New Roman" w:hAnsi="Times New Roman" w:eastAsia="宋体" w:cs="Times New Roman"/>
                <w:b/>
                <w:bCs/>
                <w:color w:val="auto"/>
                <w:highlight w:val="none"/>
              </w:rPr>
              <w:t>目建设与《佳木斯市空气质量持续改善行动计划实施方案》符合性分析</w:t>
            </w:r>
            <w:r>
              <w:rPr>
                <w:rFonts w:hint="default" w:ascii="Times New Roman" w:hAnsi="Times New Roman" w:eastAsia="宋体" w:cs="Times New Roman"/>
                <w:b/>
                <w:bCs/>
                <w:color w:val="auto"/>
                <w:highlight w:val="none"/>
                <w:lang w:val="en-US" w:eastAsia="zh-CN"/>
              </w:rPr>
              <w:t>一览表</w:t>
            </w:r>
          </w:p>
          <w:tbl>
            <w:tblPr>
              <w:tblStyle w:val="30"/>
              <w:tblW w:w="683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9"/>
              <w:gridCol w:w="3788"/>
              <w:gridCol w:w="1942"/>
            </w:tblGrid>
            <w:tr w14:paraId="0B4B13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9" w:type="dxa"/>
                  <w:tcBorders>
                    <w:tl2br w:val="nil"/>
                    <w:tr2bl w:val="nil"/>
                  </w:tcBorders>
                  <w:noWrap w:val="0"/>
                  <w:vAlign w:val="center"/>
                </w:tcPr>
                <w:p w14:paraId="22F514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文件名称</w:t>
                  </w:r>
                </w:p>
              </w:tc>
              <w:tc>
                <w:tcPr>
                  <w:tcW w:w="3788" w:type="dxa"/>
                  <w:tcBorders>
                    <w:tl2br w:val="nil"/>
                    <w:tr2bl w:val="nil"/>
                  </w:tcBorders>
                  <w:noWrap w:val="0"/>
                  <w:vAlign w:val="center"/>
                </w:tcPr>
                <w:p w14:paraId="31C01C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要求</w:t>
                  </w:r>
                </w:p>
              </w:tc>
              <w:tc>
                <w:tcPr>
                  <w:tcW w:w="1942" w:type="dxa"/>
                  <w:tcBorders>
                    <w:tl2br w:val="nil"/>
                    <w:tr2bl w:val="nil"/>
                  </w:tcBorders>
                  <w:noWrap w:val="0"/>
                  <w:vAlign w:val="center"/>
                </w:tcPr>
                <w:p w14:paraId="599D0ED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符合性</w:t>
                  </w:r>
                </w:p>
              </w:tc>
            </w:tr>
            <w:tr w14:paraId="6FAF99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9" w:type="dxa"/>
                  <w:tcBorders>
                    <w:tl2br w:val="nil"/>
                    <w:tr2bl w:val="nil"/>
                  </w:tcBorders>
                  <w:noWrap w:val="0"/>
                  <w:vAlign w:val="center"/>
                </w:tcPr>
                <w:p w14:paraId="6A45E7A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rPr>
                    <w:t>《佳木斯市空气质量持续改善行动计划实施方案》</w:t>
                  </w:r>
                </w:p>
              </w:tc>
              <w:tc>
                <w:tcPr>
                  <w:tcW w:w="3788" w:type="dxa"/>
                  <w:tcBorders>
                    <w:tl2br w:val="nil"/>
                    <w:tr2bl w:val="nil"/>
                  </w:tcBorders>
                  <w:noWrap w:val="0"/>
                  <w:vAlign w:val="center"/>
                </w:tcPr>
                <w:p w14:paraId="780C394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aps w:val="0"/>
                      <w:color w:val="auto"/>
                      <w:spacing w:val="0"/>
                      <w:sz w:val="21"/>
                      <w:szCs w:val="21"/>
                      <w:highlight w:val="none"/>
                    </w:rPr>
                  </w:pPr>
                  <w:r>
                    <w:rPr>
                      <w:rFonts w:hint="default" w:ascii="Times New Roman" w:hAnsi="Times New Roman" w:eastAsia="宋体" w:cs="Times New Roman"/>
                      <w:i w:val="0"/>
                      <w:iCs w:val="0"/>
                      <w:caps w:val="0"/>
                      <w:color w:val="auto"/>
                      <w:spacing w:val="0"/>
                      <w:sz w:val="21"/>
                      <w:szCs w:val="21"/>
                      <w:highlight w:val="none"/>
                      <w:lang w:eastAsia="zh-CN"/>
                    </w:rPr>
                    <w:t>（</w:t>
                  </w:r>
                  <w:r>
                    <w:rPr>
                      <w:rFonts w:hint="default" w:ascii="Times New Roman" w:hAnsi="Times New Roman" w:eastAsia="宋体" w:cs="Times New Roman"/>
                      <w:i w:val="0"/>
                      <w:iCs w:val="0"/>
                      <w:caps w:val="0"/>
                      <w:color w:val="auto"/>
                      <w:spacing w:val="0"/>
                      <w:sz w:val="21"/>
                      <w:szCs w:val="21"/>
                      <w:highlight w:val="none"/>
                      <w:lang w:val="en-US" w:eastAsia="zh-CN"/>
                    </w:rPr>
                    <w:t>二</w:t>
                  </w:r>
                  <w:r>
                    <w:rPr>
                      <w:rFonts w:hint="default" w:ascii="Times New Roman" w:hAnsi="Times New Roman" w:eastAsia="宋体" w:cs="Times New Roman"/>
                      <w:i w:val="0"/>
                      <w:iCs w:val="0"/>
                      <w:caps w:val="0"/>
                      <w:color w:val="auto"/>
                      <w:spacing w:val="0"/>
                      <w:sz w:val="21"/>
                      <w:szCs w:val="21"/>
                      <w:highlight w:val="none"/>
                      <w:lang w:eastAsia="zh-CN"/>
                    </w:rPr>
                    <w:t>）</w:t>
                  </w:r>
                  <w:r>
                    <w:rPr>
                      <w:rFonts w:hint="default" w:ascii="Times New Roman" w:hAnsi="Times New Roman" w:eastAsia="宋体" w:cs="Times New Roman"/>
                      <w:i w:val="0"/>
                      <w:iCs w:val="0"/>
                      <w:caps w:val="0"/>
                      <w:color w:val="auto"/>
                      <w:spacing w:val="0"/>
                      <w:sz w:val="21"/>
                      <w:szCs w:val="21"/>
                      <w:highlight w:val="none"/>
                    </w:rPr>
                    <w:t>持续优化产业布局。</w:t>
                  </w:r>
                </w:p>
                <w:p w14:paraId="23EDEC7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aps w:val="0"/>
                      <w:color w:val="auto"/>
                      <w:spacing w:val="0"/>
                      <w:sz w:val="21"/>
                      <w:szCs w:val="21"/>
                      <w:highlight w:val="none"/>
                    </w:rPr>
                    <w:t>7.严格新建项目准入。坚决遏制“两高一低”项目盲目发展，推进生态环境分区管控成果在“两高一低”行业产业布局和结构调整、重大项目选址中的应用。新改扩建高耗能、高排放、低水平项目，应按照产业规划和政策、生态环境分区管控、园区规划和规划环评、节能审查，以及产能置换、总量控制、碳达峰等相关要求执行，原则上采用清洁运输方式。涉及产能置换的项目，被置换产能及其配套设施同步关停后，新建项目方可投产。严格控制生产和使用高VOCs含量溶剂型涂料、油墨、胶粘剂、清洗剂等建设项目审批。</w:t>
                  </w:r>
                </w:p>
                <w:p w14:paraId="4CE8DF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aps w:val="0"/>
                      <w:color w:val="auto"/>
                      <w:spacing w:val="0"/>
                      <w:sz w:val="21"/>
                      <w:szCs w:val="21"/>
                      <w:highlight w:val="none"/>
                    </w:rPr>
                    <w:t>8.指导落后产能淘汰退出。根据《产业结构调整指导目录（2024年本）》，加大淘汰类落后生产工艺装备、产品退出力度，引导限制类生产工艺装备、产品淘汰改造。</w:t>
                  </w:r>
                  <w:r>
                    <w:rPr>
                      <w:rFonts w:hint="default" w:ascii="Times New Roman" w:hAnsi="Times New Roman" w:eastAsia="宋体" w:cs="Times New Roman"/>
                      <w:color w:val="auto"/>
                      <w:sz w:val="21"/>
                      <w:szCs w:val="21"/>
                      <w:highlight w:val="none"/>
                    </w:rPr>
                    <w:t>。</w:t>
                  </w:r>
                </w:p>
                <w:p w14:paraId="11C6EF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aps w:val="0"/>
                      <w:color w:val="auto"/>
                      <w:spacing w:val="0"/>
                      <w:sz w:val="21"/>
                      <w:szCs w:val="21"/>
                      <w:highlight w:val="none"/>
                    </w:rPr>
                  </w:pPr>
                  <w:r>
                    <w:rPr>
                      <w:rFonts w:hint="default" w:ascii="Times New Roman" w:hAnsi="Times New Roman" w:eastAsia="宋体" w:cs="Times New Roman"/>
                      <w:i w:val="0"/>
                      <w:iCs w:val="0"/>
                      <w:caps w:val="0"/>
                      <w:color w:val="auto"/>
                      <w:spacing w:val="0"/>
                      <w:sz w:val="21"/>
                      <w:szCs w:val="21"/>
                      <w:highlight w:val="none"/>
                    </w:rPr>
                    <w:t>（五）推动多污染物协同控制。</w:t>
                  </w:r>
                </w:p>
                <w:p w14:paraId="2E7E6ED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aps w:val="0"/>
                      <w:color w:val="auto"/>
                      <w:spacing w:val="0"/>
                      <w:sz w:val="21"/>
                      <w:szCs w:val="21"/>
                      <w:highlight w:val="none"/>
                    </w:rPr>
                  </w:pPr>
                  <w:r>
                    <w:rPr>
                      <w:rFonts w:hint="default" w:ascii="Times New Roman" w:hAnsi="Times New Roman" w:eastAsia="宋体" w:cs="Times New Roman"/>
                      <w:i w:val="0"/>
                      <w:iCs w:val="0"/>
                      <w:caps w:val="0"/>
                      <w:color w:val="auto"/>
                      <w:spacing w:val="0"/>
                      <w:sz w:val="21"/>
                      <w:szCs w:val="21"/>
                      <w:highlight w:val="none"/>
                    </w:rPr>
                    <w:t>17.实施VOCs综合治理。在房屋建筑和市政工程中，全面推广使用低（无）VOCs含量涂料和胶粘剂；推动除特殊功能要求外的室内地坪施工、室外构筑物防护和道路交通标志喷涂使用低（无）VOCs含量涂料。建立工业涂装、包装印刷、电子等涉VOCs行业企业清单，加大低（无）VOCs含量原辅材料的源头替代力度，提高涉VOCs行业企业中水性、高固体分、无溶剂、粉末等低（无）VOCs含量产品的比重；鼓励焦化、石油、化工等涉VOCs行业企业使用低泄漏的储罐呼吸阀、紧急泄压阀，定期开展储罐部件密封性检测；鼓励有条件的企业规范开展泄漏检测与修复（LDAR），企业开停工、检维修期间，及时收集处理退料、清洗、吹扫等作业产生的VOCs废气，不得将火炬燃烧装置作为日常大气污染处理设施；污水处理场所的高浓度废气要单独收集处理，含VOCs有机废水储罐、装置区集水井（池）废气要密闭收集处理；对装载汽油、煤油等高挥发性化工产品的汽车罐车，推广使用自封式快速接头。</w:t>
                  </w:r>
                </w:p>
                <w:p w14:paraId="339C2E7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aps w:val="0"/>
                      <w:color w:val="auto"/>
                      <w:spacing w:val="0"/>
                      <w:sz w:val="21"/>
                      <w:szCs w:val="21"/>
                      <w:highlight w:val="none"/>
                    </w:rPr>
                  </w:pPr>
                  <w:r>
                    <w:rPr>
                      <w:rFonts w:hint="default" w:ascii="Times New Roman" w:hAnsi="Times New Roman" w:eastAsia="宋体" w:cs="Times New Roman"/>
                      <w:i w:val="0"/>
                      <w:iCs w:val="0"/>
                      <w:caps w:val="0"/>
                      <w:color w:val="auto"/>
                      <w:spacing w:val="0"/>
                      <w:sz w:val="21"/>
                      <w:szCs w:val="21"/>
                      <w:highlight w:val="none"/>
                    </w:rPr>
                    <w:t>18.推进重点行业污染深度治理。高质量推动水泥、焦化等重点行业超低排放改造。到2025年，在用65蒸吨/小时以上燃煤锅炉（含电力）基本实现超低排放。</w:t>
                  </w:r>
                </w:p>
                <w:p w14:paraId="51CEDD9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aps w:val="0"/>
                      <w:color w:val="auto"/>
                      <w:spacing w:val="0"/>
                      <w:sz w:val="21"/>
                      <w:szCs w:val="21"/>
                      <w:highlight w:val="none"/>
                    </w:rPr>
                    <w:t>加强工业企业监管，确保全面稳定达标排放。</w:t>
                  </w:r>
                </w:p>
              </w:tc>
              <w:tc>
                <w:tcPr>
                  <w:tcW w:w="1942" w:type="dxa"/>
                  <w:tcBorders>
                    <w:tl2br w:val="nil"/>
                    <w:tr2bl w:val="nil"/>
                  </w:tcBorders>
                  <w:noWrap w:val="0"/>
                  <w:vAlign w:val="center"/>
                </w:tcPr>
                <w:p w14:paraId="3BC1A466">
                  <w:pPr>
                    <w:keepNext w:val="0"/>
                    <w:keepLines w:val="0"/>
                    <w:pageBreakBefore w:val="0"/>
                    <w:widowControl w:val="0"/>
                    <w:numPr>
                      <w:ilvl w:val="0"/>
                      <w:numId w:val="2"/>
                    </w:numP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aps w:val="0"/>
                      <w:color w:val="auto"/>
                      <w:spacing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本项目不属于</w:t>
                  </w:r>
                  <w:r>
                    <w:rPr>
                      <w:rFonts w:hint="default" w:ascii="Times New Roman" w:hAnsi="Times New Roman" w:eastAsia="宋体" w:cs="Times New Roman"/>
                      <w:i w:val="0"/>
                      <w:iCs w:val="0"/>
                      <w:caps w:val="0"/>
                      <w:color w:val="auto"/>
                      <w:spacing w:val="0"/>
                      <w:sz w:val="21"/>
                      <w:szCs w:val="21"/>
                      <w:highlight w:val="none"/>
                    </w:rPr>
                    <w:t>“两高一低”</w:t>
                  </w:r>
                  <w:r>
                    <w:rPr>
                      <w:rFonts w:hint="default" w:ascii="Times New Roman" w:hAnsi="Times New Roman" w:eastAsia="宋体" w:cs="Times New Roman"/>
                      <w:i w:val="0"/>
                      <w:iCs w:val="0"/>
                      <w:caps w:val="0"/>
                      <w:color w:val="auto"/>
                      <w:spacing w:val="0"/>
                      <w:sz w:val="21"/>
                      <w:szCs w:val="21"/>
                      <w:highlight w:val="none"/>
                      <w:lang w:val="en-US" w:eastAsia="zh-CN"/>
                    </w:rPr>
                    <w:t>项目，不属于“</w:t>
                  </w:r>
                  <w:r>
                    <w:rPr>
                      <w:rFonts w:hint="default" w:ascii="Times New Roman" w:hAnsi="Times New Roman" w:eastAsia="宋体" w:cs="Times New Roman"/>
                      <w:i w:val="0"/>
                      <w:iCs w:val="0"/>
                      <w:caps w:val="0"/>
                      <w:color w:val="auto"/>
                      <w:spacing w:val="0"/>
                      <w:sz w:val="21"/>
                      <w:szCs w:val="21"/>
                      <w:highlight w:val="none"/>
                    </w:rPr>
                    <w:t>高耗能、高排放、低水平项目</w:t>
                  </w:r>
                  <w:r>
                    <w:rPr>
                      <w:rFonts w:hint="default" w:ascii="Times New Roman" w:hAnsi="Times New Roman" w:eastAsia="宋体" w:cs="Times New Roman"/>
                      <w:i w:val="0"/>
                      <w:iCs w:val="0"/>
                      <w:caps w:val="0"/>
                      <w:color w:val="auto"/>
                      <w:spacing w:val="0"/>
                      <w:sz w:val="21"/>
                      <w:szCs w:val="21"/>
                      <w:highlight w:val="none"/>
                      <w:lang w:val="en-US" w:eastAsia="zh-CN"/>
                    </w:rPr>
                    <w:t>”。且符合</w:t>
                  </w:r>
                  <w:r>
                    <w:rPr>
                      <w:rFonts w:hint="default" w:ascii="Times New Roman" w:hAnsi="Times New Roman" w:eastAsia="宋体" w:cs="Times New Roman"/>
                      <w:color w:val="auto"/>
                      <w:sz w:val="21"/>
                      <w:szCs w:val="21"/>
                      <w:highlight w:val="none"/>
                    </w:rPr>
                    <w:t>《佳木斯市生态环境准入清单》（2023年版）</w:t>
                  </w:r>
                  <w:r>
                    <w:rPr>
                      <w:rFonts w:hint="default" w:ascii="Times New Roman" w:hAnsi="Times New Roman" w:eastAsia="宋体" w:cs="Times New Roman"/>
                      <w:color w:val="auto"/>
                      <w:sz w:val="21"/>
                      <w:szCs w:val="21"/>
                      <w:highlight w:val="none"/>
                      <w:lang w:val="en-US" w:eastAsia="zh-CN"/>
                    </w:rPr>
                    <w:t>相关要求。</w:t>
                  </w:r>
                </w:p>
                <w:p w14:paraId="68103F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 本项目符合产业政策要求</w:t>
                  </w:r>
                  <w:r>
                    <w:rPr>
                      <w:rFonts w:hint="default" w:ascii="Times New Roman" w:hAnsi="Times New Roman" w:eastAsia="宋体" w:cs="Times New Roman"/>
                      <w:color w:val="auto"/>
                      <w:sz w:val="21"/>
                      <w:szCs w:val="21"/>
                      <w:highlight w:val="none"/>
                      <w:lang w:val="en-US" w:eastAsia="zh-CN" w:bidi="ar"/>
                    </w:rPr>
                    <w:t>，选用设备均为低能耗设备，不属于淘汰的工艺、设备。</w:t>
                  </w:r>
                </w:p>
                <w:p w14:paraId="27BE0BB7">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aps w:val="0"/>
                      <w:color w:val="auto"/>
                      <w:spacing w:val="0"/>
                      <w:sz w:val="21"/>
                      <w:szCs w:val="21"/>
                      <w:highlight w:val="none"/>
                      <w:lang w:val="en-US" w:eastAsia="zh-CN"/>
                    </w:rPr>
                  </w:pPr>
                  <w:r>
                    <w:rPr>
                      <w:rFonts w:hint="default" w:ascii="Times New Roman" w:hAnsi="Times New Roman" w:eastAsia="宋体" w:cs="Times New Roman"/>
                      <w:i w:val="0"/>
                      <w:iCs w:val="0"/>
                      <w:caps w:val="0"/>
                      <w:color w:val="auto"/>
                      <w:spacing w:val="0"/>
                      <w:sz w:val="21"/>
                      <w:szCs w:val="21"/>
                      <w:highlight w:val="none"/>
                      <w:lang w:val="en-US" w:eastAsia="zh-CN"/>
                    </w:rPr>
                    <w:t>（3）</w:t>
                  </w:r>
                  <w:r>
                    <w:rPr>
                      <w:rFonts w:hint="default" w:ascii="Times New Roman" w:hAnsi="Times New Roman" w:eastAsia="宋体" w:cs="Times New Roman"/>
                      <w:color w:val="auto"/>
                      <w:spacing w:val="0"/>
                      <w:position w:val="0"/>
                      <w:szCs w:val="21"/>
                      <w:highlight w:val="none"/>
                    </w:rPr>
                    <w:t>本项目</w:t>
                  </w:r>
                  <w:r>
                    <w:rPr>
                      <w:rFonts w:hint="default" w:ascii="Times New Roman" w:hAnsi="Times New Roman" w:eastAsia="宋体" w:cs="Times New Roman"/>
                      <w:color w:val="auto"/>
                      <w:spacing w:val="0"/>
                      <w:position w:val="0"/>
                      <w:sz w:val="21"/>
                      <w:szCs w:val="21"/>
                      <w:highlight w:val="none"/>
                    </w:rPr>
                    <w:t>浸出车间废气经冷凝+石蜡油吸收后经由15m高排气筒排放；精炼车间废气经石蜡油吸收+活性炭吸附后经由15m高排气筒排放。</w:t>
                  </w:r>
                  <w:r>
                    <w:rPr>
                      <w:rFonts w:hint="default" w:ascii="Times New Roman" w:hAnsi="Times New Roman" w:cs="Times New Roman"/>
                      <w:color w:val="auto"/>
                      <w:sz w:val="21"/>
                      <w:szCs w:val="21"/>
                      <w:highlight w:val="none"/>
                      <w:lang w:val="en-US" w:eastAsia="zh-CN"/>
                    </w:rPr>
                    <w:t>符合</w:t>
                  </w:r>
                  <w:r>
                    <w:rPr>
                      <w:rFonts w:hint="default" w:ascii="Times New Roman" w:hAnsi="Times New Roman" w:eastAsia="宋体" w:cs="Times New Roman"/>
                      <w:b w:val="0"/>
                      <w:bCs w:val="0"/>
                      <w:color w:val="auto"/>
                      <w:sz w:val="21"/>
                      <w:szCs w:val="21"/>
                      <w:highlight w:val="none"/>
                    </w:rPr>
                    <w:t>《佳木斯市空气质量持续改善行动计划实施方案》</w:t>
                  </w:r>
                  <w:r>
                    <w:rPr>
                      <w:rFonts w:hint="default" w:ascii="Times New Roman" w:hAnsi="Times New Roman" w:eastAsia="宋体" w:cs="Times New Roman"/>
                      <w:b w:val="0"/>
                      <w:bCs w:val="0"/>
                      <w:color w:val="auto"/>
                      <w:sz w:val="21"/>
                      <w:szCs w:val="21"/>
                      <w:highlight w:val="none"/>
                      <w:lang w:val="en-US" w:eastAsia="zh-CN"/>
                    </w:rPr>
                    <w:t>相关要求。</w:t>
                  </w:r>
                </w:p>
              </w:tc>
            </w:tr>
          </w:tbl>
          <w:p w14:paraId="12C8642D">
            <w:pPr>
              <w:keepNext w:val="0"/>
              <w:keepLines w:val="0"/>
              <w:pageBreakBefore w:val="0"/>
              <w:widowControl w:val="0"/>
              <w:numPr>
                <w:ilvl w:val="0"/>
                <w:numId w:val="0"/>
              </w:numPr>
              <w:kinsoku/>
              <w:wordWrap/>
              <w:overflowPunct/>
              <w:topLinePunct w:val="0"/>
              <w:autoSpaceDE/>
              <w:autoSpaceDN/>
              <w:bidi w:val="0"/>
              <w:adjustRightInd w:val="0"/>
              <w:snapToGrid w:val="0"/>
              <w:spacing w:beforeAutospacing="0" w:afterAutospacing="0" w:line="360" w:lineRule="auto"/>
              <w:ind w:right="0" w:rightChars="0"/>
              <w:textAlignment w:val="auto"/>
              <w:rPr>
                <w:rFonts w:hint="default" w:ascii="Times New Roman" w:hAnsi="Times New Roman" w:eastAsia="宋体" w:cs="Times New Roman"/>
                <w:b/>
                <w:bCs/>
                <w:color w:val="auto"/>
                <w:spacing w:val="0"/>
                <w:position w:val="0"/>
                <w:sz w:val="24"/>
                <w:szCs w:val="24"/>
                <w:highlight w:val="none"/>
                <w:lang w:val="en-US" w:eastAsia="zh-CN"/>
              </w:rPr>
            </w:pPr>
            <w:r>
              <w:rPr>
                <w:rFonts w:hint="default" w:ascii="Times New Roman" w:hAnsi="Times New Roman" w:cs="Times New Roman"/>
                <w:b/>
                <w:bCs/>
                <w:color w:val="auto"/>
                <w:spacing w:val="0"/>
                <w:position w:val="0"/>
                <w:sz w:val="24"/>
                <w:szCs w:val="24"/>
                <w:highlight w:val="none"/>
                <w:lang w:val="en-US" w:eastAsia="zh-CN"/>
              </w:rPr>
              <w:t>6、</w:t>
            </w:r>
            <w:r>
              <w:rPr>
                <w:rFonts w:hint="default" w:ascii="Times New Roman" w:hAnsi="Times New Roman" w:eastAsia="宋体" w:cs="Times New Roman"/>
                <w:b/>
                <w:bCs/>
                <w:color w:val="auto"/>
                <w:spacing w:val="0"/>
                <w:position w:val="0"/>
                <w:sz w:val="24"/>
                <w:szCs w:val="24"/>
                <w:highlight w:val="none"/>
                <w:lang w:val="en-US" w:eastAsia="zh-CN"/>
              </w:rPr>
              <w:t>与《桦川县人民政府 关于划定高污染燃料禁燃区的通告》（桦政发〔2020〕60号）符合性分析</w:t>
            </w:r>
          </w:p>
          <w:p w14:paraId="0CD3B977">
            <w:pPr>
              <w:keepNext w:val="0"/>
              <w:keepLines w:val="0"/>
              <w:pageBreakBefore w:val="0"/>
              <w:widowControl w:val="0"/>
              <w:numPr>
                <w:ilvl w:val="0"/>
                <w:numId w:val="0"/>
              </w:numPr>
              <w:kinsoku/>
              <w:wordWrap/>
              <w:overflowPunct/>
              <w:topLinePunct w:val="0"/>
              <w:autoSpaceDE/>
              <w:autoSpaceDN/>
              <w:bidi w:val="0"/>
              <w:adjustRightInd w:val="0"/>
              <w:snapToGrid w:val="0"/>
              <w:spacing w:beforeAutospacing="0" w:afterAutospacing="0" w:line="360" w:lineRule="auto"/>
              <w:ind w:left="0" w:leftChars="0" w:right="0" w:rightChars="0"/>
              <w:textAlignment w:val="auto"/>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lang w:val="en-US" w:eastAsia="zh-CN"/>
              </w:rPr>
              <w:t xml:space="preserve">     根据《桦川县人民政府 关于划定高污染燃料禁燃区的通告》中提到“I类燃料为单台出力小于 20 蒸吨/小时的锅炉和民用燃煤设备燃用的含硫量大于 0.5%、灰分大于 10%的煤炭及其制品（其中：型煤、焦炭、兰炭的组分含量大于表 1 中规定的限值）；石油焦、油页岩、原油、重油、渣油、煤焦油。” </w:t>
            </w:r>
            <w:r>
              <w:rPr>
                <w:rFonts w:hint="default" w:ascii="Times New Roman" w:hAnsi="Times New Roman" w:cs="Times New Roman"/>
                <w:color w:val="auto"/>
                <w:spacing w:val="0"/>
                <w:position w:val="0"/>
                <w:sz w:val="24"/>
                <w:szCs w:val="24"/>
                <w:highlight w:val="none"/>
                <w:lang w:val="en-US" w:eastAsia="zh-CN"/>
              </w:rPr>
              <w:t>Ⅱ类</w:t>
            </w:r>
            <w:r>
              <w:rPr>
                <w:rFonts w:hint="default" w:ascii="Times New Roman" w:hAnsi="Times New Roman" w:eastAsia="宋体" w:cs="Times New Roman"/>
                <w:color w:val="auto"/>
                <w:spacing w:val="0"/>
                <w:position w:val="0"/>
                <w:sz w:val="24"/>
                <w:szCs w:val="24"/>
                <w:highlight w:val="none"/>
                <w:lang w:val="en-US" w:eastAsia="zh-CN"/>
              </w:rPr>
              <w:t>燃料：除单台出力大于等于20蒸吨/小时锅炉以外燃用的煤炭及其制品；石油焦、油页岩、原油、重油、渣油、煤焦油。</w:t>
            </w:r>
          </w:p>
          <w:p w14:paraId="1D2135AC">
            <w:pPr>
              <w:keepNext w:val="0"/>
              <w:keepLines w:val="0"/>
              <w:pageBreakBefore w:val="0"/>
              <w:widowControl w:val="0"/>
              <w:numPr>
                <w:ilvl w:val="0"/>
                <w:numId w:val="0"/>
              </w:numPr>
              <w:kinsoku/>
              <w:wordWrap/>
              <w:overflowPunct/>
              <w:topLinePunct w:val="0"/>
              <w:autoSpaceDE/>
              <w:autoSpaceDN/>
              <w:bidi w:val="0"/>
              <w:adjustRightInd w:val="0"/>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lang w:val="en-US" w:eastAsia="zh-CN"/>
              </w:rPr>
              <w:t>本项目锅炉使用的燃料为生物质成型燃料，不属于通告中所列出高污染燃料。且本项目不在其限定的禁燃区区域内，因此本项目的建设符合《桦川县人民政府 关于划定高污染燃料禁燃区的通告》（桦政发〔2020〕60号）要求。</w:t>
            </w:r>
          </w:p>
          <w:p w14:paraId="708B3E25">
            <w:pPr>
              <w:keepNext w:val="0"/>
              <w:keepLines w:val="0"/>
              <w:pageBreakBefore w:val="0"/>
              <w:kinsoku/>
              <w:wordWrap/>
              <w:overflowPunct/>
              <w:topLinePunct w:val="0"/>
              <w:bidi w:val="0"/>
              <w:adjustRightInd w:val="0"/>
              <w:snapToGrid w:val="0"/>
              <w:spacing w:beforeAutospacing="0" w:afterAutospacing="0" w:line="520" w:lineRule="exact"/>
              <w:ind w:right="0" w:rightChars="0"/>
              <w:rPr>
                <w:rFonts w:hint="default" w:ascii="Times New Roman" w:hAnsi="Times New Roman" w:eastAsia="宋体" w:cs="Times New Roman"/>
                <w:b/>
                <w:bCs/>
                <w:color w:val="auto"/>
                <w:spacing w:val="0"/>
                <w:position w:val="0"/>
                <w:sz w:val="24"/>
                <w:szCs w:val="24"/>
                <w:highlight w:val="none"/>
              </w:rPr>
            </w:pPr>
            <w:r>
              <w:rPr>
                <w:rFonts w:hint="default" w:ascii="Times New Roman" w:hAnsi="Times New Roman" w:cs="Times New Roman"/>
                <w:b/>
                <w:bCs/>
                <w:color w:val="auto"/>
                <w:spacing w:val="0"/>
                <w:position w:val="0"/>
                <w:sz w:val="24"/>
                <w:szCs w:val="24"/>
                <w:highlight w:val="none"/>
                <w:lang w:val="en-US" w:eastAsia="zh-CN"/>
              </w:rPr>
              <w:t>7、</w:t>
            </w:r>
            <w:r>
              <w:rPr>
                <w:rFonts w:hint="default" w:ascii="Times New Roman" w:hAnsi="Times New Roman" w:eastAsia="宋体" w:cs="Times New Roman"/>
                <w:b/>
                <w:bCs/>
                <w:color w:val="auto"/>
                <w:spacing w:val="0"/>
                <w:position w:val="0"/>
                <w:sz w:val="24"/>
                <w:szCs w:val="24"/>
                <w:highlight w:val="none"/>
              </w:rPr>
              <w:t>选址合理性分析</w:t>
            </w:r>
          </w:p>
          <w:p w14:paraId="05E0801C">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jc w:val="left"/>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本项目位于黑龙江省佳木斯市桦川县悦来镇悦来大街南段（桦川县泰丰植物油脂有限公司院内）。本项目满足</w:t>
            </w:r>
            <w:r>
              <w:rPr>
                <w:rFonts w:hint="default" w:ascii="Times New Roman" w:hAnsi="Times New Roman" w:eastAsia="宋体" w:cs="Times New Roman"/>
                <w:color w:val="auto"/>
                <w:spacing w:val="0"/>
                <w:position w:val="0"/>
                <w:sz w:val="24"/>
                <w:szCs w:val="32"/>
                <w:highlight w:val="none"/>
                <w:lang w:eastAsia="zh-CN"/>
              </w:rPr>
              <w:t>“</w:t>
            </w:r>
            <w:r>
              <w:rPr>
                <w:rFonts w:hint="default" w:ascii="Times New Roman" w:hAnsi="Times New Roman" w:eastAsia="宋体" w:cs="Times New Roman"/>
                <w:color w:val="auto"/>
                <w:spacing w:val="0"/>
                <w:position w:val="0"/>
                <w:sz w:val="24"/>
                <w:szCs w:val="32"/>
                <w:highlight w:val="none"/>
              </w:rPr>
              <w:t>生态保护红线、环境质量底线、资源利用上线</w:t>
            </w:r>
            <w:r>
              <w:rPr>
                <w:rFonts w:hint="default" w:ascii="Times New Roman" w:hAnsi="Times New Roman" w:eastAsia="宋体" w:cs="Times New Roman"/>
                <w:color w:val="auto"/>
                <w:spacing w:val="0"/>
                <w:position w:val="0"/>
                <w:sz w:val="24"/>
                <w:szCs w:val="32"/>
                <w:highlight w:val="none"/>
                <w:lang w:eastAsia="zh-CN"/>
              </w:rPr>
              <w:t>”</w:t>
            </w:r>
            <w:r>
              <w:rPr>
                <w:rFonts w:hint="default" w:ascii="Times New Roman" w:hAnsi="Times New Roman" w:eastAsia="宋体" w:cs="Times New Roman"/>
                <w:color w:val="auto"/>
                <w:spacing w:val="0"/>
                <w:position w:val="0"/>
                <w:sz w:val="24"/>
                <w:szCs w:val="32"/>
                <w:highlight w:val="none"/>
              </w:rPr>
              <w:t>要求，选址符合</w:t>
            </w:r>
            <w:r>
              <w:rPr>
                <w:rFonts w:hint="default" w:ascii="Times New Roman" w:hAnsi="Times New Roman" w:eastAsia="宋体" w:cs="Times New Roman"/>
                <w:color w:val="auto"/>
                <w:spacing w:val="0"/>
                <w:position w:val="0"/>
                <w:sz w:val="24"/>
                <w:szCs w:val="24"/>
                <w:highlight w:val="none"/>
              </w:rPr>
              <w:t>《佳木斯市人民政府关于实施</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三线一单</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生态环境分区管控的实施意见》（佳政规〔2021〕4号）</w:t>
            </w:r>
            <w:r>
              <w:rPr>
                <w:rFonts w:hint="default" w:ascii="Times New Roman" w:hAnsi="Times New Roman" w:eastAsia="宋体" w:cs="Times New Roman"/>
                <w:color w:val="auto"/>
                <w:spacing w:val="0"/>
                <w:position w:val="0"/>
                <w:sz w:val="24"/>
                <w:szCs w:val="32"/>
                <w:highlight w:val="none"/>
              </w:rPr>
              <w:t>准入要求，本项目厂界外500米范围内无自然保护区、风景名胜区、文化区等保护目标，无地下水集中式饮用水水源和热水、矿泉水、温泉等特殊地下水资源。项目东侧为悦来大街，南侧为汽车修配厂，西侧为冷云大街，北侧为桦川鸿泰油脂有限公司。厂界外50米范围无声环境保护目标。</w:t>
            </w:r>
          </w:p>
          <w:p w14:paraId="1730048A">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jc w:val="left"/>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本项目建设过程中产生的废气、废水、噪声、固废对周围环境将产生一定影响，但通过采取相应的环保措施可使该项目的环境影响降低。本项目所在地供电等公用设施齐全，环境良好，交通便利。本项目厂址周围环境质量较好，环境空气、声环境满足所在区域的环境质量要求。本项目对大气污染物产生环节提出相应的污染防治措施，可确保各污染物稳定达标排放，对环境的影响较小，可被现有环境所接受；本项目经废水</w:t>
            </w:r>
            <w:r>
              <w:rPr>
                <w:rFonts w:hint="default" w:ascii="Times New Roman" w:hAnsi="Times New Roman" w:eastAsia="宋体" w:cs="Times New Roman"/>
                <w:color w:val="auto"/>
                <w:spacing w:val="0"/>
                <w:position w:val="0"/>
                <w:sz w:val="24"/>
                <w:szCs w:val="24"/>
                <w:highlight w:val="none"/>
              </w:rPr>
              <w:t>，经市政管网排入</w:t>
            </w:r>
            <w:r>
              <w:rPr>
                <w:rFonts w:hint="default" w:ascii="Times New Roman" w:hAnsi="Times New Roman" w:cs="Times New Roman"/>
                <w:color w:val="auto"/>
                <w:spacing w:val="0"/>
                <w:position w:val="0"/>
                <w:sz w:val="24"/>
                <w:szCs w:val="24"/>
                <w:highlight w:val="none"/>
                <w:lang w:eastAsia="zh-CN"/>
              </w:rPr>
              <w:t>桦川县污水处理厂</w:t>
            </w:r>
            <w:r>
              <w:rPr>
                <w:rFonts w:hint="default" w:ascii="Times New Roman" w:hAnsi="Times New Roman" w:eastAsia="宋体" w:cs="Times New Roman"/>
                <w:color w:val="auto"/>
                <w:spacing w:val="0"/>
                <w:position w:val="0"/>
                <w:sz w:val="24"/>
                <w:szCs w:val="24"/>
                <w:highlight w:val="none"/>
              </w:rPr>
              <w:t>进行处理。</w:t>
            </w:r>
            <w:r>
              <w:rPr>
                <w:rFonts w:hint="default" w:ascii="Times New Roman" w:hAnsi="Times New Roman" w:eastAsia="宋体" w:cs="Times New Roman"/>
                <w:color w:val="auto"/>
                <w:spacing w:val="0"/>
                <w:position w:val="0"/>
                <w:sz w:val="24"/>
                <w:szCs w:val="32"/>
                <w:highlight w:val="none"/>
              </w:rPr>
              <w:t>对水环境影响较小。可被现有环境所接受；本项目对高噪声设备均采取了控制措施，保证了厂界达标，可被现有环境所接受；本项目的固体废物经妥善处理，对环境影响很小。综上，本项目选址合理。</w:t>
            </w:r>
          </w:p>
          <w:p w14:paraId="1E340D4C">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jc w:val="left"/>
              <w:rPr>
                <w:rFonts w:hint="default" w:ascii="Times New Roman" w:hAnsi="Times New Roman" w:eastAsia="宋体" w:cs="Times New Roman"/>
                <w:color w:val="auto"/>
                <w:spacing w:val="0"/>
                <w:position w:val="0"/>
                <w:sz w:val="24"/>
                <w:szCs w:val="32"/>
                <w:highlight w:val="none"/>
              </w:rPr>
            </w:pPr>
          </w:p>
          <w:p w14:paraId="073FB2E5">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jc w:val="left"/>
              <w:rPr>
                <w:rFonts w:hint="default" w:ascii="Times New Roman" w:hAnsi="Times New Roman" w:eastAsia="宋体" w:cs="Times New Roman"/>
                <w:color w:val="auto"/>
                <w:spacing w:val="0"/>
                <w:position w:val="0"/>
                <w:sz w:val="24"/>
                <w:szCs w:val="32"/>
                <w:highlight w:val="none"/>
              </w:rPr>
            </w:pPr>
          </w:p>
          <w:p w14:paraId="213C849A">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jc w:val="left"/>
              <w:rPr>
                <w:rFonts w:hint="default" w:ascii="Times New Roman" w:hAnsi="Times New Roman" w:eastAsia="宋体" w:cs="Times New Roman"/>
                <w:color w:val="auto"/>
                <w:spacing w:val="0"/>
                <w:position w:val="0"/>
                <w:sz w:val="24"/>
                <w:szCs w:val="32"/>
                <w:highlight w:val="none"/>
              </w:rPr>
            </w:pPr>
          </w:p>
          <w:p w14:paraId="706186B1">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jc w:val="left"/>
              <w:rPr>
                <w:rFonts w:hint="default" w:ascii="Times New Roman" w:hAnsi="Times New Roman" w:eastAsia="宋体" w:cs="Times New Roman"/>
                <w:color w:val="auto"/>
                <w:spacing w:val="0"/>
                <w:position w:val="0"/>
                <w:sz w:val="24"/>
                <w:szCs w:val="32"/>
                <w:highlight w:val="none"/>
                <w:lang w:val="en-US" w:eastAsia="zh-CN"/>
              </w:rPr>
            </w:pPr>
          </w:p>
        </w:tc>
      </w:tr>
    </w:tbl>
    <w:p w14:paraId="227AE15B">
      <w:pPr>
        <w:keepNext w:val="0"/>
        <w:keepLines w:val="0"/>
        <w:pageBreakBefore w:val="0"/>
        <w:kinsoku/>
        <w:wordWrap/>
        <w:overflowPunct/>
        <w:topLinePunct w:val="0"/>
        <w:bidi w:val="0"/>
        <w:adjustRightInd w:val="0"/>
        <w:snapToGrid w:val="0"/>
        <w:spacing w:beforeAutospacing="0" w:afterAutospacing="0" w:line="360" w:lineRule="auto"/>
        <w:ind w:left="0" w:leftChars="0" w:right="0" w:rightChars="0"/>
        <w:outlineLvl w:val="0"/>
        <w:rPr>
          <w:rFonts w:hint="default" w:ascii="Times New Roman" w:hAnsi="Times New Roman" w:eastAsia="宋体" w:cs="Times New Roman"/>
          <w:color w:val="auto"/>
          <w:spacing w:val="0"/>
          <w:position w:val="0"/>
          <w:sz w:val="30"/>
          <w:highlight w:val="none"/>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14:paraId="58A252BE">
      <w:pPr>
        <w:pStyle w:val="23"/>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rightChars="0"/>
        <w:jc w:val="center"/>
        <w:outlineLvl w:val="0"/>
        <w:rPr>
          <w:rFonts w:hint="default" w:ascii="Times New Roman" w:hAnsi="Times New Roman" w:eastAsia="宋体" w:cs="Times New Roman"/>
          <w:snapToGrid w:val="0"/>
          <w:color w:val="auto"/>
          <w:spacing w:val="0"/>
          <w:position w:val="0"/>
          <w:sz w:val="30"/>
          <w:szCs w:val="30"/>
          <w:highlight w:val="none"/>
        </w:rPr>
      </w:pPr>
      <w:bookmarkStart w:id="5" w:name="_Toc13834"/>
      <w:r>
        <w:rPr>
          <w:rFonts w:hint="default" w:ascii="Times New Roman" w:hAnsi="Times New Roman" w:eastAsia="宋体" w:cs="Times New Roman"/>
          <w:snapToGrid w:val="0"/>
          <w:color w:val="auto"/>
          <w:spacing w:val="0"/>
          <w:position w:val="0"/>
          <w:sz w:val="30"/>
          <w:szCs w:val="30"/>
          <w:highlight w:val="none"/>
        </w:rPr>
        <w:t>二、建设项目工程分析</w:t>
      </w:r>
      <w:bookmarkEnd w:id="5"/>
    </w:p>
    <w:tbl>
      <w:tblPr>
        <w:tblStyle w:val="29"/>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17"/>
        <w:gridCol w:w="8643"/>
      </w:tblGrid>
      <w:tr w14:paraId="722A9A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5" w:type="pct"/>
            <w:noWrap w:val="0"/>
            <w:vAlign w:val="center"/>
          </w:tcPr>
          <w:p w14:paraId="40DD2D93">
            <w:pPr>
              <w:pStyle w:val="23"/>
              <w:keepNext w:val="0"/>
              <w:keepLines w:val="0"/>
              <w:pageBreakBefore w:val="0"/>
              <w:kinsoku/>
              <w:wordWrap/>
              <w:overflowPunct/>
              <w:topLinePunct w:val="0"/>
              <w:bidi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建设内容</w:t>
            </w:r>
          </w:p>
        </w:tc>
        <w:tc>
          <w:tcPr>
            <w:tcW w:w="4754" w:type="pct"/>
            <w:noWrap w:val="0"/>
            <w:vAlign w:val="top"/>
          </w:tcPr>
          <w:p w14:paraId="03F9B7F4">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Cs/>
                <w:color w:val="auto"/>
                <w:spacing w:val="0"/>
                <w:position w:val="0"/>
                <w:sz w:val="24"/>
                <w:szCs w:val="24"/>
                <w:highlight w:val="none"/>
                <w:lang w:eastAsia="zh-CN"/>
              </w:rPr>
            </w:pPr>
            <w:r>
              <w:rPr>
                <w:rFonts w:hint="default" w:ascii="Times New Roman" w:hAnsi="Times New Roman" w:eastAsia="宋体" w:cs="Times New Roman"/>
                <w:bCs/>
                <w:color w:val="auto"/>
                <w:spacing w:val="0"/>
                <w:position w:val="0"/>
                <w:sz w:val="24"/>
                <w:szCs w:val="24"/>
                <w:highlight w:val="none"/>
                <w:lang w:val="en-US" w:eastAsia="zh-CN"/>
              </w:rPr>
              <w:t>一、</w:t>
            </w:r>
            <w:r>
              <w:rPr>
                <w:rFonts w:hint="default" w:ascii="Times New Roman" w:hAnsi="Times New Roman" w:eastAsia="宋体" w:cs="Times New Roman"/>
                <w:bCs/>
                <w:color w:val="auto"/>
                <w:spacing w:val="0"/>
                <w:position w:val="0"/>
                <w:sz w:val="24"/>
                <w:szCs w:val="24"/>
                <w:highlight w:val="none"/>
              </w:rPr>
              <w:t>项目</w:t>
            </w:r>
            <w:r>
              <w:rPr>
                <w:rFonts w:hint="default" w:ascii="Times New Roman" w:hAnsi="Times New Roman" w:eastAsia="宋体" w:cs="Times New Roman"/>
                <w:bCs/>
                <w:color w:val="auto"/>
                <w:spacing w:val="0"/>
                <w:position w:val="0"/>
                <w:sz w:val="24"/>
                <w:szCs w:val="24"/>
                <w:highlight w:val="none"/>
                <w:lang w:val="en-US" w:eastAsia="zh-CN"/>
              </w:rPr>
              <w:t>由来</w:t>
            </w:r>
          </w:p>
          <w:p w14:paraId="32D1666E">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Cs/>
                <w:color w:val="auto"/>
                <w:spacing w:val="0"/>
                <w:position w:val="0"/>
                <w:sz w:val="24"/>
                <w:szCs w:val="24"/>
                <w:highlight w:val="none"/>
                <w:lang w:val="en-US" w:eastAsia="zh-CN"/>
              </w:rPr>
            </w:pPr>
            <w:r>
              <w:rPr>
                <w:rFonts w:hint="default" w:ascii="Times New Roman" w:hAnsi="Times New Roman" w:eastAsia="宋体" w:cs="Times New Roman"/>
                <w:bCs/>
                <w:color w:val="auto"/>
                <w:spacing w:val="0"/>
                <w:position w:val="0"/>
                <w:sz w:val="24"/>
                <w:szCs w:val="24"/>
                <w:highlight w:val="none"/>
                <w:lang w:val="en-US" w:eastAsia="zh-CN"/>
              </w:rPr>
              <w:t>本项目租赁桦川县泰丰植物油脂有限公司厂区及全套生产设备进行生产，桦川县泰丰植物油脂有限公司是一家专业米糠油生产加工企业，拥有油脂加工设备及厂房，因市场原因，2020年桦川县泰丰植物油脂有限公司将厂区及全套生产设备租赁给桦川县欣盛油脂有限公司用于米糠油生产，2024年桦川县欣盛油脂有限公司停止租赁后，黑龙江龙粮油脂有限公司与桦川县泰丰植物油脂有限公司达成合作，租赁桦川县泰丰植物油脂有限公司厂区及全套生产设备进行生产。</w:t>
            </w:r>
          </w:p>
          <w:p w14:paraId="52FFAF14">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Cs/>
                <w:color w:val="auto"/>
                <w:spacing w:val="0"/>
                <w:position w:val="0"/>
                <w:sz w:val="24"/>
                <w:szCs w:val="24"/>
                <w:highlight w:val="none"/>
                <w:lang w:val="en-US" w:eastAsia="zh-CN"/>
              </w:rPr>
            </w:pPr>
            <w:r>
              <w:rPr>
                <w:rFonts w:hint="default" w:ascii="Times New Roman" w:hAnsi="Times New Roman" w:eastAsia="宋体" w:cs="Times New Roman"/>
                <w:bCs/>
                <w:color w:val="auto"/>
                <w:spacing w:val="0"/>
                <w:position w:val="0"/>
                <w:sz w:val="24"/>
                <w:szCs w:val="24"/>
                <w:highlight w:val="none"/>
                <w:lang w:val="en-US" w:eastAsia="zh-CN"/>
              </w:rPr>
              <w:t>桦川县欣盛油脂有限公司于2021年委托哈尔滨国环宏节能环保技术有限责任公司编制了《桦川县欣盛油脂有限公司9万吨每年米糠加工项目建设项目环境影响报告表》，2021年2月23日佳木斯市桦川生态环境局对其进行了批复，批复文号佳桦环建审</w:t>
            </w:r>
            <w:r>
              <w:rPr>
                <w:rFonts w:hint="default" w:ascii="Times New Roman" w:hAnsi="Times New Roman" w:cs="Times New Roman"/>
                <w:bCs/>
                <w:color w:val="auto"/>
                <w:spacing w:val="0"/>
                <w:position w:val="0"/>
                <w:sz w:val="24"/>
                <w:szCs w:val="24"/>
                <w:highlight w:val="none"/>
                <w:lang w:val="en-US" w:eastAsia="zh-CN"/>
              </w:rPr>
              <w:t>〔2021〕4号</w:t>
            </w:r>
            <w:r>
              <w:rPr>
                <w:rFonts w:hint="default" w:ascii="Times New Roman" w:hAnsi="Times New Roman" w:eastAsia="宋体" w:cs="Times New Roman"/>
                <w:bCs/>
                <w:color w:val="auto"/>
                <w:spacing w:val="0"/>
                <w:position w:val="0"/>
                <w:sz w:val="24"/>
                <w:szCs w:val="24"/>
                <w:highlight w:val="none"/>
                <w:lang w:val="en-US" w:eastAsia="zh-CN"/>
              </w:rPr>
              <w:t>。环评批复利用现有米糠加工生产线进行生产，年加工9万吨米糠，年产10800t米糠油，项目建成后一直未进行建设项目竣工环境保护验收工作。</w:t>
            </w:r>
          </w:p>
          <w:p w14:paraId="683690A9">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Cs/>
                <w:color w:val="auto"/>
                <w:spacing w:val="0"/>
                <w:position w:val="0"/>
                <w:sz w:val="24"/>
                <w:szCs w:val="24"/>
                <w:highlight w:val="none"/>
                <w:lang w:val="en-US" w:eastAsia="zh-CN"/>
              </w:rPr>
            </w:pPr>
            <w:r>
              <w:rPr>
                <w:rFonts w:hint="default" w:ascii="Times New Roman" w:hAnsi="Times New Roman" w:eastAsia="宋体" w:cs="Times New Roman"/>
                <w:bCs/>
                <w:color w:val="auto"/>
                <w:spacing w:val="0"/>
                <w:position w:val="0"/>
                <w:sz w:val="24"/>
                <w:szCs w:val="24"/>
                <w:highlight w:val="none"/>
                <w:lang w:val="en-US" w:eastAsia="zh-CN"/>
              </w:rPr>
              <w:t>黑龙江龙粮油脂有限公司</w:t>
            </w:r>
            <w:r>
              <w:rPr>
                <w:rFonts w:hint="default" w:ascii="Times New Roman" w:hAnsi="Times New Roman" w:cs="Times New Roman"/>
                <w:bCs/>
                <w:color w:val="auto"/>
                <w:spacing w:val="0"/>
                <w:position w:val="0"/>
                <w:sz w:val="24"/>
                <w:szCs w:val="24"/>
                <w:highlight w:val="none"/>
                <w:lang w:val="en-US" w:eastAsia="zh-CN"/>
              </w:rPr>
              <w:t>接手后，</w:t>
            </w:r>
            <w:r>
              <w:rPr>
                <w:rFonts w:hint="default" w:ascii="Times New Roman" w:hAnsi="Times New Roman" w:eastAsia="宋体" w:cs="Times New Roman"/>
                <w:bCs/>
                <w:color w:val="auto"/>
                <w:spacing w:val="0"/>
                <w:position w:val="0"/>
                <w:sz w:val="24"/>
                <w:szCs w:val="24"/>
                <w:highlight w:val="none"/>
                <w:lang w:val="en-US" w:eastAsia="zh-CN"/>
              </w:rPr>
              <w:t>计划利用现有米糠加工生产线生产，年加工10万吨米糠，年产16000</w:t>
            </w:r>
            <w:r>
              <w:rPr>
                <w:rFonts w:hint="default" w:ascii="Times New Roman" w:hAnsi="Times New Roman" w:cs="Times New Roman"/>
                <w:bCs/>
                <w:color w:val="auto"/>
                <w:spacing w:val="0"/>
                <w:position w:val="0"/>
                <w:sz w:val="24"/>
                <w:szCs w:val="24"/>
                <w:highlight w:val="none"/>
                <w:lang w:val="en-US" w:eastAsia="zh-CN"/>
              </w:rPr>
              <w:t>吨</w:t>
            </w:r>
            <w:r>
              <w:rPr>
                <w:rFonts w:hint="default" w:ascii="Times New Roman" w:hAnsi="Times New Roman" w:eastAsia="宋体" w:cs="Times New Roman"/>
                <w:bCs/>
                <w:color w:val="auto"/>
                <w:spacing w:val="0"/>
                <w:position w:val="0"/>
                <w:sz w:val="24"/>
                <w:szCs w:val="24"/>
                <w:highlight w:val="none"/>
                <w:lang w:val="en-US" w:eastAsia="zh-CN"/>
              </w:rPr>
              <w:t>米糠油，并利用现有闲置的压榨及精炼生产线，年</w:t>
            </w:r>
            <w:r>
              <w:rPr>
                <w:rFonts w:hint="default" w:ascii="Times New Roman" w:hAnsi="Times New Roman" w:cs="Times New Roman"/>
                <w:bCs/>
                <w:color w:val="auto"/>
                <w:spacing w:val="0"/>
                <w:position w:val="0"/>
                <w:sz w:val="24"/>
                <w:szCs w:val="24"/>
                <w:highlight w:val="none"/>
                <w:lang w:val="en-US" w:eastAsia="zh-CN"/>
              </w:rPr>
              <w:t>加工大豆3万吨，年</w:t>
            </w:r>
            <w:r>
              <w:rPr>
                <w:rFonts w:hint="default" w:ascii="Times New Roman" w:hAnsi="Times New Roman" w:eastAsia="宋体" w:cs="Times New Roman"/>
                <w:bCs/>
                <w:color w:val="auto"/>
                <w:spacing w:val="0"/>
                <w:position w:val="0"/>
                <w:sz w:val="24"/>
                <w:szCs w:val="24"/>
                <w:highlight w:val="none"/>
                <w:lang w:val="en-US" w:eastAsia="zh-CN"/>
              </w:rPr>
              <w:t>产</w:t>
            </w:r>
            <w:r>
              <w:rPr>
                <w:rFonts w:hint="default" w:ascii="Times New Roman" w:hAnsi="Times New Roman" w:cs="Times New Roman"/>
                <w:bCs/>
                <w:color w:val="auto"/>
                <w:spacing w:val="0"/>
                <w:position w:val="0"/>
                <w:sz w:val="24"/>
                <w:szCs w:val="24"/>
                <w:highlight w:val="none"/>
                <w:lang w:val="en-US" w:eastAsia="zh-CN"/>
              </w:rPr>
              <w:t>大</w:t>
            </w:r>
            <w:r>
              <w:rPr>
                <w:rFonts w:hint="default" w:ascii="Times New Roman" w:hAnsi="Times New Roman" w:eastAsia="宋体" w:cs="Times New Roman"/>
                <w:bCs/>
                <w:color w:val="auto"/>
                <w:spacing w:val="0"/>
                <w:position w:val="0"/>
                <w:sz w:val="24"/>
                <w:szCs w:val="24"/>
                <w:highlight w:val="none"/>
                <w:lang w:val="en-US" w:eastAsia="zh-CN"/>
              </w:rPr>
              <w:t>豆油</w:t>
            </w:r>
            <w:r>
              <w:rPr>
                <w:rFonts w:hint="default" w:ascii="Times New Roman" w:hAnsi="Times New Roman" w:cs="Times New Roman"/>
                <w:bCs/>
                <w:color w:val="auto"/>
                <w:spacing w:val="0"/>
                <w:position w:val="0"/>
                <w:sz w:val="24"/>
                <w:szCs w:val="24"/>
                <w:highlight w:val="none"/>
                <w:lang w:val="en-US" w:eastAsia="zh-CN"/>
              </w:rPr>
              <w:t>4320</w:t>
            </w:r>
            <w:r>
              <w:rPr>
                <w:rFonts w:hint="default" w:ascii="Times New Roman" w:hAnsi="Times New Roman" w:eastAsia="宋体" w:cs="Times New Roman"/>
                <w:bCs/>
                <w:color w:val="auto"/>
                <w:spacing w:val="0"/>
                <w:position w:val="0"/>
                <w:sz w:val="24"/>
                <w:szCs w:val="24"/>
                <w:highlight w:val="none"/>
                <w:lang w:val="en-US" w:eastAsia="zh-CN"/>
              </w:rPr>
              <w:t>吨，并将</w:t>
            </w:r>
            <w:r>
              <w:rPr>
                <w:rFonts w:hint="default" w:ascii="Times New Roman" w:hAnsi="Times New Roman" w:cs="Times New Roman"/>
                <w:bCs/>
                <w:color w:val="auto"/>
                <w:spacing w:val="0"/>
                <w:position w:val="0"/>
                <w:sz w:val="24"/>
                <w:szCs w:val="24"/>
                <w:highlight w:val="none"/>
                <w:lang w:val="en-US" w:eastAsia="zh-CN"/>
              </w:rPr>
              <w:t>现有</w:t>
            </w:r>
            <w:r>
              <w:rPr>
                <w:rFonts w:hint="default" w:ascii="Times New Roman" w:hAnsi="Times New Roman" w:eastAsia="宋体" w:cs="Times New Roman"/>
                <w:bCs/>
                <w:color w:val="auto"/>
                <w:spacing w:val="0"/>
                <w:position w:val="0"/>
                <w:sz w:val="24"/>
                <w:szCs w:val="24"/>
                <w:highlight w:val="none"/>
                <w:lang w:val="en-US" w:eastAsia="zh-CN"/>
              </w:rPr>
              <w:t>10t/h生物质蒸汽锅炉更换为15t/h生物质蒸汽锅炉。本项目</w:t>
            </w:r>
            <w:r>
              <w:rPr>
                <w:rFonts w:hint="default" w:ascii="Times New Roman" w:hAnsi="Times New Roman" w:cs="Times New Roman"/>
                <w:bCs/>
                <w:color w:val="auto"/>
                <w:spacing w:val="0"/>
                <w:position w:val="0"/>
                <w:sz w:val="24"/>
                <w:szCs w:val="24"/>
                <w:highlight w:val="none"/>
                <w:lang w:val="en-US" w:eastAsia="zh-CN"/>
              </w:rPr>
              <w:t>米糠油</w:t>
            </w:r>
            <w:r>
              <w:rPr>
                <w:rFonts w:hint="default" w:ascii="Times New Roman" w:hAnsi="Times New Roman" w:eastAsia="宋体" w:cs="Times New Roman"/>
                <w:bCs/>
                <w:color w:val="auto"/>
                <w:spacing w:val="0"/>
                <w:position w:val="0"/>
                <w:sz w:val="24"/>
                <w:szCs w:val="24"/>
                <w:highlight w:val="none"/>
                <w:lang w:val="en-US" w:eastAsia="zh-CN"/>
              </w:rPr>
              <w:t>生产规模增加</w:t>
            </w:r>
            <w:r>
              <w:rPr>
                <w:rFonts w:hint="default" w:ascii="Times New Roman" w:hAnsi="Times New Roman" w:cs="Times New Roman"/>
                <w:bCs/>
                <w:color w:val="auto"/>
                <w:spacing w:val="0"/>
                <w:position w:val="0"/>
                <w:sz w:val="24"/>
                <w:szCs w:val="24"/>
                <w:highlight w:val="none"/>
                <w:lang w:val="en-US" w:eastAsia="zh-CN"/>
              </w:rPr>
              <w:t>超过30%</w:t>
            </w:r>
            <w:r>
              <w:rPr>
                <w:rFonts w:hint="default" w:ascii="Times New Roman" w:hAnsi="Times New Roman" w:eastAsia="宋体" w:cs="Times New Roman"/>
                <w:bCs/>
                <w:color w:val="auto"/>
                <w:spacing w:val="0"/>
                <w:position w:val="0"/>
                <w:sz w:val="24"/>
                <w:szCs w:val="24"/>
                <w:highlight w:val="none"/>
                <w:lang w:val="en-US" w:eastAsia="zh-CN"/>
              </w:rPr>
              <w:t>，</w:t>
            </w:r>
            <w:r>
              <w:rPr>
                <w:rFonts w:hint="default" w:ascii="Times New Roman" w:hAnsi="Times New Roman" w:cs="Times New Roman"/>
                <w:bCs/>
                <w:color w:val="auto"/>
                <w:spacing w:val="0"/>
                <w:position w:val="0"/>
                <w:sz w:val="24"/>
                <w:szCs w:val="24"/>
                <w:highlight w:val="none"/>
                <w:lang w:val="en-US" w:eastAsia="zh-CN"/>
              </w:rPr>
              <w:t>新增大豆油压榨及精炼生产线，废水、废气等污染物</w:t>
            </w:r>
            <w:r>
              <w:rPr>
                <w:rFonts w:hint="default" w:ascii="Times New Roman" w:hAnsi="Times New Roman" w:eastAsia="宋体" w:cs="Times New Roman"/>
                <w:bCs/>
                <w:color w:val="auto"/>
                <w:spacing w:val="0"/>
                <w:position w:val="0"/>
                <w:sz w:val="24"/>
                <w:szCs w:val="24"/>
                <w:highlight w:val="none"/>
                <w:lang w:val="en-US" w:eastAsia="zh-CN"/>
              </w:rPr>
              <w:t>排放量增</w:t>
            </w:r>
            <w:r>
              <w:rPr>
                <w:rFonts w:hint="default" w:ascii="Times New Roman" w:hAnsi="Times New Roman" w:cs="Times New Roman"/>
                <w:bCs/>
                <w:color w:val="auto"/>
                <w:spacing w:val="0"/>
                <w:position w:val="0"/>
                <w:sz w:val="24"/>
                <w:szCs w:val="24"/>
                <w:highlight w:val="none"/>
                <w:lang w:val="en-US" w:eastAsia="zh-CN"/>
              </w:rPr>
              <w:t>加</w:t>
            </w:r>
            <w:r>
              <w:rPr>
                <w:rFonts w:hint="default" w:ascii="Times New Roman" w:hAnsi="Times New Roman" w:eastAsia="宋体" w:cs="Times New Roman"/>
                <w:bCs/>
                <w:color w:val="auto"/>
                <w:spacing w:val="0"/>
                <w:position w:val="0"/>
                <w:sz w:val="24"/>
                <w:szCs w:val="24"/>
                <w:highlight w:val="none"/>
                <w:lang w:val="en-US" w:eastAsia="zh-CN"/>
              </w:rPr>
              <w:t>，</w:t>
            </w:r>
            <w:r>
              <w:rPr>
                <w:rFonts w:hint="default" w:ascii="Times New Roman" w:hAnsi="Times New Roman" w:cs="Times New Roman"/>
                <w:bCs/>
                <w:color w:val="auto"/>
                <w:spacing w:val="0"/>
                <w:position w:val="0"/>
                <w:sz w:val="24"/>
                <w:szCs w:val="24"/>
                <w:highlight w:val="none"/>
                <w:lang w:val="en-US" w:eastAsia="zh-CN"/>
              </w:rPr>
              <w:t>生物质锅炉额定蒸发量增加，</w:t>
            </w:r>
            <w:r>
              <w:rPr>
                <w:rFonts w:hint="default" w:ascii="Times New Roman" w:hAnsi="Times New Roman" w:eastAsia="宋体" w:cs="Times New Roman"/>
                <w:bCs/>
                <w:color w:val="auto"/>
                <w:spacing w:val="0"/>
                <w:position w:val="0"/>
                <w:sz w:val="24"/>
                <w:szCs w:val="24"/>
                <w:highlight w:val="none"/>
                <w:lang w:val="en-US" w:eastAsia="zh-CN"/>
              </w:rPr>
              <w:t>对照《污染影响类建设项目重大变动清单（试行）》（环办环评函</w:t>
            </w:r>
            <w:r>
              <w:rPr>
                <w:rFonts w:hint="default" w:ascii="Times New Roman" w:hAnsi="Times New Roman" w:cs="Times New Roman"/>
                <w:bCs/>
                <w:color w:val="auto"/>
                <w:spacing w:val="0"/>
                <w:position w:val="0"/>
                <w:sz w:val="24"/>
                <w:szCs w:val="24"/>
                <w:highlight w:val="none"/>
                <w:lang w:val="en-US" w:eastAsia="zh-CN"/>
              </w:rPr>
              <w:t>〔2020〕688号</w:t>
            </w:r>
            <w:r>
              <w:rPr>
                <w:rFonts w:hint="default" w:ascii="Times New Roman" w:hAnsi="Times New Roman" w:eastAsia="宋体" w:cs="Times New Roman"/>
                <w:bCs/>
                <w:color w:val="auto"/>
                <w:spacing w:val="0"/>
                <w:position w:val="0"/>
                <w:sz w:val="24"/>
                <w:szCs w:val="24"/>
                <w:highlight w:val="none"/>
                <w:lang w:val="en-US" w:eastAsia="zh-CN"/>
              </w:rPr>
              <w:t>），属于重大变动</w:t>
            </w:r>
            <w:r>
              <w:rPr>
                <w:rFonts w:hint="default" w:ascii="Times New Roman" w:hAnsi="Times New Roman" w:cs="Times New Roman"/>
                <w:bCs/>
                <w:color w:val="auto"/>
                <w:spacing w:val="0"/>
                <w:position w:val="0"/>
                <w:sz w:val="24"/>
                <w:szCs w:val="24"/>
                <w:highlight w:val="none"/>
                <w:lang w:val="en-US" w:eastAsia="zh-CN"/>
              </w:rPr>
              <w:t>。因此，</w:t>
            </w:r>
            <w:r>
              <w:rPr>
                <w:rFonts w:hint="default" w:ascii="Times New Roman" w:hAnsi="Times New Roman" w:eastAsia="宋体" w:cs="Times New Roman"/>
                <w:bCs/>
                <w:color w:val="auto"/>
                <w:spacing w:val="0"/>
                <w:position w:val="0"/>
                <w:sz w:val="24"/>
                <w:szCs w:val="24"/>
                <w:highlight w:val="none"/>
                <w:lang w:val="en-US" w:eastAsia="zh-CN"/>
              </w:rPr>
              <w:t>重新办理环评手续。</w:t>
            </w:r>
          </w:p>
          <w:p w14:paraId="4194F035">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Cs/>
                <w:color w:val="auto"/>
                <w:spacing w:val="0"/>
                <w:position w:val="0"/>
                <w:sz w:val="24"/>
                <w:szCs w:val="24"/>
                <w:highlight w:val="none"/>
              </w:rPr>
            </w:pPr>
            <w:r>
              <w:rPr>
                <w:rFonts w:hint="default" w:ascii="Times New Roman" w:hAnsi="Times New Roman" w:eastAsia="宋体" w:cs="Times New Roman"/>
                <w:bCs/>
                <w:color w:val="auto"/>
                <w:spacing w:val="0"/>
                <w:position w:val="0"/>
                <w:sz w:val="24"/>
                <w:szCs w:val="24"/>
                <w:highlight w:val="none"/>
              </w:rPr>
              <w:t>二</w:t>
            </w:r>
            <w:r>
              <w:rPr>
                <w:rFonts w:hint="default" w:ascii="Times New Roman" w:hAnsi="Times New Roman" w:cs="Times New Roman"/>
                <w:bCs/>
                <w:color w:val="auto"/>
                <w:spacing w:val="0"/>
                <w:position w:val="0"/>
                <w:sz w:val="24"/>
                <w:szCs w:val="24"/>
                <w:highlight w:val="none"/>
                <w:lang w:eastAsia="zh-CN"/>
              </w:rPr>
              <w:t>、</w:t>
            </w:r>
            <w:r>
              <w:rPr>
                <w:rFonts w:hint="default" w:ascii="Times New Roman" w:hAnsi="Times New Roman" w:eastAsia="宋体" w:cs="Times New Roman"/>
                <w:bCs/>
                <w:color w:val="auto"/>
                <w:spacing w:val="0"/>
                <w:position w:val="0"/>
                <w:sz w:val="24"/>
                <w:szCs w:val="24"/>
                <w:highlight w:val="none"/>
              </w:rPr>
              <w:t>项目工程概况</w:t>
            </w:r>
          </w:p>
          <w:p w14:paraId="4631DB1F">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Cs/>
                <w:color w:val="auto"/>
                <w:spacing w:val="0"/>
                <w:position w:val="0"/>
                <w:sz w:val="24"/>
                <w:szCs w:val="24"/>
                <w:highlight w:val="none"/>
              </w:rPr>
            </w:pPr>
            <w:r>
              <w:rPr>
                <w:rFonts w:hint="default" w:ascii="Times New Roman" w:hAnsi="Times New Roman" w:eastAsia="宋体" w:cs="Times New Roman"/>
                <w:bCs/>
                <w:color w:val="auto"/>
                <w:spacing w:val="0"/>
                <w:position w:val="0"/>
                <w:sz w:val="24"/>
                <w:szCs w:val="24"/>
                <w:highlight w:val="none"/>
              </w:rPr>
              <w:t>项目名称：黑龙江龙粮油脂有限公司10万吨米糠及3万吨大豆制油加工项目</w:t>
            </w:r>
          </w:p>
          <w:p w14:paraId="1309610B">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Cs/>
                <w:color w:val="auto"/>
                <w:spacing w:val="0"/>
                <w:position w:val="0"/>
                <w:sz w:val="24"/>
                <w:szCs w:val="24"/>
                <w:highlight w:val="none"/>
              </w:rPr>
            </w:pPr>
            <w:r>
              <w:rPr>
                <w:rFonts w:hint="default" w:ascii="Times New Roman" w:hAnsi="Times New Roman" w:eastAsia="宋体" w:cs="Times New Roman"/>
                <w:bCs/>
                <w:color w:val="auto"/>
                <w:spacing w:val="0"/>
                <w:position w:val="0"/>
                <w:sz w:val="24"/>
                <w:szCs w:val="24"/>
                <w:highlight w:val="none"/>
              </w:rPr>
              <w:t>建设地点：黑龙江省佳木斯市桦川县悦来镇悦来大街南段（桦川县泰丰植物油脂有限公司院内），经度：130</w:t>
            </w:r>
            <w:r>
              <w:rPr>
                <w:rFonts w:hint="default" w:ascii="Times New Roman" w:hAnsi="Times New Roman" w:cs="Times New Roman"/>
                <w:bCs/>
                <w:color w:val="auto"/>
                <w:spacing w:val="0"/>
                <w:position w:val="0"/>
                <w:sz w:val="24"/>
                <w:szCs w:val="24"/>
                <w:highlight w:val="none"/>
                <w:lang w:val="en-US" w:eastAsia="zh-CN"/>
              </w:rPr>
              <w:t>°</w:t>
            </w:r>
            <w:r>
              <w:rPr>
                <w:rFonts w:hint="default" w:ascii="Times New Roman" w:hAnsi="Times New Roman" w:eastAsia="宋体" w:cs="Times New Roman"/>
                <w:bCs/>
                <w:color w:val="auto"/>
                <w:spacing w:val="0"/>
                <w:position w:val="0"/>
                <w:sz w:val="24"/>
                <w:szCs w:val="24"/>
                <w:highlight w:val="none"/>
              </w:rPr>
              <w:t>43</w:t>
            </w:r>
            <w:r>
              <w:rPr>
                <w:rFonts w:hint="default" w:ascii="Times New Roman" w:hAnsi="Times New Roman" w:cs="Times New Roman"/>
                <w:bCs/>
                <w:color w:val="auto"/>
                <w:spacing w:val="0"/>
                <w:position w:val="0"/>
                <w:sz w:val="24"/>
                <w:szCs w:val="24"/>
                <w:highlight w:val="none"/>
                <w:lang w:val="en-US" w:eastAsia="zh-CN"/>
              </w:rPr>
              <w:t>′</w:t>
            </w:r>
            <w:r>
              <w:rPr>
                <w:rFonts w:hint="default" w:ascii="Times New Roman" w:hAnsi="Times New Roman" w:eastAsia="宋体" w:cs="Times New Roman"/>
                <w:bCs/>
                <w:color w:val="auto"/>
                <w:spacing w:val="0"/>
                <w:position w:val="0"/>
                <w:sz w:val="24"/>
                <w:szCs w:val="24"/>
                <w:highlight w:val="none"/>
              </w:rPr>
              <w:t>26.094</w:t>
            </w:r>
            <w:r>
              <w:rPr>
                <w:rFonts w:hint="default" w:ascii="Times New Roman" w:hAnsi="Times New Roman" w:cs="Times New Roman"/>
                <w:bCs/>
                <w:color w:val="auto"/>
                <w:spacing w:val="0"/>
                <w:position w:val="0"/>
                <w:sz w:val="24"/>
                <w:szCs w:val="24"/>
                <w:highlight w:val="none"/>
                <w:lang w:val="en-US" w:eastAsia="zh-CN"/>
              </w:rPr>
              <w:t>″</w:t>
            </w:r>
            <w:r>
              <w:rPr>
                <w:rFonts w:hint="default" w:ascii="Times New Roman" w:hAnsi="Times New Roman" w:eastAsia="宋体" w:cs="Times New Roman"/>
                <w:bCs/>
                <w:color w:val="auto"/>
                <w:spacing w:val="0"/>
                <w:position w:val="0"/>
                <w:sz w:val="24"/>
                <w:szCs w:val="24"/>
                <w:highlight w:val="none"/>
              </w:rPr>
              <w:t>，</w:t>
            </w:r>
            <w:r>
              <w:rPr>
                <w:rFonts w:hint="default" w:ascii="Times New Roman" w:hAnsi="Times New Roman" w:cs="Times New Roman"/>
                <w:bCs/>
                <w:color w:val="auto"/>
                <w:spacing w:val="0"/>
                <w:position w:val="0"/>
                <w:sz w:val="24"/>
                <w:szCs w:val="24"/>
                <w:highlight w:val="none"/>
                <w:lang w:val="en-US" w:eastAsia="zh-CN"/>
              </w:rPr>
              <w:t>纬度：</w:t>
            </w:r>
            <w:r>
              <w:rPr>
                <w:rFonts w:hint="default" w:ascii="Times New Roman" w:hAnsi="Times New Roman" w:eastAsia="宋体" w:cs="Times New Roman"/>
                <w:bCs/>
                <w:color w:val="auto"/>
                <w:spacing w:val="0"/>
                <w:position w:val="0"/>
                <w:sz w:val="24"/>
                <w:szCs w:val="24"/>
                <w:highlight w:val="none"/>
              </w:rPr>
              <w:t>47</w:t>
            </w:r>
            <w:r>
              <w:rPr>
                <w:rFonts w:hint="default" w:ascii="Times New Roman" w:hAnsi="Times New Roman" w:cs="Times New Roman"/>
                <w:bCs/>
                <w:color w:val="auto"/>
                <w:spacing w:val="0"/>
                <w:position w:val="0"/>
                <w:sz w:val="24"/>
                <w:szCs w:val="24"/>
                <w:highlight w:val="none"/>
                <w:lang w:val="en-US" w:eastAsia="zh-CN"/>
              </w:rPr>
              <w:t>°</w:t>
            </w:r>
            <w:r>
              <w:rPr>
                <w:rFonts w:hint="default" w:ascii="Times New Roman" w:hAnsi="Times New Roman" w:eastAsia="宋体" w:cs="Times New Roman"/>
                <w:bCs/>
                <w:color w:val="auto"/>
                <w:spacing w:val="0"/>
                <w:position w:val="0"/>
                <w:sz w:val="24"/>
                <w:szCs w:val="24"/>
                <w:highlight w:val="none"/>
              </w:rPr>
              <w:t>00</w:t>
            </w:r>
            <w:r>
              <w:rPr>
                <w:rFonts w:hint="default" w:ascii="Times New Roman" w:hAnsi="Times New Roman" w:cs="Times New Roman"/>
                <w:bCs/>
                <w:color w:val="auto"/>
                <w:spacing w:val="0"/>
                <w:position w:val="0"/>
                <w:sz w:val="24"/>
                <w:szCs w:val="24"/>
                <w:highlight w:val="none"/>
                <w:lang w:val="en-US" w:eastAsia="zh-CN"/>
              </w:rPr>
              <w:t>′</w:t>
            </w:r>
            <w:r>
              <w:rPr>
                <w:rFonts w:hint="default" w:ascii="Times New Roman" w:hAnsi="Times New Roman" w:eastAsia="宋体" w:cs="Times New Roman"/>
                <w:bCs/>
                <w:color w:val="auto"/>
                <w:spacing w:val="0"/>
                <w:position w:val="0"/>
                <w:sz w:val="24"/>
                <w:szCs w:val="24"/>
                <w:highlight w:val="none"/>
              </w:rPr>
              <w:t>00.807</w:t>
            </w:r>
            <w:r>
              <w:rPr>
                <w:rFonts w:hint="default" w:ascii="Times New Roman" w:hAnsi="Times New Roman" w:cs="Times New Roman"/>
                <w:bCs/>
                <w:color w:val="auto"/>
                <w:spacing w:val="0"/>
                <w:position w:val="0"/>
                <w:sz w:val="24"/>
                <w:szCs w:val="24"/>
                <w:highlight w:val="none"/>
                <w:lang w:val="en-US" w:eastAsia="zh-CN"/>
              </w:rPr>
              <w:t>″</w:t>
            </w:r>
            <w:r>
              <w:rPr>
                <w:rFonts w:hint="default" w:ascii="Times New Roman" w:hAnsi="Times New Roman" w:eastAsia="宋体" w:cs="Times New Roman"/>
                <w:bCs/>
                <w:color w:val="auto"/>
                <w:spacing w:val="0"/>
                <w:position w:val="0"/>
                <w:sz w:val="24"/>
                <w:szCs w:val="24"/>
                <w:highlight w:val="none"/>
              </w:rPr>
              <w:t>。</w:t>
            </w:r>
          </w:p>
          <w:p w14:paraId="6C1B3A69">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Cs/>
                <w:color w:val="auto"/>
                <w:spacing w:val="0"/>
                <w:position w:val="0"/>
                <w:sz w:val="24"/>
                <w:szCs w:val="24"/>
                <w:highlight w:val="none"/>
              </w:rPr>
            </w:pPr>
            <w:r>
              <w:rPr>
                <w:rFonts w:hint="default" w:ascii="Times New Roman" w:hAnsi="Times New Roman" w:eastAsia="宋体" w:cs="Times New Roman"/>
                <w:bCs/>
                <w:color w:val="auto"/>
                <w:spacing w:val="0"/>
                <w:position w:val="0"/>
                <w:sz w:val="24"/>
                <w:szCs w:val="24"/>
                <w:highlight w:val="none"/>
              </w:rPr>
              <w:t>建设单位：</w:t>
            </w:r>
            <w:r>
              <w:rPr>
                <w:rFonts w:hint="default" w:ascii="Times New Roman" w:hAnsi="Times New Roman" w:eastAsia="宋体" w:cs="Times New Roman"/>
                <w:color w:val="auto"/>
                <w:spacing w:val="0"/>
                <w:position w:val="0"/>
                <w:sz w:val="24"/>
                <w:szCs w:val="24"/>
                <w:highlight w:val="none"/>
              </w:rPr>
              <w:t>黑龙江龙粮油脂有限公司</w:t>
            </w:r>
            <w:r>
              <w:rPr>
                <w:rFonts w:hint="default" w:ascii="Times New Roman" w:hAnsi="Times New Roman" w:eastAsia="宋体" w:cs="Times New Roman"/>
                <w:bCs/>
                <w:color w:val="auto"/>
                <w:spacing w:val="0"/>
                <w:position w:val="0"/>
                <w:sz w:val="24"/>
                <w:szCs w:val="24"/>
                <w:highlight w:val="none"/>
              </w:rPr>
              <w:t>。</w:t>
            </w:r>
          </w:p>
          <w:p w14:paraId="4F1F9F49">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Cs/>
                <w:color w:val="auto"/>
                <w:spacing w:val="0"/>
                <w:position w:val="0"/>
                <w:sz w:val="24"/>
                <w:szCs w:val="24"/>
                <w:highlight w:val="none"/>
              </w:rPr>
            </w:pPr>
            <w:r>
              <w:rPr>
                <w:rFonts w:hint="default" w:ascii="Times New Roman" w:hAnsi="Times New Roman" w:eastAsia="宋体" w:cs="Times New Roman"/>
                <w:bCs/>
                <w:color w:val="auto"/>
                <w:spacing w:val="0"/>
                <w:position w:val="0"/>
                <w:sz w:val="24"/>
                <w:szCs w:val="24"/>
                <w:highlight w:val="none"/>
              </w:rPr>
              <w:t>项目总投资：</w:t>
            </w:r>
            <w:r>
              <w:rPr>
                <w:rFonts w:hint="default" w:ascii="Times New Roman" w:hAnsi="Times New Roman" w:cs="Times New Roman"/>
                <w:bCs/>
                <w:color w:val="auto"/>
                <w:spacing w:val="0"/>
                <w:position w:val="0"/>
                <w:sz w:val="24"/>
                <w:szCs w:val="24"/>
                <w:highlight w:val="none"/>
                <w:lang w:val="en-US" w:eastAsia="zh-CN"/>
              </w:rPr>
              <w:t>10</w:t>
            </w:r>
            <w:r>
              <w:rPr>
                <w:rFonts w:hint="default" w:ascii="Times New Roman" w:hAnsi="Times New Roman" w:eastAsia="宋体" w:cs="Times New Roman"/>
                <w:bCs/>
                <w:color w:val="auto"/>
                <w:spacing w:val="0"/>
                <w:position w:val="0"/>
                <w:sz w:val="24"/>
                <w:szCs w:val="24"/>
                <w:highlight w:val="none"/>
              </w:rPr>
              <w:t>00万元。</w:t>
            </w:r>
          </w:p>
          <w:p w14:paraId="2310C08A">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Cs/>
                <w:color w:val="auto"/>
                <w:spacing w:val="0"/>
                <w:position w:val="0"/>
                <w:sz w:val="24"/>
                <w:szCs w:val="24"/>
                <w:highlight w:val="none"/>
                <w:lang w:eastAsia="zh-CN"/>
              </w:rPr>
            </w:pPr>
            <w:r>
              <w:rPr>
                <w:rFonts w:hint="default" w:ascii="Times New Roman" w:hAnsi="Times New Roman" w:eastAsia="宋体" w:cs="Times New Roman"/>
                <w:bCs/>
                <w:color w:val="auto"/>
                <w:spacing w:val="0"/>
                <w:position w:val="0"/>
                <w:sz w:val="24"/>
                <w:szCs w:val="24"/>
                <w:highlight w:val="none"/>
              </w:rPr>
              <w:t>建设性质：</w:t>
            </w:r>
            <w:r>
              <w:rPr>
                <w:rFonts w:hint="default" w:ascii="Times New Roman" w:hAnsi="Times New Roman" w:cs="Times New Roman"/>
                <w:bCs/>
                <w:color w:val="auto"/>
                <w:spacing w:val="0"/>
                <w:position w:val="0"/>
                <w:sz w:val="24"/>
                <w:szCs w:val="24"/>
                <w:highlight w:val="none"/>
                <w:lang w:val="en-US" w:eastAsia="zh-CN"/>
              </w:rPr>
              <w:t>新建</w:t>
            </w:r>
          </w:p>
          <w:p w14:paraId="5C7944CA">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Cs/>
                <w:color w:val="auto"/>
                <w:spacing w:val="0"/>
                <w:position w:val="0"/>
                <w:sz w:val="24"/>
                <w:szCs w:val="24"/>
                <w:highlight w:val="none"/>
              </w:rPr>
            </w:pPr>
            <w:r>
              <w:rPr>
                <w:rFonts w:hint="default" w:ascii="Times New Roman" w:hAnsi="Times New Roman" w:eastAsia="宋体" w:cs="Times New Roman"/>
                <w:bCs/>
                <w:color w:val="auto"/>
                <w:spacing w:val="0"/>
                <w:position w:val="0"/>
                <w:sz w:val="24"/>
                <w:szCs w:val="24"/>
                <w:highlight w:val="none"/>
              </w:rPr>
              <w:t>年运行时间：年运行时间</w:t>
            </w:r>
            <w:r>
              <w:rPr>
                <w:rFonts w:hint="default" w:ascii="Times New Roman" w:hAnsi="Times New Roman" w:cs="Times New Roman"/>
                <w:bCs/>
                <w:color w:val="auto"/>
                <w:spacing w:val="0"/>
                <w:position w:val="0"/>
                <w:sz w:val="24"/>
                <w:szCs w:val="24"/>
                <w:highlight w:val="none"/>
                <w:lang w:val="en-US" w:eastAsia="zh-CN"/>
              </w:rPr>
              <w:t>35</w:t>
            </w:r>
            <w:r>
              <w:rPr>
                <w:rFonts w:hint="default" w:ascii="Times New Roman" w:hAnsi="Times New Roman" w:eastAsia="宋体" w:cs="Times New Roman"/>
                <w:bCs/>
                <w:color w:val="auto"/>
                <w:spacing w:val="0"/>
                <w:position w:val="0"/>
                <w:sz w:val="24"/>
                <w:szCs w:val="24"/>
                <w:highlight w:val="none"/>
              </w:rPr>
              <w:t>0d，24 h连续运行。</w:t>
            </w:r>
          </w:p>
          <w:p w14:paraId="6187F1E3">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Cs/>
                <w:color w:val="auto"/>
                <w:spacing w:val="0"/>
                <w:position w:val="0"/>
                <w:sz w:val="24"/>
                <w:szCs w:val="24"/>
                <w:highlight w:val="none"/>
              </w:rPr>
            </w:pPr>
            <w:r>
              <w:rPr>
                <w:rFonts w:hint="default" w:ascii="Times New Roman" w:hAnsi="Times New Roman" w:eastAsia="宋体" w:cs="Times New Roman"/>
                <w:bCs/>
                <w:color w:val="auto"/>
                <w:spacing w:val="0"/>
                <w:position w:val="0"/>
                <w:sz w:val="24"/>
                <w:szCs w:val="24"/>
                <w:highlight w:val="none"/>
              </w:rPr>
              <w:t>本项目组成见表2-1。</w:t>
            </w:r>
          </w:p>
          <w:p w14:paraId="7D9E8ACF">
            <w:pPr>
              <w:keepNext w:val="0"/>
              <w:keepLines w:val="0"/>
              <w:pageBreakBefore w:val="0"/>
              <w:tabs>
                <w:tab w:val="left" w:pos="3522"/>
              </w:tabs>
              <w:kinsoku/>
              <w:wordWrap/>
              <w:overflowPunct/>
              <w:topLinePunct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color w:val="auto"/>
                <w:spacing w:val="0"/>
                <w:position w:val="0"/>
                <w:sz w:val="24"/>
                <w:szCs w:val="24"/>
                <w:highlight w:val="none"/>
              </w:rPr>
            </w:pPr>
            <w:r>
              <w:rPr>
                <w:rFonts w:hint="default" w:ascii="Times New Roman" w:hAnsi="Times New Roman" w:eastAsia="宋体" w:cs="Times New Roman"/>
                <w:b/>
                <w:color w:val="auto"/>
                <w:spacing w:val="0"/>
                <w:position w:val="0"/>
                <w:sz w:val="24"/>
                <w:szCs w:val="24"/>
                <w:highlight w:val="none"/>
              </w:rPr>
              <w:t>表2-1 组成一览表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6"/>
              <w:gridCol w:w="682"/>
              <w:gridCol w:w="855"/>
              <w:gridCol w:w="5491"/>
              <w:gridCol w:w="683"/>
            </w:tblGrid>
            <w:tr w14:paraId="6CB0AF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noWrap w:val="0"/>
                  <w:vAlign w:val="center"/>
                </w:tcPr>
                <w:p w14:paraId="425BD08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类别</w:t>
                  </w:r>
                </w:p>
              </w:tc>
              <w:tc>
                <w:tcPr>
                  <w:tcW w:w="1537" w:type="dxa"/>
                  <w:gridSpan w:val="2"/>
                  <w:noWrap w:val="0"/>
                  <w:vAlign w:val="center"/>
                </w:tcPr>
                <w:p w14:paraId="4089441D">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kern w:val="0"/>
                      <w:position w:val="0"/>
                      <w:sz w:val="21"/>
                      <w:szCs w:val="21"/>
                      <w:highlight w:val="none"/>
                    </w:rPr>
                  </w:pPr>
                  <w:r>
                    <w:rPr>
                      <w:rFonts w:hint="default" w:ascii="Times New Roman" w:hAnsi="Times New Roman" w:eastAsia="宋体" w:cs="Times New Roman"/>
                      <w:bCs/>
                      <w:color w:val="auto"/>
                      <w:spacing w:val="0"/>
                      <w:kern w:val="0"/>
                      <w:position w:val="0"/>
                      <w:sz w:val="21"/>
                      <w:szCs w:val="21"/>
                      <w:highlight w:val="none"/>
                    </w:rPr>
                    <w:t>名称</w:t>
                  </w:r>
                </w:p>
              </w:tc>
              <w:tc>
                <w:tcPr>
                  <w:tcW w:w="5491" w:type="dxa"/>
                  <w:noWrap w:val="0"/>
                  <w:vAlign w:val="center"/>
                </w:tcPr>
                <w:p w14:paraId="549457E2">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内容及规模</w:t>
                  </w:r>
                </w:p>
              </w:tc>
              <w:tc>
                <w:tcPr>
                  <w:tcW w:w="683" w:type="dxa"/>
                  <w:noWrap w:val="0"/>
                  <w:vAlign w:val="center"/>
                </w:tcPr>
                <w:p w14:paraId="1D44757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备注</w:t>
                  </w:r>
                </w:p>
              </w:tc>
            </w:tr>
            <w:tr w14:paraId="2B467B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restart"/>
                  <w:noWrap w:val="0"/>
                  <w:vAlign w:val="center"/>
                </w:tcPr>
                <w:p w14:paraId="4550CC2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主体工程</w:t>
                  </w:r>
                </w:p>
              </w:tc>
              <w:tc>
                <w:tcPr>
                  <w:tcW w:w="1537" w:type="dxa"/>
                  <w:gridSpan w:val="2"/>
                  <w:noWrap w:val="0"/>
                  <w:vAlign w:val="center"/>
                </w:tcPr>
                <w:p w14:paraId="44103296">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kern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预处理车间</w:t>
                  </w:r>
                </w:p>
              </w:tc>
              <w:tc>
                <w:tcPr>
                  <w:tcW w:w="5491" w:type="dxa"/>
                  <w:noWrap w:val="0"/>
                  <w:vAlign w:val="center"/>
                </w:tcPr>
                <w:p w14:paraId="45E2380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eastAsia="zh-CN"/>
                    </w:rPr>
                  </w:pPr>
                  <w:r>
                    <w:rPr>
                      <w:rFonts w:hint="default" w:ascii="Times New Roman" w:hAnsi="Times New Roman" w:cs="Times New Roman"/>
                      <w:bCs/>
                      <w:color w:val="auto"/>
                      <w:spacing w:val="0"/>
                      <w:position w:val="0"/>
                      <w:sz w:val="21"/>
                      <w:szCs w:val="21"/>
                      <w:highlight w:val="none"/>
                      <w:lang w:val="en-US" w:eastAsia="zh-CN"/>
                    </w:rPr>
                    <w:t>占地</w:t>
                  </w:r>
                  <w:r>
                    <w:rPr>
                      <w:rFonts w:hint="default" w:ascii="Times New Roman" w:hAnsi="Times New Roman" w:eastAsia="宋体" w:cs="Times New Roman"/>
                      <w:bCs/>
                      <w:color w:val="auto"/>
                      <w:spacing w:val="0"/>
                      <w:position w:val="0"/>
                      <w:sz w:val="21"/>
                      <w:szCs w:val="21"/>
                      <w:highlight w:val="none"/>
                    </w:rPr>
                    <w:t>面积3</w:t>
                  </w:r>
                  <w:r>
                    <w:rPr>
                      <w:rFonts w:hint="default" w:ascii="Times New Roman" w:hAnsi="Times New Roman" w:cs="Times New Roman"/>
                      <w:bCs/>
                      <w:color w:val="auto"/>
                      <w:spacing w:val="0"/>
                      <w:position w:val="0"/>
                      <w:sz w:val="21"/>
                      <w:szCs w:val="21"/>
                      <w:highlight w:val="none"/>
                      <w:lang w:val="en-US" w:eastAsia="zh-CN"/>
                    </w:rPr>
                    <w:t>00</w:t>
                  </w:r>
                  <w:r>
                    <w:rPr>
                      <w:rFonts w:hint="default" w:ascii="Times New Roman" w:hAnsi="Times New Roman" w:eastAsia="宋体" w:cs="Times New Roman"/>
                      <w:bCs/>
                      <w:color w:val="auto"/>
                      <w:spacing w:val="0"/>
                      <w:position w:val="0"/>
                      <w:sz w:val="21"/>
                      <w:szCs w:val="21"/>
                      <w:highlight w:val="none"/>
                    </w:rPr>
                    <w:t>m</w:t>
                  </w:r>
                  <w:r>
                    <w:rPr>
                      <w:rFonts w:hint="default" w:ascii="Times New Roman" w:hAnsi="Times New Roman" w:eastAsia="宋体" w:cs="Times New Roman"/>
                      <w:bCs/>
                      <w:color w:val="auto"/>
                      <w:spacing w:val="0"/>
                      <w:position w:val="0"/>
                      <w:sz w:val="21"/>
                      <w:szCs w:val="21"/>
                      <w:highlight w:val="none"/>
                      <w:vertAlign w:val="superscript"/>
                    </w:rPr>
                    <w:t>2</w:t>
                  </w:r>
                  <w:r>
                    <w:rPr>
                      <w:rFonts w:hint="default" w:ascii="Times New Roman" w:hAnsi="Times New Roman" w:eastAsia="宋体" w:cs="Times New Roman"/>
                      <w:bCs/>
                      <w:color w:val="auto"/>
                      <w:spacing w:val="0"/>
                      <w:position w:val="0"/>
                      <w:sz w:val="21"/>
                      <w:szCs w:val="21"/>
                      <w:highlight w:val="none"/>
                    </w:rPr>
                    <w:t>，</w:t>
                  </w:r>
                  <w:r>
                    <w:rPr>
                      <w:rFonts w:hint="default" w:ascii="Times New Roman" w:hAnsi="Times New Roman" w:eastAsia="宋体" w:cs="Times New Roman"/>
                      <w:bCs/>
                      <w:color w:val="auto"/>
                      <w:spacing w:val="0"/>
                      <w:position w:val="0"/>
                      <w:sz w:val="21"/>
                      <w:szCs w:val="21"/>
                      <w:highlight w:val="none"/>
                      <w:lang w:eastAsia="zh-CN"/>
                    </w:rPr>
                    <w:t>车间高度</w:t>
                  </w:r>
                  <w:r>
                    <w:rPr>
                      <w:rFonts w:hint="default" w:ascii="Times New Roman" w:hAnsi="Times New Roman" w:eastAsia="宋体" w:cs="Times New Roman"/>
                      <w:bCs/>
                      <w:color w:val="auto"/>
                      <w:spacing w:val="0"/>
                      <w:position w:val="0"/>
                      <w:sz w:val="21"/>
                      <w:szCs w:val="21"/>
                      <w:highlight w:val="none"/>
                      <w:lang w:val="en-US" w:eastAsia="zh-CN"/>
                    </w:rPr>
                    <w:t>12m</w:t>
                  </w:r>
                  <w:r>
                    <w:rPr>
                      <w:rFonts w:hint="default" w:ascii="Times New Roman" w:hAnsi="Times New Roman" w:eastAsia="宋体" w:cs="Times New Roman"/>
                      <w:bCs/>
                      <w:color w:val="auto"/>
                      <w:spacing w:val="0"/>
                      <w:position w:val="0"/>
                      <w:sz w:val="21"/>
                      <w:szCs w:val="21"/>
                      <w:highlight w:val="none"/>
                    </w:rPr>
                    <w:t>，</w:t>
                  </w:r>
                  <w:r>
                    <w:rPr>
                      <w:rFonts w:hint="default" w:ascii="Times New Roman" w:hAnsi="Times New Roman" w:cs="Times New Roman"/>
                      <w:bCs/>
                      <w:color w:val="auto"/>
                      <w:spacing w:val="0"/>
                      <w:position w:val="0"/>
                      <w:sz w:val="21"/>
                      <w:szCs w:val="21"/>
                      <w:highlight w:val="none"/>
                      <w:lang w:val="en-US" w:eastAsia="zh-CN"/>
                    </w:rPr>
                    <w:t>建有</w:t>
                  </w:r>
                  <w:r>
                    <w:rPr>
                      <w:rFonts w:hint="default" w:ascii="Times New Roman" w:hAnsi="Times New Roman" w:eastAsia="宋体" w:cs="Times New Roman"/>
                      <w:bCs/>
                      <w:color w:val="auto"/>
                      <w:spacing w:val="0"/>
                      <w:position w:val="0"/>
                      <w:sz w:val="21"/>
                      <w:szCs w:val="21"/>
                      <w:highlight w:val="none"/>
                    </w:rPr>
                    <w:t>1条</w:t>
                  </w:r>
                  <w:r>
                    <w:rPr>
                      <w:rFonts w:hint="default" w:ascii="Times New Roman" w:hAnsi="Times New Roman" w:cs="Times New Roman"/>
                      <w:bCs/>
                      <w:color w:val="auto"/>
                      <w:spacing w:val="0"/>
                      <w:position w:val="0"/>
                      <w:sz w:val="21"/>
                      <w:szCs w:val="21"/>
                      <w:highlight w:val="none"/>
                      <w:lang w:val="en-US" w:eastAsia="zh-CN"/>
                    </w:rPr>
                    <w:t>288</w:t>
                  </w:r>
                  <w:r>
                    <w:rPr>
                      <w:rFonts w:hint="default" w:ascii="Times New Roman" w:hAnsi="Times New Roman" w:eastAsia="宋体" w:cs="Times New Roman"/>
                      <w:bCs/>
                      <w:color w:val="auto"/>
                      <w:spacing w:val="0"/>
                      <w:position w:val="0"/>
                      <w:sz w:val="21"/>
                      <w:szCs w:val="21"/>
                      <w:highlight w:val="none"/>
                    </w:rPr>
                    <w:t>t/d米糠制油预处理生产线，设置米糠清理、膨化、烘干等工序，设置</w:t>
                  </w:r>
                  <w:r>
                    <w:rPr>
                      <w:rFonts w:hint="default" w:ascii="Times New Roman" w:hAnsi="Times New Roman" w:eastAsia="宋体" w:cs="Times New Roman"/>
                      <w:color w:val="auto"/>
                      <w:spacing w:val="0"/>
                      <w:kern w:val="0"/>
                      <w:position w:val="0"/>
                      <w:sz w:val="21"/>
                      <w:szCs w:val="21"/>
                      <w:highlight w:val="none"/>
                      <w:lang w:bidi="ar"/>
                    </w:rPr>
                    <w:t>平板烘干机、膨化机等设备</w:t>
                  </w:r>
                  <w:r>
                    <w:rPr>
                      <w:rFonts w:hint="default" w:ascii="Times New Roman" w:hAnsi="Times New Roman" w:cs="Times New Roman"/>
                      <w:color w:val="auto"/>
                      <w:spacing w:val="0"/>
                      <w:kern w:val="0"/>
                      <w:position w:val="0"/>
                      <w:sz w:val="21"/>
                      <w:szCs w:val="21"/>
                      <w:highlight w:val="none"/>
                      <w:lang w:eastAsia="zh-CN" w:bidi="ar"/>
                    </w:rPr>
                    <w:t>；</w:t>
                  </w:r>
                  <w:r>
                    <w:rPr>
                      <w:rFonts w:hint="default" w:ascii="Times New Roman" w:hAnsi="Times New Roman" w:eastAsia="宋体" w:cs="Times New Roman"/>
                      <w:color w:val="auto"/>
                      <w:spacing w:val="0"/>
                      <w:kern w:val="0"/>
                      <w:position w:val="0"/>
                      <w:sz w:val="21"/>
                      <w:szCs w:val="21"/>
                      <w:highlight w:val="none"/>
                      <w:lang w:bidi="ar"/>
                    </w:rPr>
                    <w:t>建</w:t>
                  </w:r>
                  <w:r>
                    <w:rPr>
                      <w:rFonts w:hint="default" w:ascii="Times New Roman" w:hAnsi="Times New Roman" w:cs="Times New Roman"/>
                      <w:color w:val="auto"/>
                      <w:spacing w:val="0"/>
                      <w:kern w:val="0"/>
                      <w:position w:val="0"/>
                      <w:sz w:val="21"/>
                      <w:szCs w:val="21"/>
                      <w:highlight w:val="none"/>
                      <w:lang w:val="en-US" w:eastAsia="zh-CN" w:bidi="ar"/>
                    </w:rPr>
                    <w:t>有1</w:t>
                  </w:r>
                  <w:r>
                    <w:rPr>
                      <w:rFonts w:hint="default" w:ascii="Times New Roman" w:hAnsi="Times New Roman" w:eastAsia="宋体" w:cs="Times New Roman"/>
                      <w:color w:val="auto"/>
                      <w:spacing w:val="0"/>
                      <w:kern w:val="0"/>
                      <w:position w:val="0"/>
                      <w:sz w:val="21"/>
                      <w:szCs w:val="21"/>
                      <w:highlight w:val="none"/>
                      <w:lang w:bidi="ar"/>
                    </w:rPr>
                    <w:t>条</w:t>
                  </w:r>
                  <w:r>
                    <w:rPr>
                      <w:rFonts w:hint="default" w:ascii="Times New Roman" w:hAnsi="Times New Roman" w:cs="Times New Roman"/>
                      <w:color w:val="auto"/>
                      <w:spacing w:val="0"/>
                      <w:kern w:val="0"/>
                      <w:position w:val="0"/>
                      <w:sz w:val="21"/>
                      <w:szCs w:val="21"/>
                      <w:highlight w:val="none"/>
                      <w:lang w:val="en-US" w:eastAsia="zh-CN" w:bidi="ar"/>
                    </w:rPr>
                    <w:t>90</w:t>
                  </w:r>
                  <w:r>
                    <w:rPr>
                      <w:rFonts w:hint="default" w:ascii="Times New Roman" w:hAnsi="Times New Roman" w:eastAsia="宋体" w:cs="Times New Roman"/>
                      <w:color w:val="auto"/>
                      <w:spacing w:val="0"/>
                      <w:kern w:val="0"/>
                      <w:position w:val="0"/>
                      <w:sz w:val="21"/>
                      <w:szCs w:val="21"/>
                      <w:highlight w:val="none"/>
                      <w:lang w:bidi="ar"/>
                    </w:rPr>
                    <w:t>t/d冷榨豆油生产线，</w:t>
                  </w:r>
                  <w:r>
                    <w:rPr>
                      <w:rFonts w:hint="default" w:ascii="Times New Roman" w:hAnsi="Times New Roman" w:cs="Times New Roman"/>
                      <w:color w:val="auto"/>
                      <w:spacing w:val="0"/>
                      <w:kern w:val="0"/>
                      <w:position w:val="0"/>
                      <w:sz w:val="21"/>
                      <w:szCs w:val="21"/>
                      <w:highlight w:val="none"/>
                      <w:lang w:val="en-US" w:eastAsia="zh-CN" w:bidi="ar"/>
                    </w:rPr>
                    <w:t>设置大豆清理、软化、轧胚、蒸炒、压榨等工序，设置分选筛、</w:t>
                  </w:r>
                  <w:r>
                    <w:rPr>
                      <w:rFonts w:hint="default" w:ascii="Times New Roman" w:hAnsi="Times New Roman" w:eastAsia="宋体" w:cs="Times New Roman"/>
                      <w:color w:val="auto"/>
                      <w:spacing w:val="0"/>
                      <w:kern w:val="0"/>
                      <w:position w:val="0"/>
                      <w:sz w:val="21"/>
                      <w:szCs w:val="21"/>
                      <w:highlight w:val="none"/>
                      <w:lang w:bidi="ar"/>
                    </w:rPr>
                    <w:t>榨油机</w:t>
                  </w:r>
                  <w:r>
                    <w:rPr>
                      <w:rFonts w:hint="default" w:ascii="Times New Roman" w:hAnsi="Times New Roman" w:cs="Times New Roman"/>
                      <w:color w:val="auto"/>
                      <w:spacing w:val="0"/>
                      <w:kern w:val="0"/>
                      <w:position w:val="0"/>
                      <w:sz w:val="21"/>
                      <w:szCs w:val="21"/>
                      <w:highlight w:val="none"/>
                      <w:lang w:val="en-US" w:eastAsia="zh-CN" w:bidi="ar"/>
                    </w:rPr>
                    <w:t>等设备</w:t>
                  </w:r>
                  <w:r>
                    <w:rPr>
                      <w:rFonts w:hint="default" w:ascii="Times New Roman" w:hAnsi="Times New Roman" w:cs="Times New Roman"/>
                      <w:color w:val="auto"/>
                      <w:spacing w:val="0"/>
                      <w:kern w:val="0"/>
                      <w:position w:val="0"/>
                      <w:sz w:val="21"/>
                      <w:szCs w:val="21"/>
                      <w:highlight w:val="none"/>
                      <w:lang w:eastAsia="zh-CN" w:bidi="ar"/>
                    </w:rPr>
                    <w:t>。</w:t>
                  </w:r>
                </w:p>
              </w:tc>
              <w:tc>
                <w:tcPr>
                  <w:tcW w:w="683" w:type="dxa"/>
                  <w:noWrap w:val="0"/>
                  <w:vAlign w:val="center"/>
                </w:tcPr>
                <w:p w14:paraId="7D8BEF6D">
                  <w:pPr>
                    <w:pStyle w:val="53"/>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eastAsia="宋体" w:cs="Times New Roman"/>
                      <w:bCs/>
                      <w:color w:val="auto"/>
                      <w:spacing w:val="0"/>
                      <w:position w:val="0"/>
                      <w:sz w:val="21"/>
                      <w:szCs w:val="21"/>
                      <w:highlight w:val="none"/>
                    </w:rPr>
                    <w:t>依托</w:t>
                  </w:r>
                  <w:r>
                    <w:rPr>
                      <w:rFonts w:hint="default" w:ascii="Times New Roman" w:hAnsi="Times New Roman" w:cs="Times New Roman"/>
                      <w:bCs/>
                      <w:color w:val="auto"/>
                      <w:spacing w:val="0"/>
                      <w:position w:val="0"/>
                      <w:sz w:val="21"/>
                      <w:szCs w:val="21"/>
                      <w:highlight w:val="none"/>
                      <w:lang w:val="en-US" w:eastAsia="zh-CN"/>
                    </w:rPr>
                    <w:t>现有</w:t>
                  </w:r>
                </w:p>
              </w:tc>
            </w:tr>
            <w:tr w14:paraId="6AE69B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14724E7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40378E30">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浸出车间</w:t>
                  </w:r>
                </w:p>
              </w:tc>
              <w:tc>
                <w:tcPr>
                  <w:tcW w:w="5491" w:type="dxa"/>
                  <w:noWrap w:val="0"/>
                  <w:vAlign w:val="center"/>
                </w:tcPr>
                <w:p w14:paraId="3E618C3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cs="Times New Roman"/>
                      <w:bCs/>
                      <w:color w:val="auto"/>
                      <w:spacing w:val="0"/>
                      <w:position w:val="0"/>
                      <w:sz w:val="21"/>
                      <w:szCs w:val="21"/>
                      <w:highlight w:val="none"/>
                      <w:lang w:val="en-US" w:eastAsia="zh-CN"/>
                    </w:rPr>
                    <w:t>占地</w:t>
                  </w:r>
                  <w:r>
                    <w:rPr>
                      <w:rFonts w:hint="default" w:ascii="Times New Roman" w:hAnsi="Times New Roman" w:eastAsia="宋体" w:cs="Times New Roman"/>
                      <w:bCs/>
                      <w:color w:val="auto"/>
                      <w:spacing w:val="0"/>
                      <w:position w:val="0"/>
                      <w:sz w:val="21"/>
                      <w:szCs w:val="21"/>
                      <w:highlight w:val="none"/>
                    </w:rPr>
                    <w:t>面积</w:t>
                  </w:r>
                  <w:r>
                    <w:rPr>
                      <w:rFonts w:hint="default" w:ascii="Times New Roman" w:hAnsi="Times New Roman" w:cs="Times New Roman"/>
                      <w:bCs/>
                      <w:color w:val="auto"/>
                      <w:spacing w:val="0"/>
                      <w:position w:val="0"/>
                      <w:sz w:val="21"/>
                      <w:szCs w:val="21"/>
                      <w:highlight w:val="none"/>
                      <w:lang w:val="en-US" w:eastAsia="zh-CN"/>
                    </w:rPr>
                    <w:t>527.25</w:t>
                  </w:r>
                  <w:r>
                    <w:rPr>
                      <w:rFonts w:hint="default" w:ascii="Times New Roman" w:hAnsi="Times New Roman" w:eastAsia="宋体" w:cs="Times New Roman"/>
                      <w:bCs/>
                      <w:color w:val="auto"/>
                      <w:spacing w:val="0"/>
                      <w:position w:val="0"/>
                      <w:sz w:val="21"/>
                      <w:szCs w:val="21"/>
                      <w:highlight w:val="none"/>
                    </w:rPr>
                    <w:t>m</w:t>
                  </w:r>
                  <w:r>
                    <w:rPr>
                      <w:rFonts w:hint="default" w:ascii="Times New Roman" w:hAnsi="Times New Roman" w:eastAsia="宋体" w:cs="Times New Roman"/>
                      <w:bCs/>
                      <w:color w:val="auto"/>
                      <w:spacing w:val="0"/>
                      <w:position w:val="0"/>
                      <w:sz w:val="21"/>
                      <w:szCs w:val="21"/>
                      <w:highlight w:val="none"/>
                      <w:vertAlign w:val="superscript"/>
                    </w:rPr>
                    <w:t>2</w:t>
                  </w:r>
                  <w:r>
                    <w:rPr>
                      <w:rFonts w:hint="default" w:ascii="Times New Roman" w:hAnsi="Times New Roman" w:eastAsia="宋体" w:cs="Times New Roman"/>
                      <w:bCs/>
                      <w:color w:val="auto"/>
                      <w:spacing w:val="0"/>
                      <w:position w:val="0"/>
                      <w:sz w:val="21"/>
                      <w:szCs w:val="21"/>
                      <w:highlight w:val="none"/>
                    </w:rPr>
                    <w:t>，</w:t>
                  </w:r>
                  <w:r>
                    <w:rPr>
                      <w:rFonts w:hint="default" w:ascii="Times New Roman" w:hAnsi="Times New Roman" w:eastAsia="宋体" w:cs="Times New Roman"/>
                      <w:bCs/>
                      <w:color w:val="auto"/>
                      <w:spacing w:val="0"/>
                      <w:position w:val="0"/>
                      <w:sz w:val="21"/>
                      <w:szCs w:val="21"/>
                      <w:highlight w:val="none"/>
                      <w:lang w:eastAsia="zh-CN"/>
                    </w:rPr>
                    <w:t>车间高度</w:t>
                  </w:r>
                  <w:r>
                    <w:rPr>
                      <w:rFonts w:hint="default" w:ascii="Times New Roman" w:hAnsi="Times New Roman" w:eastAsia="宋体" w:cs="Times New Roman"/>
                      <w:bCs/>
                      <w:color w:val="auto"/>
                      <w:spacing w:val="0"/>
                      <w:position w:val="0"/>
                      <w:sz w:val="21"/>
                      <w:szCs w:val="21"/>
                      <w:highlight w:val="none"/>
                      <w:lang w:val="en-US" w:eastAsia="zh-CN"/>
                    </w:rPr>
                    <w:t>12m，</w:t>
                  </w:r>
                  <w:r>
                    <w:rPr>
                      <w:rFonts w:hint="default" w:ascii="Times New Roman" w:hAnsi="Times New Roman" w:cs="Times New Roman"/>
                      <w:bCs/>
                      <w:color w:val="auto"/>
                      <w:spacing w:val="0"/>
                      <w:position w:val="0"/>
                      <w:sz w:val="21"/>
                      <w:szCs w:val="21"/>
                      <w:highlight w:val="none"/>
                      <w:lang w:val="en-US" w:eastAsia="zh-CN"/>
                    </w:rPr>
                    <w:t>建有</w:t>
                  </w:r>
                  <w:r>
                    <w:rPr>
                      <w:rFonts w:hint="default" w:ascii="Times New Roman" w:hAnsi="Times New Roman" w:eastAsia="宋体" w:cs="Times New Roman"/>
                      <w:bCs/>
                      <w:color w:val="auto"/>
                      <w:spacing w:val="0"/>
                      <w:position w:val="0"/>
                      <w:sz w:val="21"/>
                      <w:szCs w:val="21"/>
                      <w:highlight w:val="none"/>
                    </w:rPr>
                    <w:t>1条300t/d米糠制油浸出生产线，设置浸出、一次蒸发、二次蒸发、汽提、蒸脱等工序，设置膨化机、汽提塔、吸收塔、脱溶机、第一蒸发器、第二蒸发器等</w:t>
                  </w:r>
                  <w:r>
                    <w:rPr>
                      <w:rFonts w:hint="default" w:ascii="Times New Roman" w:hAnsi="Times New Roman" w:eastAsia="宋体" w:cs="Times New Roman"/>
                      <w:color w:val="auto"/>
                      <w:spacing w:val="0"/>
                      <w:kern w:val="0"/>
                      <w:position w:val="0"/>
                      <w:sz w:val="21"/>
                      <w:szCs w:val="21"/>
                      <w:highlight w:val="none"/>
                      <w:lang w:bidi="ar"/>
                    </w:rPr>
                    <w:t>设备。</w:t>
                  </w:r>
                </w:p>
              </w:tc>
              <w:tc>
                <w:tcPr>
                  <w:tcW w:w="683" w:type="dxa"/>
                  <w:noWrap w:val="0"/>
                  <w:vAlign w:val="center"/>
                </w:tcPr>
                <w:p w14:paraId="600DFC0F">
                  <w:pPr>
                    <w:pStyle w:val="53"/>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eastAsia="宋体" w:cs="Times New Roman"/>
                      <w:bCs/>
                      <w:color w:val="auto"/>
                      <w:spacing w:val="0"/>
                      <w:position w:val="0"/>
                      <w:sz w:val="21"/>
                      <w:szCs w:val="21"/>
                      <w:highlight w:val="none"/>
                    </w:rPr>
                    <w:t>依托</w:t>
                  </w:r>
                  <w:r>
                    <w:rPr>
                      <w:rFonts w:hint="default" w:ascii="Times New Roman" w:hAnsi="Times New Roman" w:cs="Times New Roman"/>
                      <w:bCs/>
                      <w:color w:val="auto"/>
                      <w:spacing w:val="0"/>
                      <w:position w:val="0"/>
                      <w:sz w:val="21"/>
                      <w:szCs w:val="21"/>
                      <w:highlight w:val="none"/>
                      <w:lang w:val="en-US" w:eastAsia="zh-CN"/>
                    </w:rPr>
                    <w:t>现有</w:t>
                  </w:r>
                </w:p>
              </w:tc>
            </w:tr>
            <w:tr w14:paraId="7BADDA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478EE7B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5A22EC01">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精炼车间</w:t>
                  </w:r>
                </w:p>
              </w:tc>
              <w:tc>
                <w:tcPr>
                  <w:tcW w:w="5491" w:type="dxa"/>
                  <w:noWrap w:val="0"/>
                  <w:vAlign w:val="center"/>
                </w:tcPr>
                <w:p w14:paraId="3715BB4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占地面积480</w:t>
                  </w:r>
                  <w:r>
                    <w:rPr>
                      <w:rFonts w:hint="default" w:ascii="Times New Roman" w:hAnsi="Times New Roman" w:eastAsia="宋体" w:cs="Times New Roman"/>
                      <w:bCs/>
                      <w:color w:val="auto"/>
                      <w:spacing w:val="0"/>
                      <w:position w:val="0"/>
                      <w:sz w:val="21"/>
                      <w:szCs w:val="21"/>
                      <w:highlight w:val="none"/>
                    </w:rPr>
                    <w:t>m</w:t>
                  </w:r>
                  <w:r>
                    <w:rPr>
                      <w:rFonts w:hint="default" w:ascii="Times New Roman" w:hAnsi="Times New Roman" w:eastAsia="宋体" w:cs="Times New Roman"/>
                      <w:bCs/>
                      <w:color w:val="auto"/>
                      <w:spacing w:val="0"/>
                      <w:position w:val="0"/>
                      <w:sz w:val="21"/>
                      <w:szCs w:val="21"/>
                      <w:highlight w:val="none"/>
                      <w:vertAlign w:val="superscript"/>
                    </w:rPr>
                    <w:t>2</w:t>
                  </w:r>
                  <w:r>
                    <w:rPr>
                      <w:rFonts w:hint="default" w:ascii="Times New Roman" w:hAnsi="Times New Roman" w:eastAsia="宋体" w:cs="Times New Roman"/>
                      <w:bCs/>
                      <w:color w:val="auto"/>
                      <w:spacing w:val="0"/>
                      <w:position w:val="0"/>
                      <w:sz w:val="21"/>
                      <w:szCs w:val="21"/>
                      <w:highlight w:val="none"/>
                    </w:rPr>
                    <w:t>，</w:t>
                  </w:r>
                  <w:r>
                    <w:rPr>
                      <w:rFonts w:hint="default" w:ascii="Times New Roman" w:hAnsi="Times New Roman" w:eastAsia="宋体" w:cs="Times New Roman"/>
                      <w:bCs/>
                      <w:color w:val="auto"/>
                      <w:spacing w:val="0"/>
                      <w:position w:val="0"/>
                      <w:sz w:val="21"/>
                      <w:szCs w:val="21"/>
                      <w:highlight w:val="none"/>
                      <w:lang w:eastAsia="zh-CN"/>
                    </w:rPr>
                    <w:t>车间高度</w:t>
                  </w:r>
                  <w:r>
                    <w:rPr>
                      <w:rFonts w:hint="default" w:ascii="Times New Roman" w:hAnsi="Times New Roman" w:eastAsia="宋体" w:cs="Times New Roman"/>
                      <w:bCs/>
                      <w:color w:val="auto"/>
                      <w:spacing w:val="0"/>
                      <w:position w:val="0"/>
                      <w:sz w:val="21"/>
                      <w:szCs w:val="21"/>
                      <w:highlight w:val="none"/>
                      <w:lang w:val="en-US" w:eastAsia="zh-CN"/>
                    </w:rPr>
                    <w:t>12m</w:t>
                  </w:r>
                  <w:r>
                    <w:rPr>
                      <w:rFonts w:hint="default" w:ascii="Times New Roman" w:hAnsi="Times New Roman" w:eastAsia="宋体" w:cs="Times New Roman"/>
                      <w:bCs/>
                      <w:color w:val="auto"/>
                      <w:spacing w:val="0"/>
                      <w:position w:val="0"/>
                      <w:sz w:val="21"/>
                      <w:szCs w:val="21"/>
                      <w:highlight w:val="none"/>
                    </w:rPr>
                    <w:t>，</w:t>
                  </w:r>
                  <w:r>
                    <w:rPr>
                      <w:rFonts w:hint="default" w:ascii="Times New Roman" w:hAnsi="Times New Roman" w:cs="Times New Roman"/>
                      <w:bCs/>
                      <w:color w:val="auto"/>
                      <w:spacing w:val="0"/>
                      <w:position w:val="0"/>
                      <w:sz w:val="21"/>
                      <w:szCs w:val="21"/>
                      <w:highlight w:val="none"/>
                      <w:lang w:val="en-US" w:eastAsia="zh-CN"/>
                    </w:rPr>
                    <w:t>建有1条13</w:t>
                  </w:r>
                  <w:r>
                    <w:rPr>
                      <w:rFonts w:hint="default" w:ascii="Times New Roman" w:hAnsi="Times New Roman" w:eastAsia="宋体" w:cs="Times New Roman"/>
                      <w:bCs/>
                      <w:color w:val="auto"/>
                      <w:spacing w:val="0"/>
                      <w:position w:val="0"/>
                      <w:sz w:val="21"/>
                      <w:szCs w:val="21"/>
                      <w:highlight w:val="none"/>
                    </w:rPr>
                    <w:t>t/d</w:t>
                  </w:r>
                  <w:r>
                    <w:rPr>
                      <w:rFonts w:hint="default" w:ascii="Times New Roman" w:hAnsi="Times New Roman" w:cs="Times New Roman"/>
                      <w:bCs/>
                      <w:color w:val="auto"/>
                      <w:spacing w:val="0"/>
                      <w:position w:val="0"/>
                      <w:sz w:val="21"/>
                      <w:szCs w:val="21"/>
                      <w:highlight w:val="none"/>
                      <w:lang w:val="en-US" w:eastAsia="zh-CN"/>
                    </w:rPr>
                    <w:t>大豆油精炼生产线，设置毛油脱胶、脱酸、脱色、脱臭等工序，设置离心机、沉淀罐、脱色塔、脱臭塔等设备。</w:t>
                  </w:r>
                </w:p>
              </w:tc>
              <w:tc>
                <w:tcPr>
                  <w:tcW w:w="683" w:type="dxa"/>
                  <w:noWrap w:val="0"/>
                  <w:vAlign w:val="center"/>
                </w:tcPr>
                <w:p w14:paraId="5D58D9AA">
                  <w:pPr>
                    <w:pStyle w:val="53"/>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依托</w:t>
                  </w:r>
                  <w:r>
                    <w:rPr>
                      <w:rFonts w:hint="default" w:ascii="Times New Roman" w:hAnsi="Times New Roman" w:cs="Times New Roman"/>
                      <w:bCs/>
                      <w:color w:val="auto"/>
                      <w:spacing w:val="0"/>
                      <w:position w:val="0"/>
                      <w:sz w:val="21"/>
                      <w:szCs w:val="21"/>
                      <w:highlight w:val="none"/>
                      <w:lang w:val="en-US" w:eastAsia="zh-CN"/>
                    </w:rPr>
                    <w:t>现有</w:t>
                  </w:r>
                </w:p>
              </w:tc>
            </w:tr>
            <w:tr w14:paraId="3CC28D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restart"/>
                  <w:noWrap w:val="0"/>
                  <w:vAlign w:val="center"/>
                </w:tcPr>
                <w:p w14:paraId="571C8F2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辅助工程</w:t>
                  </w:r>
                </w:p>
              </w:tc>
              <w:tc>
                <w:tcPr>
                  <w:tcW w:w="1537" w:type="dxa"/>
                  <w:gridSpan w:val="2"/>
                  <w:noWrap w:val="0"/>
                  <w:vAlign w:val="center"/>
                </w:tcPr>
                <w:p w14:paraId="1EA9BE17">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办公室</w:t>
                  </w:r>
                </w:p>
              </w:tc>
              <w:tc>
                <w:tcPr>
                  <w:tcW w:w="5491" w:type="dxa"/>
                  <w:noWrap w:val="0"/>
                  <w:vAlign w:val="center"/>
                </w:tcPr>
                <w:p w14:paraId="2FA248C0">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cs="Times New Roman"/>
                      <w:bCs/>
                      <w:color w:val="auto"/>
                      <w:spacing w:val="0"/>
                      <w:position w:val="0"/>
                      <w:sz w:val="21"/>
                      <w:szCs w:val="21"/>
                      <w:highlight w:val="none"/>
                      <w:lang w:val="en-US" w:eastAsia="zh-CN"/>
                    </w:rPr>
                    <w:t>占地面积825m</w:t>
                  </w:r>
                  <w:r>
                    <w:rPr>
                      <w:rFonts w:hint="default" w:ascii="Times New Roman" w:hAnsi="Times New Roman" w:cs="Times New Roman"/>
                      <w:bCs/>
                      <w:color w:val="auto"/>
                      <w:spacing w:val="0"/>
                      <w:position w:val="0"/>
                      <w:sz w:val="21"/>
                      <w:szCs w:val="21"/>
                      <w:highlight w:val="none"/>
                      <w:vertAlign w:val="superscript"/>
                      <w:lang w:val="en-US" w:eastAsia="zh-CN"/>
                    </w:rPr>
                    <w:t>2</w:t>
                  </w:r>
                  <w:r>
                    <w:rPr>
                      <w:rFonts w:hint="default" w:ascii="Times New Roman" w:hAnsi="Times New Roman" w:eastAsia="宋体" w:cs="Times New Roman"/>
                      <w:bCs/>
                      <w:color w:val="auto"/>
                      <w:spacing w:val="0"/>
                      <w:position w:val="0"/>
                      <w:sz w:val="21"/>
                      <w:szCs w:val="21"/>
                      <w:highlight w:val="none"/>
                    </w:rPr>
                    <w:t>，</w:t>
                  </w:r>
                  <w:r>
                    <w:rPr>
                      <w:rFonts w:hint="default" w:ascii="Times New Roman" w:hAnsi="Times New Roman" w:cs="Times New Roman"/>
                      <w:bCs/>
                      <w:color w:val="auto"/>
                      <w:spacing w:val="0"/>
                      <w:position w:val="0"/>
                      <w:sz w:val="21"/>
                      <w:szCs w:val="21"/>
                      <w:highlight w:val="none"/>
                      <w:lang w:val="en-US" w:eastAsia="zh-CN"/>
                    </w:rPr>
                    <w:t>4F，高13m，用于日常办公</w:t>
                  </w:r>
                  <w:r>
                    <w:rPr>
                      <w:rFonts w:hint="default" w:ascii="Times New Roman" w:hAnsi="Times New Roman" w:eastAsia="宋体" w:cs="Times New Roman"/>
                      <w:bCs/>
                      <w:color w:val="auto"/>
                      <w:spacing w:val="0"/>
                      <w:position w:val="0"/>
                      <w:sz w:val="21"/>
                      <w:szCs w:val="21"/>
                      <w:highlight w:val="none"/>
                    </w:rPr>
                    <w:t>。</w:t>
                  </w:r>
                </w:p>
              </w:tc>
              <w:tc>
                <w:tcPr>
                  <w:tcW w:w="683" w:type="dxa"/>
                  <w:noWrap w:val="0"/>
                  <w:vAlign w:val="center"/>
                </w:tcPr>
                <w:p w14:paraId="5FD5AAD1">
                  <w:pPr>
                    <w:pStyle w:val="53"/>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eastAsia="宋体" w:cs="Times New Roman"/>
                      <w:bCs/>
                      <w:color w:val="auto"/>
                      <w:spacing w:val="0"/>
                      <w:position w:val="0"/>
                      <w:sz w:val="21"/>
                      <w:szCs w:val="21"/>
                      <w:highlight w:val="none"/>
                    </w:rPr>
                    <w:t>依托</w:t>
                  </w:r>
                  <w:r>
                    <w:rPr>
                      <w:rFonts w:hint="default" w:ascii="Times New Roman" w:hAnsi="Times New Roman" w:cs="Times New Roman"/>
                      <w:bCs/>
                      <w:color w:val="auto"/>
                      <w:spacing w:val="0"/>
                      <w:position w:val="0"/>
                      <w:sz w:val="21"/>
                      <w:szCs w:val="21"/>
                      <w:highlight w:val="none"/>
                      <w:lang w:val="en-US" w:eastAsia="zh-CN"/>
                    </w:rPr>
                    <w:t>现有</w:t>
                  </w:r>
                </w:p>
              </w:tc>
            </w:tr>
            <w:tr w14:paraId="575481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35ACC2C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3853F330">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付油间</w:t>
                  </w:r>
                </w:p>
              </w:tc>
              <w:tc>
                <w:tcPr>
                  <w:tcW w:w="5491" w:type="dxa"/>
                  <w:noWrap w:val="0"/>
                  <w:vAlign w:val="center"/>
                </w:tcPr>
                <w:p w14:paraId="6FC7CE83">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占地面积48m</w:t>
                  </w:r>
                  <w:r>
                    <w:rPr>
                      <w:rFonts w:hint="default" w:ascii="Times New Roman" w:hAnsi="Times New Roman" w:cs="Times New Roman"/>
                      <w:bCs/>
                      <w:color w:val="auto"/>
                      <w:spacing w:val="0"/>
                      <w:position w:val="0"/>
                      <w:sz w:val="21"/>
                      <w:szCs w:val="21"/>
                      <w:highlight w:val="none"/>
                      <w:vertAlign w:val="superscript"/>
                      <w:lang w:val="en-US" w:eastAsia="zh-CN"/>
                    </w:rPr>
                    <w:t>2</w:t>
                  </w:r>
                  <w:r>
                    <w:rPr>
                      <w:rFonts w:hint="default" w:ascii="Times New Roman" w:hAnsi="Times New Roman" w:cs="Times New Roman"/>
                      <w:bCs/>
                      <w:color w:val="auto"/>
                      <w:spacing w:val="0"/>
                      <w:position w:val="0"/>
                      <w:sz w:val="21"/>
                      <w:szCs w:val="21"/>
                      <w:highlight w:val="none"/>
                      <w:lang w:val="en-US" w:eastAsia="zh-CN"/>
                    </w:rPr>
                    <w:t>，高4.5m，用于工作人员办公。</w:t>
                  </w:r>
                </w:p>
              </w:tc>
              <w:tc>
                <w:tcPr>
                  <w:tcW w:w="683" w:type="dxa"/>
                  <w:noWrap w:val="0"/>
                  <w:vAlign w:val="center"/>
                </w:tcPr>
                <w:p w14:paraId="2041309B">
                  <w:pPr>
                    <w:pStyle w:val="53"/>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依托</w:t>
                  </w:r>
                  <w:r>
                    <w:rPr>
                      <w:rFonts w:hint="default" w:ascii="Times New Roman" w:hAnsi="Times New Roman" w:cs="Times New Roman"/>
                      <w:bCs/>
                      <w:color w:val="auto"/>
                      <w:spacing w:val="0"/>
                      <w:position w:val="0"/>
                      <w:sz w:val="21"/>
                      <w:szCs w:val="21"/>
                      <w:highlight w:val="none"/>
                      <w:lang w:val="en-US" w:eastAsia="zh-CN"/>
                    </w:rPr>
                    <w:t>现有</w:t>
                  </w:r>
                </w:p>
              </w:tc>
            </w:tr>
            <w:tr w14:paraId="7C3DF8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7D78DEE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7CA62821">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电工房</w:t>
                  </w:r>
                </w:p>
              </w:tc>
              <w:tc>
                <w:tcPr>
                  <w:tcW w:w="5491" w:type="dxa"/>
                  <w:noWrap w:val="0"/>
                  <w:vAlign w:val="center"/>
                </w:tcPr>
                <w:p w14:paraId="0A8560D9">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占地面积120m</w:t>
                  </w:r>
                  <w:r>
                    <w:rPr>
                      <w:rFonts w:hint="default" w:ascii="Times New Roman" w:hAnsi="Times New Roman" w:cs="Times New Roman"/>
                      <w:bCs/>
                      <w:color w:val="auto"/>
                      <w:spacing w:val="0"/>
                      <w:position w:val="0"/>
                      <w:sz w:val="21"/>
                      <w:szCs w:val="21"/>
                      <w:highlight w:val="none"/>
                      <w:vertAlign w:val="superscript"/>
                      <w:lang w:val="en-US" w:eastAsia="zh-CN"/>
                    </w:rPr>
                    <w:t>2</w:t>
                  </w:r>
                  <w:r>
                    <w:rPr>
                      <w:rFonts w:hint="default" w:ascii="Times New Roman" w:hAnsi="Times New Roman" w:cs="Times New Roman"/>
                      <w:bCs/>
                      <w:color w:val="auto"/>
                      <w:spacing w:val="0"/>
                      <w:position w:val="0"/>
                      <w:sz w:val="21"/>
                      <w:szCs w:val="21"/>
                      <w:highlight w:val="none"/>
                      <w:lang w:val="en-US" w:eastAsia="zh-CN"/>
                    </w:rPr>
                    <w:t>，高4.5m，用于企业内部用电管理。</w:t>
                  </w:r>
                </w:p>
              </w:tc>
              <w:tc>
                <w:tcPr>
                  <w:tcW w:w="683" w:type="dxa"/>
                  <w:noWrap w:val="0"/>
                  <w:vAlign w:val="center"/>
                </w:tcPr>
                <w:p w14:paraId="0CAE766F">
                  <w:pPr>
                    <w:pStyle w:val="53"/>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依托</w:t>
                  </w:r>
                  <w:r>
                    <w:rPr>
                      <w:rFonts w:hint="default" w:ascii="Times New Roman" w:hAnsi="Times New Roman" w:cs="Times New Roman"/>
                      <w:bCs/>
                      <w:color w:val="auto"/>
                      <w:spacing w:val="0"/>
                      <w:position w:val="0"/>
                      <w:sz w:val="21"/>
                      <w:szCs w:val="21"/>
                      <w:highlight w:val="none"/>
                      <w:lang w:val="en-US" w:eastAsia="zh-CN"/>
                    </w:rPr>
                    <w:t>现有</w:t>
                  </w:r>
                </w:p>
              </w:tc>
            </w:tr>
            <w:tr w14:paraId="46FB3A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2BD7885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54C334BA">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上料间</w:t>
                  </w:r>
                </w:p>
              </w:tc>
              <w:tc>
                <w:tcPr>
                  <w:tcW w:w="5491" w:type="dxa"/>
                  <w:noWrap w:val="0"/>
                  <w:vAlign w:val="center"/>
                </w:tcPr>
                <w:p w14:paraId="322EADC3">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占地面积500m</w:t>
                  </w:r>
                  <w:r>
                    <w:rPr>
                      <w:rFonts w:hint="default" w:ascii="Times New Roman" w:hAnsi="Times New Roman" w:cs="Times New Roman"/>
                      <w:bCs/>
                      <w:color w:val="auto"/>
                      <w:spacing w:val="0"/>
                      <w:position w:val="0"/>
                      <w:sz w:val="21"/>
                      <w:szCs w:val="21"/>
                      <w:highlight w:val="none"/>
                      <w:vertAlign w:val="superscript"/>
                      <w:lang w:val="en-US" w:eastAsia="zh-CN"/>
                    </w:rPr>
                    <w:t>2</w:t>
                  </w:r>
                  <w:r>
                    <w:rPr>
                      <w:rFonts w:hint="default" w:ascii="Times New Roman" w:hAnsi="Times New Roman" w:cs="Times New Roman"/>
                      <w:bCs/>
                      <w:color w:val="auto"/>
                      <w:spacing w:val="0"/>
                      <w:position w:val="0"/>
                      <w:sz w:val="21"/>
                      <w:szCs w:val="21"/>
                      <w:highlight w:val="none"/>
                      <w:lang w:val="en-US" w:eastAsia="zh-CN"/>
                    </w:rPr>
                    <w:t>，高7m，</w:t>
                  </w:r>
                  <w:r>
                    <w:rPr>
                      <w:rFonts w:hint="default" w:ascii="Times New Roman" w:hAnsi="Times New Roman" w:eastAsia="宋体" w:cs="Times New Roman"/>
                      <w:bCs/>
                      <w:color w:val="auto"/>
                      <w:spacing w:val="0"/>
                      <w:position w:val="0"/>
                      <w:sz w:val="21"/>
                      <w:szCs w:val="21"/>
                      <w:highlight w:val="none"/>
                    </w:rPr>
                    <w:t>为密闭车间，</w:t>
                  </w:r>
                  <w:r>
                    <w:rPr>
                      <w:rFonts w:hint="default" w:ascii="Times New Roman" w:hAnsi="Times New Roman" w:cs="Times New Roman"/>
                      <w:bCs/>
                      <w:color w:val="auto"/>
                      <w:spacing w:val="0"/>
                      <w:position w:val="0"/>
                      <w:sz w:val="21"/>
                      <w:szCs w:val="21"/>
                      <w:highlight w:val="none"/>
                      <w:lang w:val="en-US" w:eastAsia="zh-CN"/>
                    </w:rPr>
                    <w:t>用于预处理车间上料</w:t>
                  </w:r>
                  <w:r>
                    <w:rPr>
                      <w:rFonts w:hint="default" w:ascii="Times New Roman" w:hAnsi="Times New Roman" w:eastAsia="宋体" w:cs="Times New Roman"/>
                      <w:bCs/>
                      <w:color w:val="auto"/>
                      <w:spacing w:val="0"/>
                      <w:position w:val="0"/>
                      <w:sz w:val="21"/>
                      <w:szCs w:val="21"/>
                      <w:highlight w:val="none"/>
                    </w:rPr>
                    <w:t>。</w:t>
                  </w:r>
                </w:p>
              </w:tc>
              <w:tc>
                <w:tcPr>
                  <w:tcW w:w="683" w:type="dxa"/>
                  <w:noWrap w:val="0"/>
                  <w:vAlign w:val="center"/>
                </w:tcPr>
                <w:p w14:paraId="0C0031A3">
                  <w:pPr>
                    <w:pStyle w:val="53"/>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依托</w:t>
                  </w:r>
                  <w:r>
                    <w:rPr>
                      <w:rFonts w:hint="default" w:ascii="Times New Roman" w:hAnsi="Times New Roman" w:cs="Times New Roman"/>
                      <w:bCs/>
                      <w:color w:val="auto"/>
                      <w:spacing w:val="0"/>
                      <w:position w:val="0"/>
                      <w:sz w:val="21"/>
                      <w:szCs w:val="21"/>
                      <w:highlight w:val="none"/>
                      <w:lang w:val="en-US" w:eastAsia="zh-CN"/>
                    </w:rPr>
                    <w:t>现有</w:t>
                  </w:r>
                </w:p>
              </w:tc>
            </w:tr>
            <w:tr w14:paraId="4A4A8F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7FB161D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32377D83">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锅炉房</w:t>
                  </w:r>
                </w:p>
              </w:tc>
              <w:tc>
                <w:tcPr>
                  <w:tcW w:w="5491" w:type="dxa"/>
                  <w:noWrap w:val="0"/>
                  <w:vAlign w:val="center"/>
                </w:tcPr>
                <w:p w14:paraId="4E37BE1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cs="Times New Roman"/>
                      <w:bCs/>
                      <w:color w:val="auto"/>
                      <w:spacing w:val="0"/>
                      <w:position w:val="0"/>
                      <w:sz w:val="21"/>
                      <w:szCs w:val="21"/>
                      <w:highlight w:val="none"/>
                      <w:lang w:val="en-US" w:eastAsia="zh-CN"/>
                    </w:rPr>
                    <w:t>占地面积871.2</w:t>
                  </w:r>
                  <w:r>
                    <w:rPr>
                      <w:rFonts w:hint="default" w:ascii="Times New Roman" w:hAnsi="Times New Roman" w:eastAsia="宋体" w:cs="Times New Roman"/>
                      <w:bCs/>
                      <w:color w:val="auto"/>
                      <w:spacing w:val="0"/>
                      <w:position w:val="0"/>
                      <w:sz w:val="21"/>
                      <w:szCs w:val="21"/>
                      <w:highlight w:val="none"/>
                    </w:rPr>
                    <w:t>m</w:t>
                  </w:r>
                  <w:r>
                    <w:rPr>
                      <w:rFonts w:hint="default" w:ascii="Times New Roman" w:hAnsi="Times New Roman" w:eastAsia="宋体" w:cs="Times New Roman"/>
                      <w:bCs/>
                      <w:color w:val="auto"/>
                      <w:spacing w:val="0"/>
                      <w:position w:val="0"/>
                      <w:sz w:val="21"/>
                      <w:szCs w:val="21"/>
                      <w:highlight w:val="none"/>
                      <w:vertAlign w:val="superscript"/>
                    </w:rPr>
                    <w:t>2</w:t>
                  </w:r>
                  <w:r>
                    <w:rPr>
                      <w:rFonts w:hint="default" w:ascii="Times New Roman" w:hAnsi="Times New Roman" w:eastAsia="宋体" w:cs="Times New Roman"/>
                      <w:bCs/>
                      <w:color w:val="auto"/>
                      <w:spacing w:val="0"/>
                      <w:position w:val="0"/>
                      <w:sz w:val="21"/>
                      <w:szCs w:val="21"/>
                      <w:highlight w:val="none"/>
                    </w:rPr>
                    <w:t>，</w:t>
                  </w:r>
                  <w:r>
                    <w:rPr>
                      <w:rFonts w:hint="default" w:ascii="Times New Roman" w:hAnsi="Times New Roman" w:eastAsia="宋体" w:cs="Times New Roman"/>
                      <w:bCs/>
                      <w:color w:val="auto"/>
                      <w:spacing w:val="0"/>
                      <w:position w:val="0"/>
                      <w:sz w:val="21"/>
                      <w:szCs w:val="21"/>
                      <w:highlight w:val="none"/>
                      <w:lang w:eastAsia="zh-CN"/>
                    </w:rPr>
                    <w:t>高度</w:t>
                  </w:r>
                  <w:r>
                    <w:rPr>
                      <w:rFonts w:hint="default" w:ascii="Times New Roman" w:hAnsi="Times New Roman" w:cs="Times New Roman"/>
                      <w:bCs/>
                      <w:color w:val="auto"/>
                      <w:spacing w:val="0"/>
                      <w:position w:val="0"/>
                      <w:sz w:val="21"/>
                      <w:szCs w:val="21"/>
                      <w:highlight w:val="none"/>
                      <w:lang w:val="en-US" w:eastAsia="zh-CN"/>
                    </w:rPr>
                    <w:t>22</w:t>
                  </w:r>
                  <w:r>
                    <w:rPr>
                      <w:rFonts w:hint="default" w:ascii="Times New Roman" w:hAnsi="Times New Roman" w:eastAsia="宋体" w:cs="Times New Roman"/>
                      <w:bCs/>
                      <w:color w:val="auto"/>
                      <w:spacing w:val="0"/>
                      <w:position w:val="0"/>
                      <w:sz w:val="21"/>
                      <w:szCs w:val="21"/>
                      <w:highlight w:val="none"/>
                      <w:lang w:val="en-US" w:eastAsia="zh-CN"/>
                    </w:rPr>
                    <w:t>m</w:t>
                  </w:r>
                  <w:r>
                    <w:rPr>
                      <w:rFonts w:hint="default" w:ascii="Times New Roman" w:hAnsi="Times New Roman" w:eastAsia="宋体" w:cs="Times New Roman"/>
                      <w:bCs/>
                      <w:color w:val="auto"/>
                      <w:spacing w:val="0"/>
                      <w:position w:val="0"/>
                      <w:sz w:val="21"/>
                      <w:szCs w:val="21"/>
                      <w:highlight w:val="none"/>
                    </w:rPr>
                    <w:t>，</w:t>
                  </w:r>
                  <w:r>
                    <w:rPr>
                      <w:rFonts w:hint="default" w:ascii="Times New Roman" w:hAnsi="Times New Roman" w:cs="Times New Roman"/>
                      <w:bCs/>
                      <w:color w:val="auto"/>
                      <w:spacing w:val="0"/>
                      <w:position w:val="0"/>
                      <w:sz w:val="21"/>
                      <w:szCs w:val="21"/>
                      <w:highlight w:val="none"/>
                      <w:lang w:val="en-US" w:eastAsia="zh-CN"/>
                    </w:rPr>
                    <w:t>建有</w:t>
                  </w:r>
                  <w:r>
                    <w:rPr>
                      <w:rFonts w:hint="default" w:ascii="Times New Roman" w:hAnsi="Times New Roman" w:eastAsia="宋体" w:cs="Times New Roman"/>
                      <w:bCs/>
                      <w:color w:val="auto"/>
                      <w:spacing w:val="0"/>
                      <w:position w:val="0"/>
                      <w:sz w:val="21"/>
                      <w:szCs w:val="21"/>
                      <w:highlight w:val="none"/>
                    </w:rPr>
                    <w:t>1台</w:t>
                  </w:r>
                  <w:r>
                    <w:rPr>
                      <w:rFonts w:hint="default" w:ascii="Times New Roman" w:hAnsi="Times New Roman" w:cs="Times New Roman"/>
                      <w:bCs/>
                      <w:color w:val="auto"/>
                      <w:spacing w:val="0"/>
                      <w:position w:val="0"/>
                      <w:sz w:val="21"/>
                      <w:szCs w:val="21"/>
                      <w:highlight w:val="none"/>
                      <w:lang w:val="en-US" w:eastAsia="zh-CN"/>
                    </w:rPr>
                    <w:t>15</w:t>
                  </w:r>
                  <w:r>
                    <w:rPr>
                      <w:rFonts w:hint="default" w:ascii="Times New Roman" w:hAnsi="Times New Roman" w:eastAsia="宋体" w:cs="Times New Roman"/>
                      <w:bCs/>
                      <w:color w:val="auto"/>
                      <w:spacing w:val="0"/>
                      <w:position w:val="0"/>
                      <w:sz w:val="21"/>
                      <w:szCs w:val="21"/>
                      <w:highlight w:val="none"/>
                    </w:rPr>
                    <w:t>t/h生物质蒸汽锅炉</w:t>
                  </w:r>
                  <w:r>
                    <w:rPr>
                      <w:rFonts w:hint="default" w:ascii="Times New Roman" w:hAnsi="Times New Roman" w:cs="Times New Roman"/>
                      <w:bCs/>
                      <w:color w:val="auto"/>
                      <w:spacing w:val="0"/>
                      <w:position w:val="0"/>
                      <w:sz w:val="21"/>
                      <w:szCs w:val="21"/>
                      <w:highlight w:val="none"/>
                      <w:lang w:val="en-US" w:eastAsia="zh-CN"/>
                    </w:rPr>
                    <w:t>用于生产供热</w:t>
                  </w:r>
                  <w:r>
                    <w:rPr>
                      <w:rFonts w:hint="default" w:ascii="Times New Roman" w:hAnsi="Times New Roman" w:eastAsia="宋体" w:cs="Times New Roman"/>
                      <w:color w:val="auto"/>
                      <w:spacing w:val="0"/>
                      <w:position w:val="0"/>
                      <w:sz w:val="21"/>
                      <w:szCs w:val="21"/>
                      <w:highlight w:val="none"/>
                    </w:rPr>
                    <w:t>。</w:t>
                  </w:r>
                </w:p>
              </w:tc>
              <w:tc>
                <w:tcPr>
                  <w:tcW w:w="683" w:type="dxa"/>
                  <w:noWrap w:val="0"/>
                  <w:vAlign w:val="center"/>
                </w:tcPr>
                <w:p w14:paraId="4DD7EA67">
                  <w:pPr>
                    <w:pStyle w:val="53"/>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依托</w:t>
                  </w:r>
                  <w:r>
                    <w:rPr>
                      <w:rFonts w:hint="default" w:ascii="Times New Roman" w:hAnsi="Times New Roman" w:cs="Times New Roman"/>
                      <w:bCs/>
                      <w:color w:val="auto"/>
                      <w:spacing w:val="0"/>
                      <w:position w:val="0"/>
                      <w:sz w:val="21"/>
                      <w:szCs w:val="21"/>
                      <w:highlight w:val="none"/>
                      <w:lang w:val="en-US" w:eastAsia="zh-CN"/>
                    </w:rPr>
                    <w:t>现有</w:t>
                  </w:r>
                </w:p>
              </w:tc>
            </w:tr>
            <w:tr w14:paraId="636C7B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6F885C8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483A5D45">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设备房</w:t>
                  </w:r>
                </w:p>
              </w:tc>
              <w:tc>
                <w:tcPr>
                  <w:tcW w:w="5491" w:type="dxa"/>
                  <w:noWrap w:val="0"/>
                  <w:vAlign w:val="center"/>
                </w:tcPr>
                <w:p w14:paraId="4B47F2E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占地面积100m</w:t>
                  </w:r>
                  <w:r>
                    <w:rPr>
                      <w:rFonts w:hint="default" w:ascii="Times New Roman" w:hAnsi="Times New Roman" w:cs="Times New Roman"/>
                      <w:bCs/>
                      <w:color w:val="auto"/>
                      <w:spacing w:val="0"/>
                      <w:position w:val="0"/>
                      <w:sz w:val="21"/>
                      <w:szCs w:val="21"/>
                      <w:highlight w:val="none"/>
                      <w:vertAlign w:val="superscript"/>
                      <w:lang w:val="en-US" w:eastAsia="zh-CN"/>
                    </w:rPr>
                    <w:t>2</w:t>
                  </w:r>
                  <w:r>
                    <w:rPr>
                      <w:rFonts w:hint="default" w:ascii="Times New Roman" w:hAnsi="Times New Roman" w:cs="Times New Roman"/>
                      <w:bCs/>
                      <w:color w:val="auto"/>
                      <w:spacing w:val="0"/>
                      <w:position w:val="0"/>
                      <w:sz w:val="21"/>
                      <w:szCs w:val="21"/>
                      <w:highlight w:val="none"/>
                      <w:lang w:val="en-US" w:eastAsia="zh-CN"/>
                    </w:rPr>
                    <w:t>，高4.5m，用于储存杂物</w:t>
                  </w:r>
                  <w:r>
                    <w:rPr>
                      <w:rFonts w:hint="default" w:ascii="Times New Roman" w:hAnsi="Times New Roman" w:eastAsia="宋体" w:cs="Times New Roman"/>
                      <w:bCs/>
                      <w:color w:val="auto"/>
                      <w:spacing w:val="0"/>
                      <w:position w:val="0"/>
                      <w:sz w:val="21"/>
                      <w:szCs w:val="21"/>
                      <w:highlight w:val="none"/>
                    </w:rPr>
                    <w:t>。</w:t>
                  </w:r>
                </w:p>
              </w:tc>
              <w:tc>
                <w:tcPr>
                  <w:tcW w:w="683" w:type="dxa"/>
                  <w:noWrap w:val="0"/>
                  <w:vAlign w:val="center"/>
                </w:tcPr>
                <w:p w14:paraId="5ED899B8">
                  <w:pPr>
                    <w:pStyle w:val="53"/>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依托</w:t>
                  </w:r>
                  <w:r>
                    <w:rPr>
                      <w:rFonts w:hint="default" w:ascii="Times New Roman" w:hAnsi="Times New Roman" w:cs="Times New Roman"/>
                      <w:bCs/>
                      <w:color w:val="auto"/>
                      <w:spacing w:val="0"/>
                      <w:position w:val="0"/>
                      <w:sz w:val="21"/>
                      <w:szCs w:val="21"/>
                      <w:highlight w:val="none"/>
                      <w:lang w:val="en-US" w:eastAsia="zh-CN"/>
                    </w:rPr>
                    <w:t>现有</w:t>
                  </w:r>
                </w:p>
              </w:tc>
            </w:tr>
            <w:tr w14:paraId="30305D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37B7E7C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3AA35656">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维修工具间</w:t>
                  </w:r>
                </w:p>
              </w:tc>
              <w:tc>
                <w:tcPr>
                  <w:tcW w:w="5491" w:type="dxa"/>
                  <w:noWrap w:val="0"/>
                  <w:vAlign w:val="center"/>
                </w:tcPr>
                <w:p w14:paraId="680E019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占地面积20m</w:t>
                  </w:r>
                  <w:r>
                    <w:rPr>
                      <w:rFonts w:hint="default" w:ascii="Times New Roman" w:hAnsi="Times New Roman" w:cs="Times New Roman"/>
                      <w:bCs/>
                      <w:color w:val="auto"/>
                      <w:spacing w:val="0"/>
                      <w:position w:val="0"/>
                      <w:sz w:val="21"/>
                      <w:szCs w:val="21"/>
                      <w:highlight w:val="none"/>
                      <w:vertAlign w:val="superscript"/>
                      <w:lang w:val="en-US" w:eastAsia="zh-CN"/>
                    </w:rPr>
                    <w:t>2</w:t>
                  </w:r>
                  <w:r>
                    <w:rPr>
                      <w:rFonts w:hint="default" w:ascii="Times New Roman" w:hAnsi="Times New Roman" w:cs="Times New Roman"/>
                      <w:bCs/>
                      <w:color w:val="auto"/>
                      <w:spacing w:val="0"/>
                      <w:position w:val="0"/>
                      <w:sz w:val="21"/>
                      <w:szCs w:val="21"/>
                      <w:highlight w:val="none"/>
                      <w:lang w:val="en-US" w:eastAsia="zh-CN"/>
                    </w:rPr>
                    <w:t>，高2m，用于储存维修保养工具</w:t>
                  </w:r>
                  <w:r>
                    <w:rPr>
                      <w:rFonts w:hint="default" w:ascii="Times New Roman" w:hAnsi="Times New Roman" w:eastAsia="宋体" w:cs="Times New Roman"/>
                      <w:bCs/>
                      <w:color w:val="auto"/>
                      <w:spacing w:val="0"/>
                      <w:position w:val="0"/>
                      <w:sz w:val="21"/>
                      <w:szCs w:val="21"/>
                      <w:highlight w:val="none"/>
                    </w:rPr>
                    <w:t>。</w:t>
                  </w:r>
                </w:p>
              </w:tc>
              <w:tc>
                <w:tcPr>
                  <w:tcW w:w="683" w:type="dxa"/>
                  <w:noWrap w:val="0"/>
                  <w:vAlign w:val="center"/>
                </w:tcPr>
                <w:p w14:paraId="3931ED3F">
                  <w:pPr>
                    <w:pStyle w:val="53"/>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依托</w:t>
                  </w:r>
                  <w:r>
                    <w:rPr>
                      <w:rFonts w:hint="default" w:ascii="Times New Roman" w:hAnsi="Times New Roman" w:cs="Times New Roman"/>
                      <w:bCs/>
                      <w:color w:val="auto"/>
                      <w:spacing w:val="0"/>
                      <w:position w:val="0"/>
                      <w:sz w:val="21"/>
                      <w:szCs w:val="21"/>
                      <w:highlight w:val="none"/>
                      <w:lang w:val="en-US" w:eastAsia="zh-CN"/>
                    </w:rPr>
                    <w:t>现有</w:t>
                  </w:r>
                </w:p>
              </w:tc>
            </w:tr>
            <w:tr w14:paraId="78BB41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26A9802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5BB79815">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连廊间</w:t>
                  </w:r>
                </w:p>
              </w:tc>
              <w:tc>
                <w:tcPr>
                  <w:tcW w:w="5491" w:type="dxa"/>
                  <w:noWrap w:val="0"/>
                  <w:vAlign w:val="center"/>
                </w:tcPr>
                <w:p w14:paraId="22FA18C2">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占地面积150m</w:t>
                  </w:r>
                  <w:r>
                    <w:rPr>
                      <w:rFonts w:hint="default" w:ascii="Times New Roman" w:hAnsi="Times New Roman" w:cs="Times New Roman"/>
                      <w:bCs/>
                      <w:color w:val="auto"/>
                      <w:spacing w:val="0"/>
                      <w:position w:val="0"/>
                      <w:sz w:val="21"/>
                      <w:szCs w:val="21"/>
                      <w:highlight w:val="none"/>
                      <w:vertAlign w:val="superscript"/>
                      <w:lang w:val="en-US" w:eastAsia="zh-CN"/>
                    </w:rPr>
                    <w:t>2</w:t>
                  </w:r>
                  <w:r>
                    <w:rPr>
                      <w:rFonts w:hint="default" w:ascii="Times New Roman" w:hAnsi="Times New Roman" w:cs="Times New Roman"/>
                      <w:bCs/>
                      <w:color w:val="auto"/>
                      <w:spacing w:val="0"/>
                      <w:position w:val="0"/>
                      <w:sz w:val="21"/>
                      <w:szCs w:val="21"/>
                      <w:highlight w:val="none"/>
                      <w:lang w:val="en-US" w:eastAsia="zh-CN"/>
                    </w:rPr>
                    <w:t>，高4m，连接锅炉房与生物质燃料存储间</w:t>
                  </w:r>
                  <w:r>
                    <w:rPr>
                      <w:rFonts w:hint="default" w:ascii="Times New Roman" w:hAnsi="Times New Roman" w:eastAsia="宋体" w:cs="Times New Roman"/>
                      <w:bCs/>
                      <w:color w:val="auto"/>
                      <w:spacing w:val="0"/>
                      <w:position w:val="0"/>
                      <w:sz w:val="21"/>
                      <w:szCs w:val="21"/>
                      <w:highlight w:val="none"/>
                    </w:rPr>
                    <w:t>。</w:t>
                  </w:r>
                </w:p>
              </w:tc>
              <w:tc>
                <w:tcPr>
                  <w:tcW w:w="683" w:type="dxa"/>
                  <w:noWrap w:val="0"/>
                  <w:vAlign w:val="center"/>
                </w:tcPr>
                <w:p w14:paraId="36EC70F1">
                  <w:pPr>
                    <w:pStyle w:val="53"/>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依托</w:t>
                  </w:r>
                  <w:r>
                    <w:rPr>
                      <w:rFonts w:hint="default" w:ascii="Times New Roman" w:hAnsi="Times New Roman" w:cs="Times New Roman"/>
                      <w:bCs/>
                      <w:color w:val="auto"/>
                      <w:spacing w:val="0"/>
                      <w:position w:val="0"/>
                      <w:sz w:val="21"/>
                      <w:szCs w:val="21"/>
                      <w:highlight w:val="none"/>
                      <w:lang w:val="en-US" w:eastAsia="zh-CN"/>
                    </w:rPr>
                    <w:t>现有</w:t>
                  </w:r>
                </w:p>
              </w:tc>
            </w:tr>
            <w:tr w14:paraId="275657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restart"/>
                  <w:noWrap w:val="0"/>
                  <w:vAlign w:val="center"/>
                </w:tcPr>
                <w:p w14:paraId="4124112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储运工程</w:t>
                  </w:r>
                </w:p>
              </w:tc>
              <w:tc>
                <w:tcPr>
                  <w:tcW w:w="1537" w:type="dxa"/>
                  <w:gridSpan w:val="2"/>
                  <w:noWrap w:val="0"/>
                  <w:vAlign w:val="center"/>
                </w:tcPr>
                <w:p w14:paraId="28B00903">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生物质燃料存储间</w:t>
                  </w:r>
                </w:p>
              </w:tc>
              <w:tc>
                <w:tcPr>
                  <w:tcW w:w="5491" w:type="dxa"/>
                  <w:noWrap w:val="0"/>
                  <w:vAlign w:val="center"/>
                </w:tcPr>
                <w:p w14:paraId="16694F2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cs="Times New Roman"/>
                      <w:bCs/>
                      <w:color w:val="auto"/>
                      <w:spacing w:val="0"/>
                      <w:position w:val="0"/>
                      <w:sz w:val="21"/>
                      <w:szCs w:val="21"/>
                      <w:highlight w:val="none"/>
                      <w:lang w:val="en-US" w:eastAsia="zh-CN"/>
                    </w:rPr>
                    <w:t>占地面积3944</w:t>
                  </w:r>
                  <w:r>
                    <w:rPr>
                      <w:rFonts w:hint="default" w:ascii="Times New Roman" w:hAnsi="Times New Roman" w:eastAsia="宋体" w:cs="Times New Roman"/>
                      <w:bCs/>
                      <w:color w:val="auto"/>
                      <w:spacing w:val="0"/>
                      <w:position w:val="0"/>
                      <w:sz w:val="21"/>
                      <w:szCs w:val="21"/>
                      <w:highlight w:val="none"/>
                    </w:rPr>
                    <w:t>m</w:t>
                  </w:r>
                  <w:r>
                    <w:rPr>
                      <w:rFonts w:hint="default" w:ascii="Times New Roman" w:hAnsi="Times New Roman" w:eastAsia="宋体" w:cs="Times New Roman"/>
                      <w:bCs/>
                      <w:color w:val="auto"/>
                      <w:spacing w:val="0"/>
                      <w:position w:val="0"/>
                      <w:sz w:val="21"/>
                      <w:szCs w:val="21"/>
                      <w:highlight w:val="none"/>
                      <w:vertAlign w:val="superscript"/>
                    </w:rPr>
                    <w:t>2</w:t>
                  </w:r>
                  <w:r>
                    <w:rPr>
                      <w:rFonts w:hint="default" w:ascii="Times New Roman" w:hAnsi="Times New Roman" w:eastAsia="宋体" w:cs="Times New Roman"/>
                      <w:bCs/>
                      <w:color w:val="auto"/>
                      <w:spacing w:val="0"/>
                      <w:position w:val="0"/>
                      <w:sz w:val="21"/>
                      <w:szCs w:val="21"/>
                      <w:highlight w:val="none"/>
                    </w:rPr>
                    <w:t>，</w:t>
                  </w:r>
                  <w:r>
                    <w:rPr>
                      <w:rFonts w:hint="default" w:ascii="Times New Roman" w:hAnsi="Times New Roman" w:cs="Times New Roman"/>
                      <w:bCs/>
                      <w:color w:val="auto"/>
                      <w:spacing w:val="0"/>
                      <w:position w:val="0"/>
                      <w:sz w:val="21"/>
                      <w:szCs w:val="21"/>
                      <w:highlight w:val="none"/>
                      <w:lang w:val="en-US" w:eastAsia="zh-CN"/>
                    </w:rPr>
                    <w:t>高度14m，</w:t>
                  </w:r>
                  <w:r>
                    <w:rPr>
                      <w:rFonts w:hint="default" w:ascii="Times New Roman" w:hAnsi="Times New Roman" w:eastAsia="宋体" w:cs="Times New Roman"/>
                      <w:bCs/>
                      <w:color w:val="auto"/>
                      <w:spacing w:val="0"/>
                      <w:position w:val="0"/>
                      <w:sz w:val="21"/>
                      <w:szCs w:val="21"/>
                      <w:highlight w:val="none"/>
                    </w:rPr>
                    <w:t>为密闭车间，存储能力</w:t>
                  </w:r>
                  <w:r>
                    <w:rPr>
                      <w:rFonts w:hint="default" w:ascii="Times New Roman" w:hAnsi="Times New Roman" w:cs="Times New Roman"/>
                      <w:bCs/>
                      <w:color w:val="auto"/>
                      <w:spacing w:val="0"/>
                      <w:position w:val="0"/>
                      <w:sz w:val="21"/>
                      <w:szCs w:val="21"/>
                      <w:highlight w:val="none"/>
                      <w:lang w:val="en-US" w:eastAsia="zh-CN"/>
                    </w:rPr>
                    <w:t>40</w:t>
                  </w:r>
                  <w:r>
                    <w:rPr>
                      <w:rFonts w:hint="default" w:ascii="Times New Roman" w:hAnsi="Times New Roman" w:eastAsia="宋体" w:cs="Times New Roman"/>
                      <w:bCs/>
                      <w:color w:val="auto"/>
                      <w:spacing w:val="0"/>
                      <w:position w:val="0"/>
                      <w:sz w:val="21"/>
                      <w:szCs w:val="21"/>
                      <w:highlight w:val="none"/>
                    </w:rPr>
                    <w:t>00t，本项目生物质燃料存储量</w:t>
                  </w:r>
                  <w:r>
                    <w:rPr>
                      <w:rFonts w:hint="default" w:ascii="Times New Roman" w:hAnsi="Times New Roman" w:cs="Times New Roman"/>
                      <w:bCs/>
                      <w:color w:val="auto"/>
                      <w:spacing w:val="0"/>
                      <w:position w:val="0"/>
                      <w:sz w:val="21"/>
                      <w:szCs w:val="21"/>
                      <w:highlight w:val="none"/>
                      <w:lang w:val="en-US" w:eastAsia="zh-CN"/>
                    </w:rPr>
                    <w:t>10</w:t>
                  </w:r>
                  <w:r>
                    <w:rPr>
                      <w:rFonts w:hint="default" w:ascii="Times New Roman" w:hAnsi="Times New Roman" w:eastAsia="宋体" w:cs="Times New Roman"/>
                      <w:bCs/>
                      <w:color w:val="auto"/>
                      <w:spacing w:val="0"/>
                      <w:position w:val="0"/>
                      <w:sz w:val="21"/>
                      <w:szCs w:val="21"/>
                      <w:highlight w:val="none"/>
                    </w:rPr>
                    <w:t>00t，约10d周转一次，运输车辆采用苫布苫盖进入厂区，燃料袋装，卸车时降低卸料高度，减少扬尘排放。</w:t>
                  </w:r>
                </w:p>
              </w:tc>
              <w:tc>
                <w:tcPr>
                  <w:tcW w:w="683" w:type="dxa"/>
                  <w:noWrap w:val="0"/>
                  <w:vAlign w:val="center"/>
                </w:tcPr>
                <w:p w14:paraId="4F596286">
                  <w:pPr>
                    <w:pStyle w:val="53"/>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依托</w:t>
                  </w:r>
                  <w:r>
                    <w:rPr>
                      <w:rFonts w:hint="default" w:ascii="Times New Roman" w:hAnsi="Times New Roman" w:cs="Times New Roman"/>
                      <w:bCs/>
                      <w:color w:val="auto"/>
                      <w:spacing w:val="0"/>
                      <w:position w:val="0"/>
                      <w:sz w:val="21"/>
                      <w:szCs w:val="21"/>
                      <w:highlight w:val="none"/>
                      <w:lang w:val="en-US" w:eastAsia="zh-CN"/>
                    </w:rPr>
                    <w:t>现有</w:t>
                  </w:r>
                </w:p>
              </w:tc>
            </w:tr>
            <w:tr w14:paraId="52F17A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1F457B8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427888C2">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生物质锅炉灰渣间</w:t>
                  </w:r>
                </w:p>
              </w:tc>
              <w:tc>
                <w:tcPr>
                  <w:tcW w:w="5491" w:type="dxa"/>
                  <w:noWrap w:val="0"/>
                  <w:vAlign w:val="center"/>
                </w:tcPr>
                <w:p w14:paraId="2C8B5F1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cs="Times New Roman"/>
                      <w:bCs/>
                      <w:color w:val="auto"/>
                      <w:spacing w:val="0"/>
                      <w:position w:val="0"/>
                      <w:sz w:val="21"/>
                      <w:szCs w:val="21"/>
                      <w:highlight w:val="none"/>
                      <w:lang w:val="en-US" w:eastAsia="zh-CN"/>
                    </w:rPr>
                    <w:t>占地</w:t>
                  </w:r>
                  <w:r>
                    <w:rPr>
                      <w:rFonts w:hint="default" w:ascii="Times New Roman" w:hAnsi="Times New Roman" w:eastAsia="宋体" w:cs="Times New Roman"/>
                      <w:bCs/>
                      <w:color w:val="auto"/>
                      <w:spacing w:val="0"/>
                      <w:position w:val="0"/>
                      <w:sz w:val="21"/>
                      <w:szCs w:val="21"/>
                      <w:highlight w:val="none"/>
                    </w:rPr>
                    <w:t>面积</w:t>
                  </w:r>
                  <w:r>
                    <w:rPr>
                      <w:rFonts w:hint="default" w:ascii="Times New Roman" w:hAnsi="Times New Roman" w:cs="Times New Roman"/>
                      <w:bCs/>
                      <w:color w:val="auto"/>
                      <w:spacing w:val="0"/>
                      <w:position w:val="0"/>
                      <w:sz w:val="21"/>
                      <w:szCs w:val="21"/>
                      <w:highlight w:val="none"/>
                      <w:lang w:val="en-US" w:eastAsia="zh-CN"/>
                    </w:rPr>
                    <w:t>8</w:t>
                  </w:r>
                  <w:r>
                    <w:rPr>
                      <w:rFonts w:hint="default" w:ascii="Times New Roman" w:hAnsi="Times New Roman" w:eastAsia="宋体" w:cs="Times New Roman"/>
                      <w:bCs/>
                      <w:color w:val="auto"/>
                      <w:spacing w:val="0"/>
                      <w:position w:val="0"/>
                      <w:sz w:val="21"/>
                      <w:szCs w:val="21"/>
                      <w:highlight w:val="none"/>
                    </w:rPr>
                    <w:t>0m</w:t>
                  </w:r>
                  <w:r>
                    <w:rPr>
                      <w:rFonts w:hint="default" w:ascii="Times New Roman" w:hAnsi="Times New Roman" w:eastAsia="宋体" w:cs="Times New Roman"/>
                      <w:bCs/>
                      <w:color w:val="auto"/>
                      <w:spacing w:val="0"/>
                      <w:position w:val="0"/>
                      <w:sz w:val="21"/>
                      <w:szCs w:val="21"/>
                      <w:highlight w:val="none"/>
                      <w:vertAlign w:val="superscript"/>
                    </w:rPr>
                    <w:t>2</w:t>
                  </w:r>
                  <w:r>
                    <w:rPr>
                      <w:rFonts w:hint="default" w:ascii="Times New Roman" w:hAnsi="Times New Roman" w:eastAsia="宋体" w:cs="Times New Roman"/>
                      <w:bCs/>
                      <w:color w:val="auto"/>
                      <w:spacing w:val="0"/>
                      <w:position w:val="0"/>
                      <w:sz w:val="21"/>
                      <w:szCs w:val="21"/>
                      <w:highlight w:val="none"/>
                    </w:rPr>
                    <w:t>，</w:t>
                  </w:r>
                  <w:r>
                    <w:rPr>
                      <w:rFonts w:hint="default" w:ascii="Times New Roman" w:hAnsi="Times New Roman" w:cs="Times New Roman"/>
                      <w:bCs/>
                      <w:color w:val="auto"/>
                      <w:spacing w:val="0"/>
                      <w:position w:val="0"/>
                      <w:sz w:val="21"/>
                      <w:szCs w:val="21"/>
                      <w:highlight w:val="none"/>
                      <w:lang w:val="en-US" w:eastAsia="zh-CN"/>
                    </w:rPr>
                    <w:t>高度4m，</w:t>
                  </w:r>
                  <w:r>
                    <w:rPr>
                      <w:rFonts w:hint="default" w:ascii="Times New Roman" w:hAnsi="Times New Roman" w:eastAsia="宋体" w:cs="Times New Roman"/>
                      <w:bCs/>
                      <w:color w:val="auto"/>
                      <w:spacing w:val="0"/>
                      <w:position w:val="0"/>
                      <w:sz w:val="21"/>
                      <w:szCs w:val="21"/>
                      <w:highlight w:val="none"/>
                    </w:rPr>
                    <w:t>为密闭车间，存储能力</w:t>
                  </w:r>
                  <w:r>
                    <w:rPr>
                      <w:rFonts w:hint="default" w:ascii="Times New Roman" w:hAnsi="Times New Roman" w:cs="Times New Roman"/>
                      <w:bCs/>
                      <w:color w:val="auto"/>
                      <w:spacing w:val="0"/>
                      <w:position w:val="0"/>
                      <w:sz w:val="21"/>
                      <w:szCs w:val="21"/>
                      <w:highlight w:val="none"/>
                      <w:lang w:val="en-US" w:eastAsia="zh-CN"/>
                    </w:rPr>
                    <w:t>8</w:t>
                  </w:r>
                  <w:r>
                    <w:rPr>
                      <w:rFonts w:hint="default" w:ascii="Times New Roman" w:hAnsi="Times New Roman" w:eastAsia="宋体" w:cs="Times New Roman"/>
                      <w:bCs/>
                      <w:color w:val="auto"/>
                      <w:spacing w:val="0"/>
                      <w:position w:val="0"/>
                      <w:sz w:val="21"/>
                      <w:szCs w:val="21"/>
                      <w:highlight w:val="none"/>
                    </w:rPr>
                    <w:t>0t，生物质灰渣采用袋装存储，运输车辆采用苫布苫盖运出厂区，灰渣间定期洒水降尘，并定期吸尘。</w:t>
                  </w:r>
                </w:p>
              </w:tc>
              <w:tc>
                <w:tcPr>
                  <w:tcW w:w="683" w:type="dxa"/>
                  <w:noWrap w:val="0"/>
                  <w:vAlign w:val="center"/>
                </w:tcPr>
                <w:p w14:paraId="0301907F">
                  <w:pPr>
                    <w:pStyle w:val="53"/>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依托</w:t>
                  </w:r>
                  <w:r>
                    <w:rPr>
                      <w:rFonts w:hint="default" w:ascii="Times New Roman" w:hAnsi="Times New Roman" w:cs="Times New Roman"/>
                      <w:bCs/>
                      <w:color w:val="auto"/>
                      <w:spacing w:val="0"/>
                      <w:position w:val="0"/>
                      <w:sz w:val="21"/>
                      <w:szCs w:val="21"/>
                      <w:highlight w:val="none"/>
                      <w:lang w:val="en-US" w:eastAsia="zh-CN"/>
                    </w:rPr>
                    <w:t>现有</w:t>
                  </w:r>
                </w:p>
              </w:tc>
            </w:tr>
            <w:tr w14:paraId="105FC1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328B963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75F78CD5">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原料库</w:t>
                  </w:r>
                </w:p>
              </w:tc>
              <w:tc>
                <w:tcPr>
                  <w:tcW w:w="5491" w:type="dxa"/>
                  <w:noWrap w:val="0"/>
                  <w:vAlign w:val="center"/>
                </w:tcPr>
                <w:p w14:paraId="7D984B9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占地面积9000</w:t>
                  </w:r>
                  <w:r>
                    <w:rPr>
                      <w:rFonts w:hint="default" w:ascii="Times New Roman" w:hAnsi="Times New Roman" w:eastAsia="宋体" w:cs="Times New Roman"/>
                      <w:bCs/>
                      <w:color w:val="auto"/>
                      <w:spacing w:val="0"/>
                      <w:position w:val="0"/>
                      <w:sz w:val="21"/>
                      <w:szCs w:val="21"/>
                      <w:highlight w:val="none"/>
                    </w:rPr>
                    <w:t>m</w:t>
                  </w:r>
                  <w:r>
                    <w:rPr>
                      <w:rFonts w:hint="default" w:ascii="Times New Roman" w:hAnsi="Times New Roman" w:eastAsia="宋体" w:cs="Times New Roman"/>
                      <w:bCs/>
                      <w:color w:val="auto"/>
                      <w:spacing w:val="0"/>
                      <w:position w:val="0"/>
                      <w:sz w:val="21"/>
                      <w:szCs w:val="21"/>
                      <w:highlight w:val="none"/>
                      <w:vertAlign w:val="superscript"/>
                    </w:rPr>
                    <w:t>2</w:t>
                  </w:r>
                  <w:r>
                    <w:rPr>
                      <w:rFonts w:hint="default" w:ascii="Times New Roman" w:hAnsi="Times New Roman" w:eastAsia="宋体" w:cs="Times New Roman"/>
                      <w:bCs/>
                      <w:color w:val="auto"/>
                      <w:spacing w:val="0"/>
                      <w:position w:val="0"/>
                      <w:sz w:val="21"/>
                      <w:szCs w:val="21"/>
                      <w:highlight w:val="none"/>
                    </w:rPr>
                    <w:t>，</w:t>
                  </w:r>
                  <w:r>
                    <w:rPr>
                      <w:rFonts w:hint="default" w:ascii="Times New Roman" w:hAnsi="Times New Roman" w:cs="Times New Roman"/>
                      <w:bCs/>
                      <w:color w:val="auto"/>
                      <w:spacing w:val="0"/>
                      <w:position w:val="0"/>
                      <w:sz w:val="21"/>
                      <w:szCs w:val="21"/>
                      <w:highlight w:val="none"/>
                      <w:lang w:val="en-US" w:eastAsia="zh-CN"/>
                    </w:rPr>
                    <w:t>高度14m，</w:t>
                  </w:r>
                  <w:r>
                    <w:rPr>
                      <w:rFonts w:hint="default" w:ascii="Times New Roman" w:hAnsi="Times New Roman" w:eastAsia="宋体" w:cs="Times New Roman"/>
                      <w:bCs/>
                      <w:color w:val="auto"/>
                      <w:spacing w:val="0"/>
                      <w:position w:val="0"/>
                      <w:sz w:val="21"/>
                      <w:szCs w:val="21"/>
                      <w:highlight w:val="none"/>
                    </w:rPr>
                    <w:t>为密闭车间，</w:t>
                  </w:r>
                  <w:r>
                    <w:rPr>
                      <w:rFonts w:hint="default" w:ascii="Times New Roman" w:hAnsi="Times New Roman" w:cs="Times New Roman"/>
                      <w:bCs/>
                      <w:color w:val="auto"/>
                      <w:spacing w:val="0"/>
                      <w:position w:val="0"/>
                      <w:sz w:val="21"/>
                      <w:szCs w:val="21"/>
                      <w:highlight w:val="none"/>
                      <w:lang w:val="en-US" w:eastAsia="zh-CN"/>
                    </w:rPr>
                    <w:t>用于存储米糠、大豆，采用汽运方式运输，车辆采用苫布苫盖，米糠、大豆分区储存，最大储存能力分别为米糠10000t、大豆3000t。</w:t>
                  </w:r>
                </w:p>
              </w:tc>
              <w:tc>
                <w:tcPr>
                  <w:tcW w:w="683" w:type="dxa"/>
                  <w:noWrap w:val="0"/>
                  <w:vAlign w:val="center"/>
                </w:tcPr>
                <w:p w14:paraId="76CFBFF5">
                  <w:pPr>
                    <w:pStyle w:val="53"/>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依托</w:t>
                  </w:r>
                  <w:r>
                    <w:rPr>
                      <w:rFonts w:hint="default" w:ascii="Times New Roman" w:hAnsi="Times New Roman" w:cs="Times New Roman"/>
                      <w:bCs/>
                      <w:color w:val="auto"/>
                      <w:spacing w:val="0"/>
                      <w:position w:val="0"/>
                      <w:sz w:val="21"/>
                      <w:szCs w:val="21"/>
                      <w:highlight w:val="none"/>
                      <w:lang w:val="en-US" w:eastAsia="zh-CN"/>
                    </w:rPr>
                    <w:t>现有</w:t>
                  </w:r>
                </w:p>
              </w:tc>
            </w:tr>
            <w:tr w14:paraId="3712DD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0A96E0B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25EC7CEC">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cs="Times New Roman"/>
                      <w:bCs/>
                      <w:color w:val="auto"/>
                      <w:spacing w:val="0"/>
                      <w:position w:val="0"/>
                      <w:sz w:val="21"/>
                      <w:szCs w:val="21"/>
                      <w:highlight w:val="none"/>
                      <w:lang w:val="en-US" w:eastAsia="zh-CN"/>
                    </w:rPr>
                    <w:t>包装车</w:t>
                  </w:r>
                  <w:r>
                    <w:rPr>
                      <w:rFonts w:hint="default" w:ascii="Times New Roman" w:hAnsi="Times New Roman" w:eastAsia="宋体" w:cs="Times New Roman"/>
                      <w:bCs/>
                      <w:color w:val="auto"/>
                      <w:spacing w:val="0"/>
                      <w:position w:val="0"/>
                      <w:sz w:val="21"/>
                      <w:szCs w:val="21"/>
                      <w:highlight w:val="none"/>
                    </w:rPr>
                    <w:t>间</w:t>
                  </w:r>
                </w:p>
              </w:tc>
              <w:tc>
                <w:tcPr>
                  <w:tcW w:w="5491" w:type="dxa"/>
                  <w:noWrap w:val="0"/>
                  <w:vAlign w:val="center"/>
                </w:tcPr>
                <w:p w14:paraId="41D6A1A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cs="Times New Roman"/>
                      <w:bCs/>
                      <w:color w:val="auto"/>
                      <w:spacing w:val="0"/>
                      <w:position w:val="0"/>
                      <w:sz w:val="21"/>
                      <w:szCs w:val="21"/>
                      <w:highlight w:val="none"/>
                      <w:lang w:val="en-US" w:eastAsia="zh-CN"/>
                    </w:rPr>
                    <w:t>占地面积4928m</w:t>
                  </w:r>
                  <w:r>
                    <w:rPr>
                      <w:rFonts w:hint="default" w:ascii="Times New Roman" w:hAnsi="Times New Roman" w:cs="Times New Roman"/>
                      <w:bCs/>
                      <w:color w:val="auto"/>
                      <w:spacing w:val="0"/>
                      <w:position w:val="0"/>
                      <w:sz w:val="21"/>
                      <w:szCs w:val="21"/>
                      <w:highlight w:val="none"/>
                      <w:vertAlign w:val="superscript"/>
                      <w:lang w:val="en-US" w:eastAsia="zh-CN"/>
                    </w:rPr>
                    <w:t>2</w:t>
                  </w:r>
                  <w:r>
                    <w:rPr>
                      <w:rFonts w:hint="default" w:ascii="Times New Roman" w:hAnsi="Times New Roman" w:cs="Times New Roman"/>
                      <w:bCs/>
                      <w:color w:val="auto"/>
                      <w:spacing w:val="0"/>
                      <w:position w:val="0"/>
                      <w:sz w:val="21"/>
                      <w:szCs w:val="21"/>
                      <w:highlight w:val="none"/>
                      <w:lang w:val="en-US" w:eastAsia="zh-CN"/>
                    </w:rPr>
                    <w:t>，高度14m，为密闭车间，米糠粕、豆粕在车间内装袋，袋装分区储存。最大储存能力分别为米糠粕5000t、大豆1500t。米糠粕、豆粕袋装出场，</w:t>
                  </w:r>
                  <w:r>
                    <w:rPr>
                      <w:rFonts w:hint="default" w:ascii="Times New Roman" w:hAnsi="Times New Roman" w:eastAsia="宋体" w:cs="Times New Roman"/>
                      <w:bCs/>
                      <w:color w:val="auto"/>
                      <w:spacing w:val="0"/>
                      <w:position w:val="0"/>
                      <w:sz w:val="21"/>
                      <w:szCs w:val="21"/>
                      <w:highlight w:val="none"/>
                    </w:rPr>
                    <w:t>采用汽运方式运输，车辆采用苫布苫盖，每天周转1次。</w:t>
                  </w:r>
                </w:p>
              </w:tc>
              <w:tc>
                <w:tcPr>
                  <w:tcW w:w="683" w:type="dxa"/>
                  <w:noWrap w:val="0"/>
                  <w:vAlign w:val="center"/>
                </w:tcPr>
                <w:p w14:paraId="4D209848">
                  <w:pPr>
                    <w:pStyle w:val="53"/>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依托</w:t>
                  </w:r>
                  <w:r>
                    <w:rPr>
                      <w:rFonts w:hint="default" w:ascii="Times New Roman" w:hAnsi="Times New Roman" w:cs="Times New Roman"/>
                      <w:bCs/>
                      <w:color w:val="auto"/>
                      <w:spacing w:val="0"/>
                      <w:position w:val="0"/>
                      <w:sz w:val="21"/>
                      <w:szCs w:val="21"/>
                      <w:highlight w:val="none"/>
                      <w:lang w:val="en-US" w:eastAsia="zh-CN"/>
                    </w:rPr>
                    <w:t>现有</w:t>
                  </w:r>
                </w:p>
              </w:tc>
            </w:tr>
            <w:tr w14:paraId="009A10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7EB93672">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60851346">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地下溶剂库</w:t>
                  </w:r>
                </w:p>
              </w:tc>
              <w:tc>
                <w:tcPr>
                  <w:tcW w:w="5491" w:type="dxa"/>
                  <w:noWrap w:val="0"/>
                  <w:vAlign w:val="center"/>
                </w:tcPr>
                <w:p w14:paraId="1C06D5E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eastAsia="宋体" w:cs="Times New Roman"/>
                      <w:bCs/>
                      <w:color w:val="auto"/>
                      <w:spacing w:val="0"/>
                      <w:position w:val="0"/>
                      <w:sz w:val="21"/>
                      <w:szCs w:val="21"/>
                      <w:highlight w:val="none"/>
                    </w:rPr>
                    <w:t>地下溶剂油库位于浸出车间</w:t>
                  </w:r>
                  <w:r>
                    <w:rPr>
                      <w:rFonts w:hint="default" w:ascii="Times New Roman" w:hAnsi="Times New Roman" w:cs="Times New Roman"/>
                      <w:bCs/>
                      <w:color w:val="auto"/>
                      <w:spacing w:val="0"/>
                      <w:position w:val="0"/>
                      <w:sz w:val="21"/>
                      <w:szCs w:val="21"/>
                      <w:highlight w:val="none"/>
                      <w:lang w:val="en-US" w:eastAsia="zh-CN"/>
                    </w:rPr>
                    <w:t>东</w:t>
                  </w:r>
                  <w:r>
                    <w:rPr>
                      <w:rFonts w:hint="default" w:ascii="Times New Roman" w:hAnsi="Times New Roman" w:eastAsia="宋体" w:cs="Times New Roman"/>
                      <w:bCs/>
                      <w:color w:val="auto"/>
                      <w:spacing w:val="0"/>
                      <w:position w:val="0"/>
                      <w:sz w:val="21"/>
                      <w:szCs w:val="21"/>
                      <w:highlight w:val="none"/>
                    </w:rPr>
                    <w:t>，</w:t>
                  </w:r>
                  <w:r>
                    <w:rPr>
                      <w:rFonts w:hint="default" w:ascii="Times New Roman" w:hAnsi="Times New Roman" w:cs="Times New Roman"/>
                      <w:bCs/>
                      <w:color w:val="auto"/>
                      <w:spacing w:val="0"/>
                      <w:position w:val="0"/>
                      <w:sz w:val="21"/>
                      <w:szCs w:val="21"/>
                      <w:highlight w:val="none"/>
                      <w:lang w:val="en-US" w:eastAsia="zh-CN"/>
                    </w:rPr>
                    <w:t>建有2</w:t>
                  </w:r>
                  <w:r>
                    <w:rPr>
                      <w:rFonts w:hint="default" w:ascii="Times New Roman" w:hAnsi="Times New Roman" w:eastAsia="宋体" w:cs="Times New Roman"/>
                      <w:bCs/>
                      <w:color w:val="auto"/>
                      <w:spacing w:val="0"/>
                      <w:position w:val="0"/>
                      <w:sz w:val="21"/>
                      <w:szCs w:val="21"/>
                      <w:highlight w:val="none"/>
                    </w:rPr>
                    <w:t>座60m</w:t>
                  </w:r>
                  <w:r>
                    <w:rPr>
                      <w:rFonts w:hint="default" w:ascii="Times New Roman" w:hAnsi="Times New Roman" w:eastAsia="宋体" w:cs="Times New Roman"/>
                      <w:bCs/>
                      <w:color w:val="auto"/>
                      <w:spacing w:val="0"/>
                      <w:position w:val="0"/>
                      <w:sz w:val="21"/>
                      <w:szCs w:val="21"/>
                      <w:highlight w:val="none"/>
                      <w:vertAlign w:val="superscript"/>
                    </w:rPr>
                    <w:t>3</w:t>
                  </w:r>
                  <w:r>
                    <w:rPr>
                      <w:rFonts w:hint="default" w:ascii="Times New Roman" w:hAnsi="Times New Roman" w:eastAsia="宋体" w:cs="Times New Roman"/>
                      <w:bCs/>
                      <w:color w:val="auto"/>
                      <w:spacing w:val="0"/>
                      <w:position w:val="0"/>
                      <w:sz w:val="21"/>
                      <w:szCs w:val="21"/>
                      <w:highlight w:val="none"/>
                    </w:rPr>
                    <w:t>溶剂油储罐，用作溶剂油周转，主要成分为正己烷，</w:t>
                  </w:r>
                  <w:r>
                    <w:rPr>
                      <w:rFonts w:hint="default" w:ascii="Times New Roman" w:hAnsi="Times New Roman" w:cs="Times New Roman"/>
                      <w:bCs/>
                      <w:color w:val="auto"/>
                      <w:spacing w:val="0"/>
                      <w:position w:val="0"/>
                      <w:sz w:val="21"/>
                      <w:szCs w:val="21"/>
                      <w:highlight w:val="none"/>
                      <w:lang w:val="en-US" w:eastAsia="zh-CN"/>
                    </w:rPr>
                    <w:t>每个溶剂油储罐最大储存量42t</w:t>
                  </w:r>
                  <w:r>
                    <w:rPr>
                      <w:rFonts w:hint="default" w:ascii="Times New Roman" w:hAnsi="Times New Roman" w:eastAsia="宋体" w:cs="Times New Roman"/>
                      <w:bCs/>
                      <w:color w:val="auto"/>
                      <w:spacing w:val="0"/>
                      <w:position w:val="0"/>
                      <w:sz w:val="21"/>
                      <w:szCs w:val="21"/>
                      <w:highlight w:val="none"/>
                    </w:rPr>
                    <w:t>。</w:t>
                  </w:r>
                </w:p>
              </w:tc>
              <w:tc>
                <w:tcPr>
                  <w:tcW w:w="683" w:type="dxa"/>
                  <w:noWrap w:val="0"/>
                  <w:vAlign w:val="center"/>
                </w:tcPr>
                <w:p w14:paraId="268AABBC">
                  <w:pPr>
                    <w:pStyle w:val="53"/>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eastAsia="宋体" w:cs="Times New Roman"/>
                      <w:bCs/>
                      <w:color w:val="auto"/>
                      <w:spacing w:val="0"/>
                      <w:position w:val="0"/>
                      <w:sz w:val="21"/>
                      <w:szCs w:val="21"/>
                      <w:highlight w:val="none"/>
                      <w:lang w:val="en-US" w:eastAsia="zh-CN"/>
                    </w:rPr>
                    <w:t>依托</w:t>
                  </w:r>
                  <w:r>
                    <w:rPr>
                      <w:rFonts w:hint="default" w:ascii="Times New Roman" w:hAnsi="Times New Roman" w:cs="Times New Roman"/>
                      <w:bCs/>
                      <w:color w:val="auto"/>
                      <w:spacing w:val="0"/>
                      <w:position w:val="0"/>
                      <w:sz w:val="21"/>
                      <w:szCs w:val="21"/>
                      <w:highlight w:val="none"/>
                      <w:lang w:val="en-US" w:eastAsia="zh-CN"/>
                    </w:rPr>
                    <w:t>现有</w:t>
                  </w:r>
                </w:p>
              </w:tc>
            </w:tr>
            <w:tr w14:paraId="61E0E8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0F809DEC">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0C9A6B88">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钢板仓</w:t>
                  </w:r>
                </w:p>
              </w:tc>
              <w:tc>
                <w:tcPr>
                  <w:tcW w:w="5491" w:type="dxa"/>
                  <w:noWrap w:val="0"/>
                  <w:vAlign w:val="center"/>
                </w:tcPr>
                <w:p w14:paraId="794A406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eastAsia="宋体" w:cs="Times New Roman"/>
                      <w:bCs/>
                      <w:color w:val="auto"/>
                      <w:spacing w:val="0"/>
                      <w:position w:val="0"/>
                      <w:sz w:val="21"/>
                      <w:szCs w:val="21"/>
                      <w:highlight w:val="none"/>
                    </w:rPr>
                    <w:t>厂区内现有2座</w:t>
                  </w:r>
                  <w:r>
                    <w:rPr>
                      <w:rFonts w:hint="default" w:ascii="Times New Roman" w:hAnsi="Times New Roman" w:cs="Times New Roman"/>
                      <w:bCs/>
                      <w:color w:val="auto"/>
                      <w:spacing w:val="0"/>
                      <w:position w:val="0"/>
                      <w:sz w:val="21"/>
                      <w:szCs w:val="21"/>
                      <w:highlight w:val="none"/>
                      <w:lang w:val="en-US" w:eastAsia="zh-CN"/>
                    </w:rPr>
                    <w:t>50</w:t>
                  </w:r>
                  <w:r>
                    <w:rPr>
                      <w:rFonts w:hint="default" w:ascii="Times New Roman" w:hAnsi="Times New Roman" w:eastAsia="宋体" w:cs="Times New Roman"/>
                      <w:bCs/>
                      <w:color w:val="auto"/>
                      <w:spacing w:val="0"/>
                      <w:position w:val="0"/>
                      <w:sz w:val="21"/>
                      <w:szCs w:val="21"/>
                      <w:highlight w:val="none"/>
                    </w:rPr>
                    <w:t>00t</w:t>
                  </w:r>
                  <w:r>
                    <w:rPr>
                      <w:rFonts w:hint="default" w:ascii="Times New Roman" w:hAnsi="Times New Roman" w:cs="Times New Roman"/>
                      <w:bCs/>
                      <w:color w:val="auto"/>
                      <w:spacing w:val="0"/>
                      <w:position w:val="0"/>
                      <w:sz w:val="21"/>
                      <w:szCs w:val="21"/>
                      <w:highlight w:val="none"/>
                      <w:lang w:val="en-US" w:eastAsia="zh-CN"/>
                    </w:rPr>
                    <w:t>钢板仓</w:t>
                  </w:r>
                  <w:r>
                    <w:rPr>
                      <w:rFonts w:hint="default" w:ascii="Times New Roman" w:hAnsi="Times New Roman" w:eastAsia="宋体" w:cs="Times New Roman"/>
                      <w:bCs/>
                      <w:color w:val="auto"/>
                      <w:spacing w:val="0"/>
                      <w:position w:val="0"/>
                      <w:sz w:val="21"/>
                      <w:szCs w:val="21"/>
                      <w:highlight w:val="none"/>
                    </w:rPr>
                    <w:t>，</w:t>
                  </w:r>
                  <w:r>
                    <w:rPr>
                      <w:rFonts w:hint="default" w:ascii="Times New Roman" w:hAnsi="Times New Roman" w:cs="Times New Roman"/>
                      <w:bCs/>
                      <w:color w:val="auto"/>
                      <w:spacing w:val="0"/>
                      <w:position w:val="0"/>
                      <w:sz w:val="21"/>
                      <w:szCs w:val="21"/>
                      <w:highlight w:val="none"/>
                      <w:lang w:val="en-US" w:eastAsia="zh-CN"/>
                    </w:rPr>
                    <w:t>用于储存原料大豆</w:t>
                  </w:r>
                  <w:r>
                    <w:rPr>
                      <w:rFonts w:hint="default" w:ascii="Times New Roman" w:hAnsi="Times New Roman" w:eastAsia="宋体" w:cs="Times New Roman"/>
                      <w:bCs/>
                      <w:color w:val="auto"/>
                      <w:spacing w:val="0"/>
                      <w:position w:val="0"/>
                      <w:sz w:val="21"/>
                      <w:szCs w:val="21"/>
                      <w:highlight w:val="none"/>
                    </w:rPr>
                    <w:t>。</w:t>
                  </w:r>
                  <w:r>
                    <w:rPr>
                      <w:rFonts w:hint="default" w:ascii="Times New Roman" w:hAnsi="Times New Roman" w:cs="Times New Roman"/>
                      <w:bCs/>
                      <w:color w:val="auto"/>
                      <w:spacing w:val="0"/>
                      <w:position w:val="0"/>
                      <w:sz w:val="21"/>
                      <w:szCs w:val="21"/>
                      <w:highlight w:val="none"/>
                      <w:lang w:val="en-US" w:eastAsia="zh-CN"/>
                    </w:rPr>
                    <w:t>最大储存量10000t。</w:t>
                  </w:r>
                </w:p>
              </w:tc>
              <w:tc>
                <w:tcPr>
                  <w:tcW w:w="683" w:type="dxa"/>
                  <w:noWrap w:val="0"/>
                  <w:vAlign w:val="center"/>
                </w:tcPr>
                <w:p w14:paraId="5A6AA281">
                  <w:pPr>
                    <w:pStyle w:val="53"/>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依托</w:t>
                  </w:r>
                  <w:r>
                    <w:rPr>
                      <w:rFonts w:hint="default" w:ascii="Times New Roman" w:hAnsi="Times New Roman" w:cs="Times New Roman"/>
                      <w:bCs/>
                      <w:color w:val="auto"/>
                      <w:spacing w:val="0"/>
                      <w:position w:val="0"/>
                      <w:sz w:val="21"/>
                      <w:szCs w:val="21"/>
                      <w:highlight w:val="none"/>
                      <w:lang w:val="en-US" w:eastAsia="zh-CN"/>
                    </w:rPr>
                    <w:t>现有</w:t>
                  </w:r>
                </w:p>
              </w:tc>
            </w:tr>
            <w:tr w14:paraId="456F75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469C001C">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724A7AF7">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米糠毛油罐区</w:t>
                  </w:r>
                </w:p>
              </w:tc>
              <w:tc>
                <w:tcPr>
                  <w:tcW w:w="5491" w:type="dxa"/>
                  <w:noWrap w:val="0"/>
                  <w:vAlign w:val="center"/>
                </w:tcPr>
                <w:p w14:paraId="70C5863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eastAsia="宋体" w:cs="Times New Roman"/>
                      <w:bCs/>
                      <w:color w:val="auto"/>
                      <w:spacing w:val="0"/>
                      <w:position w:val="0"/>
                      <w:sz w:val="21"/>
                      <w:szCs w:val="21"/>
                      <w:highlight w:val="none"/>
                    </w:rPr>
                    <w:t>厂区内现有2座</w:t>
                  </w:r>
                  <w:r>
                    <w:rPr>
                      <w:rFonts w:hint="default" w:ascii="Times New Roman" w:hAnsi="Times New Roman" w:cs="Times New Roman"/>
                      <w:bCs/>
                      <w:color w:val="auto"/>
                      <w:spacing w:val="0"/>
                      <w:position w:val="0"/>
                      <w:sz w:val="21"/>
                      <w:szCs w:val="21"/>
                      <w:highlight w:val="none"/>
                      <w:lang w:val="en-US" w:eastAsia="zh-CN"/>
                    </w:rPr>
                    <w:t>10</w:t>
                  </w:r>
                  <w:r>
                    <w:rPr>
                      <w:rFonts w:hint="default" w:ascii="Times New Roman" w:hAnsi="Times New Roman" w:eastAsia="宋体" w:cs="Times New Roman"/>
                      <w:bCs/>
                      <w:color w:val="auto"/>
                      <w:spacing w:val="0"/>
                      <w:position w:val="0"/>
                      <w:sz w:val="21"/>
                      <w:szCs w:val="21"/>
                      <w:highlight w:val="none"/>
                    </w:rPr>
                    <w:t>00t</w:t>
                  </w:r>
                  <w:r>
                    <w:rPr>
                      <w:rFonts w:hint="default" w:ascii="Times New Roman" w:hAnsi="Times New Roman" w:cs="Times New Roman"/>
                      <w:bCs/>
                      <w:color w:val="auto"/>
                      <w:spacing w:val="0"/>
                      <w:position w:val="0"/>
                      <w:sz w:val="21"/>
                      <w:szCs w:val="21"/>
                      <w:highlight w:val="none"/>
                      <w:lang w:val="en-US" w:eastAsia="zh-CN"/>
                    </w:rPr>
                    <w:t>米糠</w:t>
                  </w:r>
                  <w:r>
                    <w:rPr>
                      <w:rFonts w:hint="default" w:ascii="Times New Roman" w:hAnsi="Times New Roman" w:eastAsia="宋体" w:cs="Times New Roman"/>
                      <w:bCs/>
                      <w:color w:val="auto"/>
                      <w:spacing w:val="0"/>
                      <w:position w:val="0"/>
                      <w:sz w:val="21"/>
                      <w:szCs w:val="21"/>
                      <w:highlight w:val="none"/>
                    </w:rPr>
                    <w:t>毛油罐，</w:t>
                  </w:r>
                  <w:r>
                    <w:rPr>
                      <w:rFonts w:hint="default" w:ascii="Times New Roman" w:hAnsi="Times New Roman" w:cs="Times New Roman"/>
                      <w:bCs/>
                      <w:color w:val="auto"/>
                      <w:spacing w:val="0"/>
                      <w:position w:val="0"/>
                      <w:sz w:val="21"/>
                      <w:szCs w:val="21"/>
                      <w:highlight w:val="none"/>
                      <w:lang w:val="en-US" w:eastAsia="zh-CN"/>
                    </w:rPr>
                    <w:t>用于储存米糠油</w:t>
                  </w:r>
                  <w:r>
                    <w:rPr>
                      <w:rFonts w:hint="default" w:ascii="Times New Roman" w:hAnsi="Times New Roman" w:eastAsia="宋体" w:cs="Times New Roman"/>
                      <w:bCs/>
                      <w:color w:val="auto"/>
                      <w:spacing w:val="0"/>
                      <w:position w:val="0"/>
                      <w:sz w:val="21"/>
                      <w:szCs w:val="21"/>
                      <w:highlight w:val="none"/>
                    </w:rPr>
                    <w:t>。</w:t>
                  </w:r>
                </w:p>
              </w:tc>
              <w:tc>
                <w:tcPr>
                  <w:tcW w:w="683" w:type="dxa"/>
                  <w:noWrap w:val="0"/>
                  <w:vAlign w:val="center"/>
                </w:tcPr>
                <w:p w14:paraId="40A18161">
                  <w:pPr>
                    <w:pStyle w:val="53"/>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依托</w:t>
                  </w:r>
                  <w:r>
                    <w:rPr>
                      <w:rFonts w:hint="default" w:ascii="Times New Roman" w:hAnsi="Times New Roman" w:cs="Times New Roman"/>
                      <w:bCs/>
                      <w:color w:val="auto"/>
                      <w:spacing w:val="0"/>
                      <w:position w:val="0"/>
                      <w:sz w:val="21"/>
                      <w:szCs w:val="21"/>
                      <w:highlight w:val="none"/>
                      <w:lang w:val="en-US" w:eastAsia="zh-CN"/>
                    </w:rPr>
                    <w:t>现有</w:t>
                  </w:r>
                </w:p>
              </w:tc>
            </w:tr>
            <w:tr w14:paraId="46C2DD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3CFDB4D7">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6F78E13F">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大豆油罐区</w:t>
                  </w:r>
                </w:p>
              </w:tc>
              <w:tc>
                <w:tcPr>
                  <w:tcW w:w="5491" w:type="dxa"/>
                  <w:noWrap w:val="0"/>
                  <w:vAlign w:val="center"/>
                </w:tcPr>
                <w:p w14:paraId="0E73614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位于精炼车间内，建有1座350m</w:t>
                  </w:r>
                  <w:r>
                    <w:rPr>
                      <w:rFonts w:hint="default" w:ascii="Times New Roman" w:hAnsi="Times New Roman" w:cs="Times New Roman"/>
                      <w:bCs/>
                      <w:color w:val="auto"/>
                      <w:spacing w:val="0"/>
                      <w:position w:val="0"/>
                      <w:sz w:val="21"/>
                      <w:szCs w:val="21"/>
                      <w:highlight w:val="none"/>
                      <w:vertAlign w:val="superscript"/>
                      <w:lang w:val="en-US" w:eastAsia="zh-CN"/>
                    </w:rPr>
                    <w:t>3</w:t>
                  </w:r>
                  <w:r>
                    <w:rPr>
                      <w:rFonts w:hint="default" w:ascii="Times New Roman" w:hAnsi="Times New Roman" w:cs="Times New Roman"/>
                      <w:bCs/>
                      <w:color w:val="auto"/>
                      <w:spacing w:val="0"/>
                      <w:position w:val="0"/>
                      <w:sz w:val="21"/>
                      <w:szCs w:val="21"/>
                      <w:highlight w:val="none"/>
                      <w:lang w:val="en-US" w:eastAsia="zh-CN"/>
                    </w:rPr>
                    <w:t>大豆油储罐，最大储存量300t。</w:t>
                  </w:r>
                </w:p>
              </w:tc>
              <w:tc>
                <w:tcPr>
                  <w:tcW w:w="683" w:type="dxa"/>
                  <w:noWrap w:val="0"/>
                  <w:vAlign w:val="center"/>
                </w:tcPr>
                <w:p w14:paraId="1E9BBA82">
                  <w:pPr>
                    <w:pStyle w:val="53"/>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依托</w:t>
                  </w:r>
                  <w:r>
                    <w:rPr>
                      <w:rFonts w:hint="default" w:ascii="Times New Roman" w:hAnsi="Times New Roman" w:cs="Times New Roman"/>
                      <w:bCs/>
                      <w:color w:val="auto"/>
                      <w:spacing w:val="0"/>
                      <w:position w:val="0"/>
                      <w:sz w:val="21"/>
                      <w:szCs w:val="21"/>
                      <w:highlight w:val="none"/>
                      <w:lang w:val="en-US" w:eastAsia="zh-CN"/>
                    </w:rPr>
                    <w:t>现有</w:t>
                  </w:r>
                </w:p>
              </w:tc>
            </w:tr>
            <w:tr w14:paraId="5CEFAB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0797A002">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08CDB1E5">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eastAsia="宋体" w:cs="Times New Roman"/>
                      <w:bCs/>
                      <w:color w:val="auto"/>
                      <w:spacing w:val="0"/>
                      <w:position w:val="0"/>
                      <w:sz w:val="21"/>
                      <w:szCs w:val="21"/>
                      <w:highlight w:val="none"/>
                      <w:lang w:val="en-US" w:eastAsia="zh-CN"/>
                    </w:rPr>
                    <w:t>危险废物</w:t>
                  </w:r>
                  <w:r>
                    <w:rPr>
                      <w:rFonts w:hint="default" w:ascii="Times New Roman" w:hAnsi="Times New Roman" w:cs="Times New Roman"/>
                      <w:bCs/>
                      <w:color w:val="auto"/>
                      <w:spacing w:val="0"/>
                      <w:position w:val="0"/>
                      <w:sz w:val="21"/>
                      <w:szCs w:val="21"/>
                      <w:highlight w:val="none"/>
                      <w:lang w:val="en-US" w:eastAsia="zh-CN"/>
                    </w:rPr>
                    <w:t>贮存库</w:t>
                  </w:r>
                </w:p>
              </w:tc>
              <w:tc>
                <w:tcPr>
                  <w:tcW w:w="5491" w:type="dxa"/>
                  <w:noWrap w:val="0"/>
                  <w:vAlign w:val="center"/>
                </w:tcPr>
                <w:p w14:paraId="576B780B">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eastAsia="宋体" w:cs="Times New Roman"/>
                      <w:bCs/>
                      <w:color w:val="auto"/>
                      <w:spacing w:val="0"/>
                      <w:position w:val="0"/>
                      <w:sz w:val="21"/>
                      <w:szCs w:val="21"/>
                      <w:highlight w:val="none"/>
                      <w:lang w:val="en-US" w:eastAsia="zh-CN"/>
                    </w:rPr>
                    <w:t>本项目</w:t>
                  </w:r>
                  <w:r>
                    <w:rPr>
                      <w:rFonts w:hint="default" w:ascii="Times New Roman" w:hAnsi="Times New Roman" w:cs="Times New Roman"/>
                      <w:bCs/>
                      <w:color w:val="auto"/>
                      <w:spacing w:val="0"/>
                      <w:position w:val="0"/>
                      <w:sz w:val="21"/>
                      <w:szCs w:val="21"/>
                      <w:highlight w:val="none"/>
                      <w:lang w:val="en-US" w:eastAsia="zh-CN"/>
                    </w:rPr>
                    <w:t>危险废物贮存库</w:t>
                  </w:r>
                  <w:r>
                    <w:rPr>
                      <w:rFonts w:hint="default" w:ascii="Times New Roman" w:hAnsi="Times New Roman" w:eastAsia="宋体" w:cs="Times New Roman"/>
                      <w:bCs/>
                      <w:color w:val="auto"/>
                      <w:spacing w:val="0"/>
                      <w:position w:val="0"/>
                      <w:sz w:val="21"/>
                      <w:szCs w:val="21"/>
                      <w:highlight w:val="none"/>
                      <w:lang w:val="en-US" w:eastAsia="zh-CN"/>
                    </w:rPr>
                    <w:t>设置在设备房内</w:t>
                  </w:r>
                  <w:r>
                    <w:rPr>
                      <w:rFonts w:hint="default" w:ascii="Times New Roman" w:hAnsi="Times New Roman" w:eastAsia="宋体" w:cs="Times New Roman"/>
                      <w:color w:val="auto"/>
                      <w:spacing w:val="0"/>
                      <w:position w:val="0"/>
                      <w:sz w:val="21"/>
                      <w:szCs w:val="21"/>
                      <w:highlight w:val="none"/>
                      <w:lang w:eastAsia="zh-CN"/>
                    </w:rPr>
                    <w:t>，建筑面积</w:t>
                  </w:r>
                  <w:r>
                    <w:rPr>
                      <w:rFonts w:hint="default" w:ascii="Times New Roman" w:hAnsi="Times New Roman" w:cs="Times New Roman"/>
                      <w:color w:val="auto"/>
                      <w:spacing w:val="0"/>
                      <w:position w:val="0"/>
                      <w:sz w:val="21"/>
                      <w:szCs w:val="21"/>
                      <w:highlight w:val="none"/>
                      <w:lang w:val="en-US" w:eastAsia="zh-CN"/>
                    </w:rPr>
                    <w:t>10</w:t>
                  </w:r>
                  <w:r>
                    <w:rPr>
                      <w:rFonts w:hint="default" w:ascii="Times New Roman" w:hAnsi="Times New Roman" w:eastAsia="宋体" w:cs="Times New Roman"/>
                      <w:color w:val="auto"/>
                      <w:spacing w:val="0"/>
                      <w:position w:val="0"/>
                      <w:sz w:val="21"/>
                      <w:szCs w:val="21"/>
                      <w:highlight w:val="none"/>
                      <w:lang w:val="en-US" w:eastAsia="zh-CN"/>
                    </w:rPr>
                    <w:t>m</w:t>
                  </w:r>
                  <w:r>
                    <w:rPr>
                      <w:rFonts w:hint="default" w:ascii="Times New Roman" w:hAnsi="Times New Roman" w:eastAsia="宋体" w:cs="Times New Roman"/>
                      <w:color w:val="auto"/>
                      <w:spacing w:val="0"/>
                      <w:position w:val="0"/>
                      <w:sz w:val="21"/>
                      <w:szCs w:val="21"/>
                      <w:highlight w:val="none"/>
                      <w:vertAlign w:val="superscript"/>
                      <w:lang w:val="en-US" w:eastAsia="zh-CN"/>
                    </w:rPr>
                    <w:t>2</w:t>
                  </w:r>
                  <w:r>
                    <w:rPr>
                      <w:rFonts w:hint="default" w:ascii="Times New Roman" w:hAnsi="Times New Roman" w:eastAsia="宋体" w:cs="Times New Roman"/>
                      <w:color w:val="auto"/>
                      <w:spacing w:val="0"/>
                      <w:position w:val="0"/>
                      <w:sz w:val="21"/>
                      <w:szCs w:val="21"/>
                      <w:highlight w:val="none"/>
                      <w:lang w:val="en-US" w:eastAsia="zh-CN"/>
                    </w:rPr>
                    <w:t>，</w:t>
                  </w:r>
                  <w:r>
                    <w:rPr>
                      <w:rFonts w:hint="default" w:ascii="Times New Roman" w:hAnsi="Times New Roman" w:cs="Times New Roman"/>
                      <w:color w:val="auto"/>
                      <w:spacing w:val="0"/>
                      <w:position w:val="0"/>
                      <w:sz w:val="21"/>
                      <w:szCs w:val="21"/>
                      <w:highlight w:val="none"/>
                      <w:lang w:val="en-US" w:eastAsia="zh-CN"/>
                    </w:rPr>
                    <w:t>危险废物贮存库</w:t>
                  </w:r>
                  <w:r>
                    <w:rPr>
                      <w:rFonts w:hint="default" w:ascii="Times New Roman" w:hAnsi="Times New Roman" w:eastAsia="宋体" w:cs="Times New Roman"/>
                      <w:color w:val="auto"/>
                      <w:spacing w:val="0"/>
                      <w:position w:val="0"/>
                      <w:sz w:val="21"/>
                      <w:szCs w:val="21"/>
                      <w:highlight w:val="none"/>
                      <w:lang w:val="en-US" w:eastAsia="zh-CN"/>
                    </w:rPr>
                    <w:t>地面及裙角基础底层采用不少于2mm厚的高密度聚乙烯板，渗透系数≤10</w:t>
                  </w:r>
                  <w:r>
                    <w:rPr>
                      <w:rFonts w:hint="default" w:ascii="Times New Roman" w:hAnsi="Times New Roman" w:eastAsia="宋体" w:cs="Times New Roman"/>
                      <w:color w:val="auto"/>
                      <w:spacing w:val="0"/>
                      <w:position w:val="0"/>
                      <w:sz w:val="21"/>
                      <w:szCs w:val="21"/>
                      <w:highlight w:val="none"/>
                      <w:vertAlign w:val="superscript"/>
                      <w:lang w:val="en-US" w:eastAsia="zh-CN"/>
                    </w:rPr>
                    <w:t>-10</w:t>
                  </w:r>
                  <w:r>
                    <w:rPr>
                      <w:rFonts w:hint="default" w:ascii="Times New Roman" w:hAnsi="Times New Roman" w:eastAsia="宋体" w:cs="Times New Roman"/>
                      <w:color w:val="auto"/>
                      <w:spacing w:val="0"/>
                      <w:position w:val="0"/>
                      <w:sz w:val="21"/>
                      <w:szCs w:val="21"/>
                      <w:highlight w:val="none"/>
                      <w:lang w:val="en-US" w:eastAsia="zh-CN"/>
                    </w:rPr>
                    <w:t>cm/s，上层采用混凝土结构并铺设瓷砖。</w:t>
                  </w:r>
                </w:p>
              </w:tc>
              <w:tc>
                <w:tcPr>
                  <w:tcW w:w="683" w:type="dxa"/>
                  <w:noWrap w:val="0"/>
                  <w:vAlign w:val="center"/>
                </w:tcPr>
                <w:p w14:paraId="4F567EFF">
                  <w:pPr>
                    <w:pStyle w:val="53"/>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依托</w:t>
                  </w:r>
                </w:p>
              </w:tc>
            </w:tr>
            <w:tr w14:paraId="654906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restart"/>
                  <w:noWrap w:val="0"/>
                  <w:vAlign w:val="center"/>
                </w:tcPr>
                <w:p w14:paraId="1ADB11D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公用工程</w:t>
                  </w:r>
                </w:p>
              </w:tc>
              <w:tc>
                <w:tcPr>
                  <w:tcW w:w="1537" w:type="dxa"/>
                  <w:gridSpan w:val="2"/>
                  <w:noWrap w:val="0"/>
                  <w:vAlign w:val="center"/>
                </w:tcPr>
                <w:p w14:paraId="3D059E45">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kern w:val="0"/>
                      <w:position w:val="0"/>
                      <w:sz w:val="21"/>
                      <w:szCs w:val="21"/>
                      <w:highlight w:val="none"/>
                    </w:rPr>
                  </w:pPr>
                  <w:r>
                    <w:rPr>
                      <w:rFonts w:hint="default" w:ascii="Times New Roman" w:hAnsi="Times New Roman" w:eastAsia="宋体" w:cs="Times New Roman"/>
                      <w:bCs/>
                      <w:color w:val="auto"/>
                      <w:spacing w:val="0"/>
                      <w:kern w:val="0"/>
                      <w:position w:val="0"/>
                      <w:sz w:val="21"/>
                      <w:szCs w:val="21"/>
                      <w:highlight w:val="none"/>
                    </w:rPr>
                    <w:t>给水</w:t>
                  </w:r>
                </w:p>
              </w:tc>
              <w:tc>
                <w:tcPr>
                  <w:tcW w:w="5491" w:type="dxa"/>
                  <w:noWrap w:val="0"/>
                  <w:vAlign w:val="center"/>
                </w:tcPr>
                <w:p w14:paraId="06D832DB">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eastAsia="宋体" w:cs="Times New Roman"/>
                      <w:bCs/>
                      <w:color w:val="auto"/>
                      <w:spacing w:val="0"/>
                      <w:position w:val="0"/>
                      <w:sz w:val="21"/>
                      <w:szCs w:val="21"/>
                      <w:highlight w:val="none"/>
                    </w:rPr>
                    <w:t>本项目生活用水，生产</w:t>
                  </w:r>
                  <w:r>
                    <w:rPr>
                      <w:rFonts w:hint="default" w:ascii="Times New Roman" w:hAnsi="Times New Roman" w:cs="Times New Roman"/>
                      <w:bCs/>
                      <w:color w:val="auto"/>
                      <w:spacing w:val="0"/>
                      <w:position w:val="0"/>
                      <w:sz w:val="21"/>
                      <w:szCs w:val="21"/>
                      <w:highlight w:val="none"/>
                      <w:lang w:eastAsia="zh-CN"/>
                    </w:rPr>
                    <w:t>用水</w:t>
                  </w:r>
                  <w:r>
                    <w:rPr>
                      <w:rFonts w:hint="default" w:ascii="Times New Roman" w:hAnsi="Times New Roman" w:eastAsia="宋体" w:cs="Times New Roman"/>
                      <w:color w:val="auto"/>
                      <w:spacing w:val="0"/>
                      <w:position w:val="0"/>
                      <w:sz w:val="21"/>
                      <w:szCs w:val="21"/>
                      <w:highlight w:val="none"/>
                    </w:rPr>
                    <w:t>由市政供水管网提供。</w:t>
                  </w:r>
                  <w:r>
                    <w:rPr>
                      <w:rFonts w:hint="default" w:ascii="Times New Roman" w:hAnsi="Times New Roman" w:eastAsia="宋体" w:cs="Times New Roman"/>
                      <w:color w:val="auto"/>
                      <w:spacing w:val="0"/>
                      <w:position w:val="0"/>
                      <w:sz w:val="21"/>
                      <w:szCs w:val="21"/>
                      <w:highlight w:val="none"/>
                      <w:lang w:val="en-US" w:eastAsia="zh-CN"/>
                    </w:rPr>
                    <w:t>项目配置一台10t/h 的纯水制备机，纯水制备工艺为</w:t>
                  </w:r>
                  <w:r>
                    <w:rPr>
                      <w:rFonts w:hint="default" w:ascii="Times New Roman" w:hAnsi="Times New Roman" w:eastAsia="宋体" w:cs="Times New Roman"/>
                      <w:i w:val="0"/>
                      <w:iCs w:val="0"/>
                      <w:caps w:val="0"/>
                      <w:color w:val="auto"/>
                      <w:spacing w:val="0"/>
                      <w:position w:val="0"/>
                      <w:sz w:val="21"/>
                      <w:szCs w:val="21"/>
                      <w:highlight w:val="none"/>
                      <w:shd w:val="clear" w:color="auto" w:fill="FFFFFF"/>
                    </w:rPr>
                    <w:t>离子交换</w:t>
                  </w:r>
                  <w:r>
                    <w:rPr>
                      <w:rFonts w:hint="default" w:ascii="Times New Roman" w:hAnsi="Times New Roman" w:eastAsia="宋体" w:cs="Times New Roman"/>
                      <w:i w:val="0"/>
                      <w:iCs w:val="0"/>
                      <w:caps w:val="0"/>
                      <w:color w:val="auto"/>
                      <w:spacing w:val="0"/>
                      <w:position w:val="0"/>
                      <w:sz w:val="21"/>
                      <w:szCs w:val="21"/>
                      <w:highlight w:val="none"/>
                      <w:shd w:val="clear" w:color="auto" w:fill="FFFFFF"/>
                      <w:lang w:val="en-US" w:eastAsia="zh-CN"/>
                    </w:rPr>
                    <w:t>，可满足生产需求。</w:t>
                  </w:r>
                </w:p>
              </w:tc>
              <w:tc>
                <w:tcPr>
                  <w:tcW w:w="683" w:type="dxa"/>
                  <w:noWrap w:val="0"/>
                  <w:vAlign w:val="center"/>
                </w:tcPr>
                <w:p w14:paraId="646D1C3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依托</w:t>
                  </w:r>
                </w:p>
              </w:tc>
            </w:tr>
            <w:tr w14:paraId="5F38FA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03A6EE3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6B7B5E07">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排水</w:t>
                  </w:r>
                </w:p>
              </w:tc>
              <w:tc>
                <w:tcPr>
                  <w:tcW w:w="5491" w:type="dxa"/>
                  <w:noWrap w:val="0"/>
                  <w:vAlign w:val="center"/>
                </w:tcPr>
                <w:p w14:paraId="742438C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eastAsia="zh-CN"/>
                    </w:rPr>
                  </w:pPr>
                  <w:r>
                    <w:rPr>
                      <w:rFonts w:hint="default" w:ascii="Times New Roman" w:hAnsi="Times New Roman" w:eastAsia="宋体" w:cs="Times New Roman"/>
                      <w:bCs/>
                      <w:color w:val="auto"/>
                      <w:spacing w:val="0"/>
                      <w:position w:val="0"/>
                      <w:sz w:val="21"/>
                      <w:szCs w:val="21"/>
                      <w:highlight w:val="none"/>
                    </w:rPr>
                    <w:t>本项目生活污水、锅炉排污水、软化水处理浓水、冷却水排污水与经污水处理站处理后的浸出废水、精炼废水一同经市政管网排入桦川县污水处理厂</w:t>
                  </w:r>
                  <w:r>
                    <w:rPr>
                      <w:rFonts w:hint="default" w:ascii="Times New Roman" w:hAnsi="Times New Roman" w:cs="Times New Roman"/>
                      <w:bCs/>
                      <w:color w:val="auto"/>
                      <w:spacing w:val="0"/>
                      <w:position w:val="0"/>
                      <w:sz w:val="21"/>
                      <w:szCs w:val="21"/>
                      <w:highlight w:val="none"/>
                      <w:lang w:eastAsia="zh-CN"/>
                    </w:rPr>
                    <w:t>。</w:t>
                  </w:r>
                </w:p>
              </w:tc>
              <w:tc>
                <w:tcPr>
                  <w:tcW w:w="683" w:type="dxa"/>
                  <w:noWrap w:val="0"/>
                  <w:vAlign w:val="center"/>
                </w:tcPr>
                <w:p w14:paraId="7E61AA01">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依托</w:t>
                  </w:r>
                </w:p>
              </w:tc>
            </w:tr>
            <w:tr w14:paraId="73E326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0488DEA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50FA550B">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kern w:val="0"/>
                      <w:position w:val="0"/>
                      <w:sz w:val="21"/>
                      <w:szCs w:val="21"/>
                      <w:highlight w:val="none"/>
                    </w:rPr>
                  </w:pPr>
                  <w:r>
                    <w:rPr>
                      <w:rFonts w:hint="default" w:ascii="Times New Roman" w:hAnsi="Times New Roman" w:eastAsia="宋体" w:cs="Times New Roman"/>
                      <w:bCs/>
                      <w:color w:val="auto"/>
                      <w:spacing w:val="0"/>
                      <w:kern w:val="0"/>
                      <w:position w:val="0"/>
                      <w:sz w:val="21"/>
                      <w:szCs w:val="21"/>
                      <w:highlight w:val="none"/>
                    </w:rPr>
                    <w:t>供电</w:t>
                  </w:r>
                </w:p>
              </w:tc>
              <w:tc>
                <w:tcPr>
                  <w:tcW w:w="5491" w:type="dxa"/>
                  <w:noWrap w:val="0"/>
                  <w:vAlign w:val="center"/>
                </w:tcPr>
                <w:p w14:paraId="15549EC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由市政供电管网提供。</w:t>
                  </w:r>
                </w:p>
              </w:tc>
              <w:tc>
                <w:tcPr>
                  <w:tcW w:w="683" w:type="dxa"/>
                  <w:noWrap w:val="0"/>
                  <w:vAlign w:val="center"/>
                </w:tcPr>
                <w:p w14:paraId="5EB3E14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依托</w:t>
                  </w:r>
                </w:p>
              </w:tc>
            </w:tr>
            <w:tr w14:paraId="5FBFA7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724316B2">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142CF972">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kern w:val="0"/>
                      <w:position w:val="0"/>
                      <w:sz w:val="21"/>
                      <w:szCs w:val="21"/>
                      <w:highlight w:val="none"/>
                    </w:rPr>
                  </w:pPr>
                  <w:r>
                    <w:rPr>
                      <w:rFonts w:hint="default" w:ascii="Times New Roman" w:hAnsi="Times New Roman" w:eastAsia="宋体" w:cs="Times New Roman"/>
                      <w:bCs/>
                      <w:color w:val="auto"/>
                      <w:spacing w:val="0"/>
                      <w:kern w:val="0"/>
                      <w:position w:val="0"/>
                      <w:sz w:val="21"/>
                      <w:szCs w:val="21"/>
                      <w:highlight w:val="none"/>
                    </w:rPr>
                    <w:t>供热</w:t>
                  </w:r>
                </w:p>
              </w:tc>
              <w:tc>
                <w:tcPr>
                  <w:tcW w:w="5491" w:type="dxa"/>
                  <w:noWrap w:val="0"/>
                  <w:vAlign w:val="center"/>
                </w:tcPr>
                <w:p w14:paraId="5098C2C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本项目冬季生活供热依托集中供热，生产用热由厂内15t/h生物质锅炉提供。</w:t>
                  </w:r>
                </w:p>
              </w:tc>
              <w:tc>
                <w:tcPr>
                  <w:tcW w:w="683" w:type="dxa"/>
                  <w:noWrap w:val="0"/>
                  <w:vAlign w:val="center"/>
                </w:tcPr>
                <w:p w14:paraId="3DA8520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依托</w:t>
                  </w:r>
                </w:p>
              </w:tc>
            </w:tr>
            <w:tr w14:paraId="18EDE8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restart"/>
                  <w:noWrap w:val="0"/>
                  <w:vAlign w:val="center"/>
                </w:tcPr>
                <w:p w14:paraId="152C1271">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环保工程</w:t>
                  </w:r>
                </w:p>
              </w:tc>
              <w:tc>
                <w:tcPr>
                  <w:tcW w:w="682" w:type="dxa"/>
                  <w:vMerge w:val="restart"/>
                  <w:noWrap w:val="0"/>
                  <w:vAlign w:val="center"/>
                </w:tcPr>
                <w:p w14:paraId="1D1F6C7C">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kern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废气治理</w:t>
                  </w:r>
                </w:p>
              </w:tc>
              <w:tc>
                <w:tcPr>
                  <w:tcW w:w="855" w:type="dxa"/>
                  <w:noWrap w:val="0"/>
                  <w:vAlign w:val="center"/>
                </w:tcPr>
                <w:p w14:paraId="56C9C5D8">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eastAsia="zh-CN"/>
                    </w:rPr>
                  </w:pPr>
                  <w:r>
                    <w:rPr>
                      <w:rFonts w:hint="default" w:ascii="Times New Roman" w:hAnsi="Times New Roman" w:eastAsia="宋体" w:cs="Times New Roman"/>
                      <w:bCs/>
                      <w:color w:val="auto"/>
                      <w:spacing w:val="0"/>
                      <w:position w:val="0"/>
                      <w:sz w:val="21"/>
                      <w:szCs w:val="21"/>
                      <w:highlight w:val="none"/>
                      <w:lang w:eastAsia="zh-CN"/>
                    </w:rPr>
                    <w:t>预处理车间废气</w:t>
                  </w:r>
                </w:p>
              </w:tc>
              <w:tc>
                <w:tcPr>
                  <w:tcW w:w="5491" w:type="dxa"/>
                  <w:noWrap w:val="0"/>
                  <w:vAlign w:val="center"/>
                </w:tcPr>
                <w:p w14:paraId="258E4C9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在</w:t>
                  </w:r>
                  <w:r>
                    <w:rPr>
                      <w:rFonts w:hint="default" w:ascii="Times New Roman" w:hAnsi="Times New Roman" w:eastAsia="宋体" w:cs="Times New Roman"/>
                      <w:bCs/>
                      <w:color w:val="auto"/>
                      <w:spacing w:val="0"/>
                      <w:position w:val="0"/>
                      <w:sz w:val="21"/>
                      <w:szCs w:val="21"/>
                      <w:highlight w:val="none"/>
                    </w:rPr>
                    <w:t>预处理车间</w:t>
                  </w:r>
                  <w:r>
                    <w:rPr>
                      <w:rFonts w:hint="default" w:ascii="Times New Roman" w:hAnsi="Times New Roman" w:eastAsia="宋体" w:cs="Times New Roman"/>
                      <w:color w:val="auto"/>
                      <w:spacing w:val="0"/>
                      <w:position w:val="0"/>
                      <w:sz w:val="21"/>
                      <w:szCs w:val="21"/>
                      <w:highlight w:val="none"/>
                    </w:rPr>
                    <w:t>清理工段、平板烘干机上方设置</w:t>
                  </w:r>
                  <w:r>
                    <w:rPr>
                      <w:rFonts w:hint="default" w:ascii="Times New Roman" w:hAnsi="Times New Roman" w:cs="Times New Roman"/>
                      <w:color w:val="auto"/>
                      <w:spacing w:val="0"/>
                      <w:position w:val="0"/>
                      <w:sz w:val="21"/>
                      <w:szCs w:val="21"/>
                      <w:highlight w:val="none"/>
                      <w:lang w:eastAsia="zh-CN"/>
                    </w:rPr>
                    <w:t>集气装置</w:t>
                  </w:r>
                  <w:r>
                    <w:rPr>
                      <w:rFonts w:hint="default" w:ascii="Times New Roman" w:hAnsi="Times New Roman" w:eastAsia="宋体" w:cs="Times New Roman"/>
                      <w:color w:val="auto"/>
                      <w:spacing w:val="0"/>
                      <w:position w:val="0"/>
                      <w:sz w:val="21"/>
                      <w:szCs w:val="21"/>
                      <w:highlight w:val="none"/>
                      <w:lang w:eastAsia="zh-CN"/>
                    </w:rPr>
                    <w:t>，收集效率为</w:t>
                  </w:r>
                  <w:r>
                    <w:rPr>
                      <w:rFonts w:hint="default" w:ascii="Times New Roman" w:hAnsi="Times New Roman" w:eastAsia="宋体" w:cs="Times New Roman"/>
                      <w:color w:val="auto"/>
                      <w:spacing w:val="0"/>
                      <w:position w:val="0"/>
                      <w:sz w:val="21"/>
                      <w:szCs w:val="21"/>
                      <w:highlight w:val="none"/>
                      <w:lang w:val="en-US" w:eastAsia="zh-CN"/>
                    </w:rPr>
                    <w:t>90%</w:t>
                  </w:r>
                  <w:r>
                    <w:rPr>
                      <w:rFonts w:hint="default" w:ascii="Times New Roman" w:hAnsi="Times New Roman" w:eastAsia="宋体" w:cs="Times New Roman"/>
                      <w:color w:val="auto"/>
                      <w:spacing w:val="0"/>
                      <w:position w:val="0"/>
                      <w:sz w:val="21"/>
                      <w:szCs w:val="21"/>
                      <w:highlight w:val="none"/>
                    </w:rPr>
                    <w:t>，收集的废气经袋式除尘器处理后</w:t>
                  </w:r>
                  <w:r>
                    <w:rPr>
                      <w:rFonts w:hint="default" w:ascii="Times New Roman" w:hAnsi="Times New Roman" w:eastAsia="宋体" w:cs="Times New Roman"/>
                      <w:color w:val="auto"/>
                      <w:spacing w:val="0"/>
                      <w:position w:val="0"/>
                      <w:sz w:val="21"/>
                      <w:szCs w:val="21"/>
                      <w:highlight w:val="none"/>
                      <w:lang w:eastAsia="zh-CN"/>
                    </w:rPr>
                    <w:t>（处理效率为</w:t>
                  </w:r>
                  <w:r>
                    <w:rPr>
                      <w:rFonts w:hint="default" w:ascii="Times New Roman" w:hAnsi="Times New Roman" w:eastAsia="宋体" w:cs="Times New Roman"/>
                      <w:color w:val="auto"/>
                      <w:spacing w:val="0"/>
                      <w:position w:val="0"/>
                      <w:sz w:val="21"/>
                      <w:szCs w:val="21"/>
                      <w:highlight w:val="none"/>
                      <w:lang w:val="en-US" w:eastAsia="zh-CN"/>
                    </w:rPr>
                    <w:t>99%</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bCs/>
                      <w:color w:val="auto"/>
                      <w:spacing w:val="0"/>
                      <w:position w:val="0"/>
                      <w:sz w:val="21"/>
                      <w:szCs w:val="21"/>
                      <w:highlight w:val="none"/>
                    </w:rPr>
                    <w:t>经1</w:t>
                  </w:r>
                  <w:r>
                    <w:rPr>
                      <w:rFonts w:hint="default" w:ascii="Times New Roman" w:hAnsi="Times New Roman" w:cs="Times New Roman"/>
                      <w:bCs/>
                      <w:color w:val="auto"/>
                      <w:spacing w:val="0"/>
                      <w:position w:val="0"/>
                      <w:sz w:val="21"/>
                      <w:szCs w:val="21"/>
                      <w:highlight w:val="none"/>
                      <w:lang w:eastAsia="zh-CN"/>
                    </w:rPr>
                    <w:t>根</w:t>
                  </w:r>
                  <w:r>
                    <w:rPr>
                      <w:rFonts w:hint="default" w:ascii="Times New Roman" w:hAnsi="Times New Roman" w:eastAsia="宋体" w:cs="Times New Roman"/>
                      <w:bCs/>
                      <w:color w:val="auto"/>
                      <w:spacing w:val="0"/>
                      <w:position w:val="0"/>
                      <w:sz w:val="21"/>
                      <w:szCs w:val="21"/>
                      <w:highlight w:val="none"/>
                    </w:rPr>
                    <w:t>15m高排气筒排放</w:t>
                  </w:r>
                  <w:r>
                    <w:rPr>
                      <w:rFonts w:hint="default" w:ascii="Times New Roman" w:hAnsi="Times New Roman" w:eastAsia="宋体" w:cs="Times New Roman"/>
                      <w:bCs/>
                      <w:color w:val="auto"/>
                      <w:spacing w:val="0"/>
                      <w:position w:val="0"/>
                      <w:sz w:val="21"/>
                      <w:szCs w:val="21"/>
                      <w:highlight w:val="none"/>
                      <w:lang w:eastAsia="zh-CN"/>
                    </w:rPr>
                    <w:t>（</w:t>
                  </w:r>
                  <w:r>
                    <w:rPr>
                      <w:rFonts w:hint="default" w:ascii="Times New Roman" w:hAnsi="Times New Roman" w:eastAsia="宋体" w:cs="Times New Roman"/>
                      <w:bCs/>
                      <w:color w:val="auto"/>
                      <w:spacing w:val="0"/>
                      <w:position w:val="0"/>
                      <w:sz w:val="21"/>
                      <w:szCs w:val="21"/>
                      <w:highlight w:val="none"/>
                      <w:lang w:val="en-US" w:eastAsia="zh-CN"/>
                    </w:rPr>
                    <w:t>DA001</w:t>
                  </w:r>
                  <w:r>
                    <w:rPr>
                      <w:rFonts w:hint="default" w:ascii="Times New Roman" w:hAnsi="Times New Roman" w:eastAsia="宋体" w:cs="Times New Roman"/>
                      <w:bCs/>
                      <w:color w:val="auto"/>
                      <w:spacing w:val="0"/>
                      <w:position w:val="0"/>
                      <w:sz w:val="21"/>
                      <w:szCs w:val="21"/>
                      <w:highlight w:val="none"/>
                      <w:lang w:eastAsia="zh-CN"/>
                    </w:rPr>
                    <w:t>）</w:t>
                  </w:r>
                  <w:r>
                    <w:rPr>
                      <w:rFonts w:hint="default" w:ascii="Times New Roman" w:hAnsi="Times New Roman" w:eastAsia="宋体" w:cs="Times New Roman"/>
                      <w:bCs/>
                      <w:color w:val="auto"/>
                      <w:spacing w:val="0"/>
                      <w:position w:val="0"/>
                      <w:sz w:val="21"/>
                      <w:szCs w:val="21"/>
                      <w:highlight w:val="none"/>
                    </w:rPr>
                    <w:t>。</w:t>
                  </w:r>
                </w:p>
              </w:tc>
              <w:tc>
                <w:tcPr>
                  <w:tcW w:w="683" w:type="dxa"/>
                  <w:noWrap w:val="0"/>
                  <w:vAlign w:val="center"/>
                </w:tcPr>
                <w:p w14:paraId="272734F1">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新建</w:t>
                  </w:r>
                </w:p>
              </w:tc>
            </w:tr>
            <w:tr w14:paraId="714C69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58F66E9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682" w:type="dxa"/>
                  <w:vMerge w:val="continue"/>
                  <w:noWrap w:val="0"/>
                  <w:vAlign w:val="center"/>
                </w:tcPr>
                <w:p w14:paraId="3F545541">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855" w:type="dxa"/>
                  <w:noWrap w:val="0"/>
                  <w:vAlign w:val="center"/>
                </w:tcPr>
                <w:p w14:paraId="16F8DD0B">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lang w:eastAsia="zh-CN"/>
                    </w:rPr>
                    <w:t>浸出车间废气</w:t>
                  </w:r>
                </w:p>
              </w:tc>
              <w:tc>
                <w:tcPr>
                  <w:tcW w:w="5491" w:type="dxa"/>
                  <w:noWrap w:val="0"/>
                  <w:vAlign w:val="center"/>
                </w:tcPr>
                <w:p w14:paraId="224B574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浸出车间各生产环节所产生的不冷凝尾气通过</w:t>
                  </w:r>
                  <w:r>
                    <w:rPr>
                      <w:rFonts w:hint="default" w:ascii="Times New Roman" w:hAnsi="Times New Roman" w:eastAsia="宋体" w:cs="Times New Roman"/>
                      <w:color w:val="auto"/>
                      <w:spacing w:val="0"/>
                      <w:position w:val="0"/>
                      <w:sz w:val="21"/>
                      <w:szCs w:val="21"/>
                      <w:highlight w:val="none"/>
                    </w:rPr>
                    <w:t>多级冷凝+石蜡吸收工艺</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cs="Times New Roman"/>
                      <w:color w:val="auto"/>
                      <w:spacing w:val="0"/>
                      <w:position w:val="0"/>
                      <w:sz w:val="21"/>
                      <w:szCs w:val="21"/>
                      <w:highlight w:val="none"/>
                      <w:lang w:val="en-US" w:eastAsia="zh-CN"/>
                    </w:rPr>
                    <w:t>处理</w:t>
                  </w:r>
                  <w:r>
                    <w:rPr>
                      <w:rFonts w:hint="default" w:ascii="Times New Roman" w:hAnsi="Times New Roman" w:eastAsia="宋体" w:cs="Times New Roman"/>
                      <w:color w:val="auto"/>
                      <w:spacing w:val="0"/>
                      <w:position w:val="0"/>
                      <w:sz w:val="21"/>
                      <w:szCs w:val="21"/>
                      <w:highlight w:val="none"/>
                      <w:lang w:eastAsia="zh-CN"/>
                    </w:rPr>
                    <w:t>效率</w:t>
                  </w:r>
                  <w:r>
                    <w:rPr>
                      <w:rFonts w:hint="default" w:ascii="Times New Roman" w:hAnsi="Times New Roman" w:eastAsia="宋体" w:cs="Times New Roman"/>
                      <w:color w:val="auto"/>
                      <w:spacing w:val="0"/>
                      <w:position w:val="0"/>
                      <w:sz w:val="21"/>
                      <w:szCs w:val="21"/>
                      <w:highlight w:val="none"/>
                      <w:lang w:val="en-US" w:eastAsia="zh-CN"/>
                    </w:rPr>
                    <w:t>9</w:t>
                  </w:r>
                  <w:r>
                    <w:rPr>
                      <w:rFonts w:hint="default" w:ascii="Times New Roman" w:hAnsi="Times New Roman" w:cs="Times New Roman"/>
                      <w:color w:val="auto"/>
                      <w:spacing w:val="0"/>
                      <w:position w:val="0"/>
                      <w:sz w:val="21"/>
                      <w:szCs w:val="21"/>
                      <w:highlight w:val="none"/>
                      <w:lang w:val="en-US" w:eastAsia="zh-CN"/>
                    </w:rPr>
                    <w:t>9.9</w:t>
                  </w:r>
                  <w:r>
                    <w:rPr>
                      <w:rFonts w:hint="default" w:ascii="Times New Roman" w:hAnsi="Times New Roman" w:eastAsia="宋体" w:cs="Times New Roman"/>
                      <w:color w:val="auto"/>
                      <w:spacing w:val="0"/>
                      <w:position w:val="0"/>
                      <w:sz w:val="21"/>
                      <w:szCs w:val="21"/>
                      <w:highlight w:val="none"/>
                      <w:lang w:val="en-US" w:eastAsia="zh-CN"/>
                    </w:rPr>
                    <w:t>%</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吸收处理后</w:t>
                  </w:r>
                  <w:r>
                    <w:rPr>
                      <w:rFonts w:hint="default" w:ascii="Times New Roman" w:hAnsi="Times New Roman" w:eastAsia="宋体" w:cs="Times New Roman"/>
                      <w:bCs/>
                      <w:color w:val="auto"/>
                      <w:spacing w:val="0"/>
                      <w:position w:val="0"/>
                      <w:sz w:val="21"/>
                      <w:szCs w:val="21"/>
                      <w:highlight w:val="none"/>
                    </w:rPr>
                    <w:t>经15m高排气筒排放</w:t>
                  </w:r>
                  <w:r>
                    <w:rPr>
                      <w:rFonts w:hint="default" w:ascii="Times New Roman" w:hAnsi="Times New Roman" w:cs="Times New Roman"/>
                      <w:bCs/>
                      <w:color w:val="auto"/>
                      <w:spacing w:val="0"/>
                      <w:position w:val="0"/>
                      <w:sz w:val="21"/>
                      <w:szCs w:val="21"/>
                      <w:highlight w:val="none"/>
                      <w:lang w:val="en-US" w:eastAsia="zh-CN"/>
                    </w:rPr>
                    <w:t>（</w:t>
                  </w:r>
                  <w:r>
                    <w:rPr>
                      <w:rFonts w:hint="default" w:ascii="Times New Roman" w:hAnsi="Times New Roman" w:eastAsia="宋体" w:cs="Times New Roman"/>
                      <w:bCs/>
                      <w:color w:val="auto"/>
                      <w:spacing w:val="0"/>
                      <w:position w:val="0"/>
                      <w:sz w:val="21"/>
                      <w:szCs w:val="21"/>
                      <w:highlight w:val="none"/>
                      <w:lang w:val="en-US" w:eastAsia="zh-CN"/>
                    </w:rPr>
                    <w:t>DA002</w:t>
                  </w:r>
                  <w:r>
                    <w:rPr>
                      <w:rFonts w:hint="default" w:ascii="Times New Roman" w:hAnsi="Times New Roman" w:cs="Times New Roman"/>
                      <w:bCs/>
                      <w:color w:val="auto"/>
                      <w:spacing w:val="0"/>
                      <w:position w:val="0"/>
                      <w:sz w:val="21"/>
                      <w:szCs w:val="21"/>
                      <w:highlight w:val="none"/>
                      <w:lang w:val="en-US" w:eastAsia="zh-CN"/>
                    </w:rPr>
                    <w:t>）</w:t>
                  </w:r>
                  <w:r>
                    <w:rPr>
                      <w:rFonts w:hint="default" w:ascii="Times New Roman" w:hAnsi="Times New Roman" w:eastAsia="宋体" w:cs="Times New Roman"/>
                      <w:bCs/>
                      <w:color w:val="auto"/>
                      <w:spacing w:val="0"/>
                      <w:position w:val="0"/>
                      <w:sz w:val="21"/>
                      <w:szCs w:val="21"/>
                      <w:highlight w:val="none"/>
                      <w:lang w:val="en-US" w:eastAsia="zh-CN"/>
                    </w:rPr>
                    <w:t>。</w:t>
                  </w:r>
                </w:p>
              </w:tc>
              <w:tc>
                <w:tcPr>
                  <w:tcW w:w="683" w:type="dxa"/>
                  <w:noWrap w:val="0"/>
                  <w:vAlign w:val="center"/>
                </w:tcPr>
                <w:p w14:paraId="7B10AAD2">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新建</w:t>
                  </w:r>
                </w:p>
              </w:tc>
            </w:tr>
            <w:tr w14:paraId="47F80D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1BC0241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682" w:type="dxa"/>
                  <w:vMerge w:val="continue"/>
                  <w:noWrap w:val="0"/>
                  <w:vAlign w:val="center"/>
                </w:tcPr>
                <w:p w14:paraId="3FBAB696">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855" w:type="dxa"/>
                  <w:noWrap w:val="0"/>
                  <w:vAlign w:val="center"/>
                </w:tcPr>
                <w:p w14:paraId="5762AD9F">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精炼车间废气</w:t>
                  </w:r>
                </w:p>
              </w:tc>
              <w:tc>
                <w:tcPr>
                  <w:tcW w:w="5491" w:type="dxa"/>
                  <w:noWrap w:val="0"/>
                  <w:vAlign w:val="center"/>
                </w:tcPr>
                <w:p w14:paraId="52A3772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eastAsia="zh-CN"/>
                    </w:rPr>
                  </w:pPr>
                  <w:r>
                    <w:rPr>
                      <w:rFonts w:hint="default" w:ascii="Times New Roman" w:hAnsi="Times New Roman" w:eastAsia="宋体" w:cs="Times New Roman"/>
                      <w:bCs/>
                      <w:color w:val="auto"/>
                      <w:spacing w:val="0"/>
                      <w:position w:val="0"/>
                      <w:sz w:val="21"/>
                      <w:szCs w:val="21"/>
                      <w:highlight w:val="none"/>
                      <w:lang w:eastAsia="zh-CN"/>
                    </w:rPr>
                    <w:t>本项目脱色、脱臭均采用密闭设备，精炼车间废气经密闭设备管道收集后送入一套“石蜡吸收+活性炭吸附”装置</w:t>
                  </w:r>
                  <w:r>
                    <w:rPr>
                      <w:rFonts w:hint="default" w:ascii="Times New Roman" w:hAnsi="Times New Roman" w:cs="Times New Roman"/>
                      <w:bCs/>
                      <w:color w:val="auto"/>
                      <w:spacing w:val="0"/>
                      <w:position w:val="0"/>
                      <w:sz w:val="21"/>
                      <w:szCs w:val="21"/>
                      <w:highlight w:val="none"/>
                      <w:lang w:eastAsia="zh-CN"/>
                    </w:rPr>
                    <w:t>（</w:t>
                  </w:r>
                  <w:r>
                    <w:rPr>
                      <w:rFonts w:hint="default" w:ascii="Times New Roman" w:hAnsi="Times New Roman" w:cs="Times New Roman"/>
                      <w:bCs/>
                      <w:color w:val="auto"/>
                      <w:spacing w:val="0"/>
                      <w:position w:val="0"/>
                      <w:sz w:val="21"/>
                      <w:szCs w:val="21"/>
                      <w:highlight w:val="none"/>
                      <w:lang w:val="en-US" w:eastAsia="zh-CN"/>
                    </w:rPr>
                    <w:t>处理</w:t>
                  </w:r>
                  <w:r>
                    <w:rPr>
                      <w:rFonts w:hint="default" w:ascii="Times New Roman" w:hAnsi="Times New Roman" w:cs="Times New Roman"/>
                      <w:bCs/>
                      <w:color w:val="auto"/>
                      <w:spacing w:val="0"/>
                      <w:position w:val="0"/>
                      <w:sz w:val="21"/>
                      <w:szCs w:val="21"/>
                      <w:highlight w:val="none"/>
                      <w:lang w:eastAsia="zh-CN"/>
                    </w:rPr>
                    <w:t>效率99%）</w:t>
                  </w:r>
                  <w:r>
                    <w:rPr>
                      <w:rFonts w:hint="default" w:ascii="Times New Roman" w:hAnsi="Times New Roman" w:eastAsia="宋体" w:cs="Times New Roman"/>
                      <w:bCs/>
                      <w:color w:val="auto"/>
                      <w:spacing w:val="0"/>
                      <w:position w:val="0"/>
                      <w:sz w:val="21"/>
                      <w:szCs w:val="21"/>
                      <w:highlight w:val="none"/>
                      <w:lang w:eastAsia="zh-CN"/>
                    </w:rPr>
                    <w:t>处理后经管道引至15m高排气筒排放（DA003）</w:t>
                  </w:r>
                  <w:r>
                    <w:rPr>
                      <w:rFonts w:hint="default" w:ascii="Times New Roman" w:hAnsi="Times New Roman" w:cs="Times New Roman"/>
                      <w:bCs/>
                      <w:color w:val="auto"/>
                      <w:spacing w:val="0"/>
                      <w:position w:val="0"/>
                      <w:sz w:val="21"/>
                      <w:szCs w:val="21"/>
                      <w:highlight w:val="none"/>
                      <w:lang w:eastAsia="zh-CN"/>
                    </w:rPr>
                    <w:t>。</w:t>
                  </w:r>
                </w:p>
              </w:tc>
              <w:tc>
                <w:tcPr>
                  <w:tcW w:w="683" w:type="dxa"/>
                  <w:noWrap w:val="0"/>
                  <w:vAlign w:val="center"/>
                </w:tcPr>
                <w:p w14:paraId="100A97B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新建</w:t>
                  </w:r>
                </w:p>
              </w:tc>
            </w:tr>
            <w:tr w14:paraId="425E23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73DB663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682" w:type="dxa"/>
                  <w:vMerge w:val="continue"/>
                  <w:noWrap w:val="0"/>
                  <w:vAlign w:val="center"/>
                </w:tcPr>
                <w:p w14:paraId="2468C90B">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855" w:type="dxa"/>
                  <w:noWrap w:val="0"/>
                  <w:vAlign w:val="center"/>
                </w:tcPr>
                <w:p w14:paraId="0C7D06D3">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eastAsia="zh-CN"/>
                    </w:rPr>
                  </w:pPr>
                  <w:r>
                    <w:rPr>
                      <w:rFonts w:hint="default" w:ascii="Times New Roman" w:hAnsi="Times New Roman" w:eastAsia="宋体" w:cs="Times New Roman"/>
                      <w:bCs/>
                      <w:color w:val="auto"/>
                      <w:spacing w:val="0"/>
                      <w:position w:val="0"/>
                      <w:sz w:val="21"/>
                      <w:szCs w:val="21"/>
                      <w:highlight w:val="none"/>
                      <w:lang w:eastAsia="zh-CN"/>
                    </w:rPr>
                    <w:t>锅炉烟气</w:t>
                  </w:r>
                </w:p>
              </w:tc>
              <w:tc>
                <w:tcPr>
                  <w:tcW w:w="5491" w:type="dxa"/>
                  <w:noWrap w:val="0"/>
                  <w:vAlign w:val="center"/>
                </w:tcPr>
                <w:p w14:paraId="7578A0E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锅炉烟气经</w:t>
                  </w:r>
                  <w:r>
                    <w:rPr>
                      <w:rFonts w:hint="default" w:ascii="Times New Roman" w:hAnsi="Times New Roman" w:eastAsia="宋体" w:cs="Times New Roman"/>
                      <w:bCs/>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lang w:eastAsia="zh-CN"/>
                    </w:rPr>
                    <w:t>多管旋风</w:t>
                  </w:r>
                  <w:r>
                    <w:rPr>
                      <w:rFonts w:hint="default" w:ascii="Times New Roman" w:hAnsi="Times New Roman" w:eastAsia="宋体" w:cs="Times New Roman"/>
                      <w:color w:val="auto"/>
                      <w:spacing w:val="0"/>
                      <w:position w:val="0"/>
                      <w:sz w:val="21"/>
                      <w:szCs w:val="21"/>
                      <w:highlight w:val="none"/>
                    </w:rPr>
                    <w:t>除尘器+布袋除尘器</w:t>
                  </w:r>
                  <w:r>
                    <w:rPr>
                      <w:rFonts w:hint="default" w:ascii="Times New Roman" w:hAnsi="Times New Roman" w:eastAsia="宋体" w:cs="Times New Roman"/>
                      <w:bCs/>
                      <w:color w:val="auto"/>
                      <w:spacing w:val="0"/>
                      <w:position w:val="0"/>
                      <w:sz w:val="21"/>
                      <w:szCs w:val="21"/>
                      <w:highlight w:val="none"/>
                      <w:lang w:eastAsia="zh-CN"/>
                    </w:rPr>
                    <w:t>”</w:t>
                  </w:r>
                  <w:r>
                    <w:rPr>
                      <w:rFonts w:hint="default" w:ascii="Times New Roman" w:hAnsi="Times New Roman" w:eastAsia="宋体" w:cs="Times New Roman"/>
                      <w:bCs/>
                      <w:color w:val="auto"/>
                      <w:spacing w:val="0"/>
                      <w:position w:val="0"/>
                      <w:sz w:val="21"/>
                      <w:szCs w:val="21"/>
                      <w:highlight w:val="none"/>
                    </w:rPr>
                    <w:t>处理后经40m高烟囱排放</w:t>
                  </w:r>
                  <w:r>
                    <w:rPr>
                      <w:rFonts w:hint="default" w:ascii="Times New Roman" w:hAnsi="Times New Roman" w:cs="Times New Roman"/>
                      <w:bCs/>
                      <w:color w:val="auto"/>
                      <w:spacing w:val="0"/>
                      <w:position w:val="0"/>
                      <w:sz w:val="21"/>
                      <w:szCs w:val="21"/>
                      <w:highlight w:val="none"/>
                      <w:lang w:eastAsia="zh-CN"/>
                    </w:rPr>
                    <w:t>（</w:t>
                  </w:r>
                  <w:r>
                    <w:rPr>
                      <w:rFonts w:hint="default" w:ascii="Times New Roman" w:hAnsi="Times New Roman" w:cs="Times New Roman"/>
                      <w:bCs/>
                      <w:color w:val="auto"/>
                      <w:spacing w:val="0"/>
                      <w:position w:val="0"/>
                      <w:sz w:val="21"/>
                      <w:szCs w:val="21"/>
                      <w:highlight w:val="none"/>
                      <w:lang w:val="en-US" w:eastAsia="zh-CN"/>
                    </w:rPr>
                    <w:t>DA004</w:t>
                  </w:r>
                  <w:r>
                    <w:rPr>
                      <w:rFonts w:hint="default" w:ascii="Times New Roman" w:hAnsi="Times New Roman" w:cs="Times New Roman"/>
                      <w:bCs/>
                      <w:color w:val="auto"/>
                      <w:spacing w:val="0"/>
                      <w:position w:val="0"/>
                      <w:sz w:val="21"/>
                      <w:szCs w:val="21"/>
                      <w:highlight w:val="none"/>
                      <w:lang w:eastAsia="zh-CN"/>
                    </w:rPr>
                    <w:t>）</w:t>
                  </w:r>
                  <w:r>
                    <w:rPr>
                      <w:rFonts w:hint="default" w:ascii="Times New Roman" w:hAnsi="Times New Roman" w:eastAsia="宋体" w:cs="Times New Roman"/>
                      <w:bCs/>
                      <w:color w:val="auto"/>
                      <w:spacing w:val="0"/>
                      <w:position w:val="0"/>
                      <w:sz w:val="21"/>
                      <w:szCs w:val="21"/>
                      <w:highlight w:val="none"/>
                    </w:rPr>
                    <w:t>。</w:t>
                  </w:r>
                </w:p>
              </w:tc>
              <w:tc>
                <w:tcPr>
                  <w:tcW w:w="683" w:type="dxa"/>
                  <w:noWrap w:val="0"/>
                  <w:vAlign w:val="center"/>
                </w:tcPr>
                <w:p w14:paraId="2414E42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新建</w:t>
                  </w:r>
                </w:p>
              </w:tc>
            </w:tr>
            <w:tr w14:paraId="51F756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58CA574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682" w:type="dxa"/>
                  <w:vMerge w:val="continue"/>
                  <w:noWrap w:val="0"/>
                  <w:vAlign w:val="center"/>
                </w:tcPr>
                <w:p w14:paraId="0B5E081A">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855" w:type="dxa"/>
                  <w:noWrap w:val="0"/>
                  <w:vAlign w:val="center"/>
                </w:tcPr>
                <w:p w14:paraId="2354B662">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污水处理站废气</w:t>
                  </w:r>
                </w:p>
              </w:tc>
              <w:tc>
                <w:tcPr>
                  <w:tcW w:w="5491" w:type="dxa"/>
                  <w:noWrap w:val="0"/>
                  <w:vAlign w:val="center"/>
                </w:tcPr>
                <w:p w14:paraId="1DA5A5C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eastAsia="zh-CN"/>
                    </w:rPr>
                  </w:pPr>
                  <w:r>
                    <w:rPr>
                      <w:rFonts w:hint="default" w:ascii="Times New Roman" w:hAnsi="Times New Roman" w:cs="Times New Roman"/>
                      <w:bCs/>
                      <w:color w:val="auto"/>
                      <w:spacing w:val="0"/>
                      <w:position w:val="0"/>
                      <w:sz w:val="21"/>
                      <w:szCs w:val="21"/>
                      <w:highlight w:val="none"/>
                      <w:lang w:val="en-US" w:eastAsia="zh-CN"/>
                    </w:rPr>
                    <w:t>污水处理站废气经</w:t>
                  </w:r>
                  <w:r>
                    <w:rPr>
                      <w:rFonts w:hint="default" w:ascii="Times New Roman" w:hAnsi="Times New Roman" w:eastAsia="宋体" w:cs="Times New Roman"/>
                      <w:bCs/>
                      <w:color w:val="auto"/>
                      <w:spacing w:val="0"/>
                      <w:position w:val="0"/>
                      <w:sz w:val="21"/>
                      <w:szCs w:val="21"/>
                      <w:highlight w:val="none"/>
                    </w:rPr>
                    <w:t>引风机微负压收集，收集效率按90%计，收集</w:t>
                  </w:r>
                  <w:r>
                    <w:rPr>
                      <w:rFonts w:hint="default" w:ascii="Times New Roman" w:hAnsi="Times New Roman" w:cs="Times New Roman"/>
                      <w:bCs/>
                      <w:color w:val="auto"/>
                      <w:spacing w:val="0"/>
                      <w:position w:val="0"/>
                      <w:sz w:val="21"/>
                      <w:szCs w:val="21"/>
                      <w:highlight w:val="none"/>
                      <w:lang w:val="en-US" w:eastAsia="zh-CN"/>
                    </w:rPr>
                    <w:t>的废气</w:t>
                  </w:r>
                  <w:r>
                    <w:rPr>
                      <w:rFonts w:hint="default" w:ascii="Times New Roman" w:hAnsi="Times New Roman" w:eastAsia="宋体" w:cs="Times New Roman"/>
                      <w:bCs/>
                      <w:color w:val="auto"/>
                      <w:spacing w:val="0"/>
                      <w:position w:val="0"/>
                      <w:sz w:val="21"/>
                      <w:szCs w:val="21"/>
                      <w:highlight w:val="none"/>
                    </w:rPr>
                    <w:t>经活性炭吸附处理后（处理效率为80%）</w:t>
                  </w:r>
                  <w:r>
                    <w:rPr>
                      <w:rFonts w:hint="default" w:ascii="Times New Roman" w:hAnsi="Times New Roman" w:cs="Times New Roman"/>
                      <w:bCs/>
                      <w:color w:val="auto"/>
                      <w:spacing w:val="0"/>
                      <w:position w:val="0"/>
                      <w:sz w:val="21"/>
                      <w:szCs w:val="21"/>
                      <w:highlight w:val="none"/>
                      <w:lang w:val="en-US" w:eastAsia="zh-CN"/>
                    </w:rPr>
                    <w:t>后</w:t>
                  </w:r>
                  <w:r>
                    <w:rPr>
                      <w:rFonts w:hint="default" w:ascii="Times New Roman" w:hAnsi="Times New Roman" w:eastAsia="宋体" w:cs="Times New Roman"/>
                      <w:bCs/>
                      <w:color w:val="auto"/>
                      <w:spacing w:val="0"/>
                      <w:position w:val="0"/>
                      <w:sz w:val="21"/>
                      <w:szCs w:val="21"/>
                      <w:highlight w:val="none"/>
                    </w:rPr>
                    <w:t>通过1根15米高排气筒排放（DA005）</w:t>
                  </w:r>
                  <w:r>
                    <w:rPr>
                      <w:rFonts w:hint="default" w:ascii="Times New Roman" w:hAnsi="Times New Roman" w:eastAsia="宋体" w:cs="Times New Roman"/>
                      <w:bCs/>
                      <w:color w:val="auto"/>
                      <w:spacing w:val="0"/>
                      <w:position w:val="0"/>
                      <w:sz w:val="21"/>
                      <w:szCs w:val="21"/>
                      <w:highlight w:val="none"/>
                      <w:lang w:eastAsia="zh-CN"/>
                    </w:rPr>
                    <w:t>。</w:t>
                  </w:r>
                </w:p>
              </w:tc>
              <w:tc>
                <w:tcPr>
                  <w:tcW w:w="683" w:type="dxa"/>
                  <w:noWrap w:val="0"/>
                  <w:vAlign w:val="center"/>
                </w:tcPr>
                <w:p w14:paraId="17715EE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新建</w:t>
                  </w:r>
                </w:p>
              </w:tc>
            </w:tr>
            <w:tr w14:paraId="3D252F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5349A31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682" w:type="dxa"/>
                  <w:vMerge w:val="continue"/>
                  <w:noWrap w:val="0"/>
                  <w:vAlign w:val="center"/>
                </w:tcPr>
                <w:p w14:paraId="5FA851A4">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855" w:type="dxa"/>
                  <w:noWrap w:val="0"/>
                  <w:vAlign w:val="center"/>
                </w:tcPr>
                <w:p w14:paraId="0B19C7EA">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eastAsia="zh-CN"/>
                    </w:rPr>
                  </w:pPr>
                  <w:r>
                    <w:rPr>
                      <w:rFonts w:hint="default" w:ascii="Times New Roman" w:hAnsi="Times New Roman" w:eastAsia="宋体" w:cs="Times New Roman"/>
                      <w:bCs/>
                      <w:color w:val="auto"/>
                      <w:spacing w:val="0"/>
                      <w:position w:val="0"/>
                      <w:sz w:val="21"/>
                      <w:szCs w:val="21"/>
                      <w:highlight w:val="none"/>
                      <w:lang w:eastAsia="zh-CN"/>
                    </w:rPr>
                    <w:t>无组织排放控制措施</w:t>
                  </w:r>
                </w:p>
              </w:tc>
              <w:tc>
                <w:tcPr>
                  <w:tcW w:w="5491" w:type="dxa"/>
                  <w:noWrap w:val="0"/>
                  <w:vAlign w:val="center"/>
                </w:tcPr>
                <w:p w14:paraId="7A009B1C">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eastAsia="zh-CN"/>
                    </w:rPr>
                  </w:pPr>
                  <w:r>
                    <w:rPr>
                      <w:rFonts w:hint="default" w:ascii="Times New Roman" w:hAnsi="Times New Roman" w:cs="Times New Roman"/>
                      <w:color w:val="auto"/>
                      <w:spacing w:val="0"/>
                      <w:position w:val="0"/>
                      <w:sz w:val="21"/>
                      <w:szCs w:val="21"/>
                      <w:highlight w:val="none"/>
                      <w:lang w:val="en-US" w:eastAsia="zh-CN"/>
                    </w:rPr>
                    <w:t>预处理车间密闭，</w:t>
                  </w:r>
                  <w:r>
                    <w:rPr>
                      <w:rFonts w:hint="default" w:ascii="Times New Roman" w:hAnsi="Times New Roman" w:eastAsia="宋体" w:cs="Times New Roman"/>
                      <w:color w:val="auto"/>
                      <w:spacing w:val="0"/>
                      <w:position w:val="0"/>
                      <w:sz w:val="21"/>
                      <w:szCs w:val="21"/>
                      <w:highlight w:val="none"/>
                    </w:rPr>
                    <w:t>浸出车间工艺系统设置负压吸风系统；正己烷储罐采用地埋式；采用原装进口的填料和密封垫片，经常巡检泵、管件阀门、进料口等并及时处理。</w:t>
                  </w:r>
                </w:p>
              </w:tc>
              <w:tc>
                <w:tcPr>
                  <w:tcW w:w="683" w:type="dxa"/>
                  <w:noWrap w:val="0"/>
                  <w:vAlign w:val="center"/>
                </w:tcPr>
                <w:p w14:paraId="5D201B0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新建</w:t>
                  </w:r>
                </w:p>
              </w:tc>
            </w:tr>
            <w:tr w14:paraId="579D5D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6B4A471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16FEC526">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kern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废水治理</w:t>
                  </w:r>
                </w:p>
              </w:tc>
              <w:tc>
                <w:tcPr>
                  <w:tcW w:w="5491" w:type="dxa"/>
                  <w:noWrap w:val="0"/>
                  <w:vAlign w:val="center"/>
                </w:tcPr>
                <w:p w14:paraId="326135B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本项目生活污水、锅炉排污水、软化水处理浓水、冷却水排污水与经污水处理站处理后的浸出废水、精炼废水一同经市政管网排入桦川县污水处理厂。</w:t>
                  </w:r>
                </w:p>
              </w:tc>
              <w:tc>
                <w:tcPr>
                  <w:tcW w:w="683" w:type="dxa"/>
                  <w:noWrap w:val="0"/>
                  <w:vAlign w:val="center"/>
                </w:tcPr>
                <w:p w14:paraId="2E82BCB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依托</w:t>
                  </w:r>
                </w:p>
              </w:tc>
            </w:tr>
            <w:tr w14:paraId="27E5E4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678942E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0CE9004A">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kern w:val="0"/>
                      <w:position w:val="0"/>
                      <w:sz w:val="21"/>
                      <w:szCs w:val="21"/>
                      <w:highlight w:val="none"/>
                    </w:rPr>
                  </w:pPr>
                  <w:r>
                    <w:rPr>
                      <w:rFonts w:hint="default" w:ascii="Times New Roman" w:hAnsi="Times New Roman" w:eastAsia="宋体" w:cs="Times New Roman"/>
                      <w:bCs/>
                      <w:color w:val="auto"/>
                      <w:spacing w:val="0"/>
                      <w:kern w:val="0"/>
                      <w:position w:val="0"/>
                      <w:sz w:val="21"/>
                      <w:szCs w:val="21"/>
                      <w:highlight w:val="none"/>
                    </w:rPr>
                    <w:t>噪声治理</w:t>
                  </w:r>
                </w:p>
              </w:tc>
              <w:tc>
                <w:tcPr>
                  <w:tcW w:w="5491" w:type="dxa"/>
                  <w:noWrap w:val="0"/>
                  <w:vAlign w:val="center"/>
                </w:tcPr>
                <w:p w14:paraId="724E1FF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left"/>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采用低噪声设备、建筑物隔声后，厂界满足《工业企业厂界环境噪声排放标准》</w:t>
                  </w:r>
                  <w:r>
                    <w:rPr>
                      <w:rFonts w:hint="default" w:ascii="Times New Roman" w:hAnsi="Times New Roman"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GB12348-2008</w:t>
                  </w:r>
                  <w:r>
                    <w:rPr>
                      <w:rFonts w:hint="default" w:ascii="Times New Roman" w:hAnsi="Times New Roman"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表1中</w:t>
                  </w:r>
                  <w:r>
                    <w:rPr>
                      <w:rFonts w:hint="default" w:ascii="Times New Roman" w:hAnsi="Times New Roman" w:eastAsia="宋体" w:cs="Times New Roman"/>
                      <w:color w:val="auto"/>
                      <w:spacing w:val="0"/>
                      <w:position w:val="0"/>
                      <w:sz w:val="21"/>
                      <w:szCs w:val="21"/>
                      <w:highlight w:val="none"/>
                      <w:lang w:val="en-US" w:eastAsia="zh-CN"/>
                    </w:rPr>
                    <w:t>3</w:t>
                  </w:r>
                  <w:r>
                    <w:rPr>
                      <w:rFonts w:hint="default" w:ascii="Times New Roman" w:hAnsi="Times New Roman" w:eastAsia="宋体" w:cs="Times New Roman"/>
                      <w:color w:val="auto"/>
                      <w:spacing w:val="0"/>
                      <w:position w:val="0"/>
                      <w:sz w:val="21"/>
                      <w:szCs w:val="21"/>
                      <w:highlight w:val="none"/>
                    </w:rPr>
                    <w:t>类标准。</w:t>
                  </w:r>
                </w:p>
              </w:tc>
              <w:tc>
                <w:tcPr>
                  <w:tcW w:w="683" w:type="dxa"/>
                  <w:noWrap w:val="0"/>
                  <w:vAlign w:val="center"/>
                </w:tcPr>
                <w:p w14:paraId="06C762C2">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cs="Times New Roman"/>
                      <w:bCs/>
                      <w:color w:val="auto"/>
                      <w:spacing w:val="0"/>
                      <w:position w:val="0"/>
                      <w:sz w:val="21"/>
                      <w:szCs w:val="21"/>
                      <w:highlight w:val="none"/>
                      <w:lang w:val="en-US" w:eastAsia="zh-CN"/>
                    </w:rPr>
                    <w:t>新建</w:t>
                  </w:r>
                </w:p>
              </w:tc>
            </w:tr>
            <w:tr w14:paraId="7DF9DD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456E9A2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5A9F3055">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kern w:val="0"/>
                      <w:position w:val="0"/>
                      <w:sz w:val="21"/>
                      <w:szCs w:val="21"/>
                      <w:highlight w:val="none"/>
                    </w:rPr>
                  </w:pPr>
                  <w:r>
                    <w:rPr>
                      <w:rFonts w:hint="default" w:ascii="Times New Roman" w:hAnsi="Times New Roman" w:eastAsia="宋体" w:cs="Times New Roman"/>
                      <w:bCs/>
                      <w:color w:val="auto"/>
                      <w:spacing w:val="0"/>
                      <w:kern w:val="0"/>
                      <w:position w:val="0"/>
                      <w:sz w:val="21"/>
                      <w:szCs w:val="21"/>
                      <w:highlight w:val="none"/>
                    </w:rPr>
                    <w:t>固废治理</w:t>
                  </w:r>
                </w:p>
              </w:tc>
              <w:tc>
                <w:tcPr>
                  <w:tcW w:w="5491" w:type="dxa"/>
                  <w:noWrap w:val="0"/>
                  <w:vAlign w:val="center"/>
                </w:tcPr>
                <w:p w14:paraId="3007A71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生活垃圾交由市政环卫部门处置；预处理车间清理杂质、预处理车间收集粉尘集中收集后定期清运至市政主管部门指定地点进行处置；油角、脂肪酸外售综合利用；废白土集中收集交由厂家回收处理；锅炉炉渣、锅炉除尘器收尘集中收集后外售综合利用；废离子交换树脂更换时交由厂家回收利用；废布袋更换时交由厂家回收利用；污水处理站污泥定期清运至市政主管部门指定地点进行处置；污水处理站废活性炭定期清运至市政主管部门指定地点进行处置。精炼车间废活性炭和废机油属于危险废物，暂存于危险废物贮存库内，交由有资质单位处理。</w:t>
                  </w:r>
                </w:p>
              </w:tc>
              <w:tc>
                <w:tcPr>
                  <w:tcW w:w="683" w:type="dxa"/>
                  <w:noWrap w:val="0"/>
                  <w:vAlign w:val="center"/>
                </w:tcPr>
                <w:p w14:paraId="68FA9E5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新建</w:t>
                  </w:r>
                </w:p>
              </w:tc>
            </w:tr>
            <w:tr w14:paraId="349AD5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790376E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5CFF3349">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kern w:val="0"/>
                      <w:position w:val="0"/>
                      <w:sz w:val="21"/>
                      <w:szCs w:val="21"/>
                      <w:highlight w:val="none"/>
                    </w:rPr>
                  </w:pPr>
                  <w:r>
                    <w:rPr>
                      <w:rFonts w:hint="default" w:ascii="Times New Roman" w:hAnsi="Times New Roman" w:eastAsia="宋体" w:cs="Times New Roman"/>
                      <w:bCs/>
                      <w:color w:val="auto"/>
                      <w:spacing w:val="0"/>
                      <w:kern w:val="0"/>
                      <w:position w:val="0"/>
                      <w:sz w:val="21"/>
                      <w:szCs w:val="21"/>
                      <w:highlight w:val="none"/>
                    </w:rPr>
                    <w:t>地下水防治措施</w:t>
                  </w:r>
                </w:p>
              </w:tc>
              <w:tc>
                <w:tcPr>
                  <w:tcW w:w="5491" w:type="dxa"/>
                  <w:noWrap w:val="0"/>
                  <w:vAlign w:val="center"/>
                </w:tcPr>
                <w:p w14:paraId="0ED3D38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采取分区防渗措施，地下溶剂库、</w:t>
                  </w:r>
                  <w:r>
                    <w:rPr>
                      <w:rFonts w:hint="default" w:ascii="Times New Roman" w:hAnsi="Times New Roman" w:cs="Times New Roman"/>
                      <w:color w:val="auto"/>
                      <w:spacing w:val="0"/>
                      <w:position w:val="0"/>
                      <w:sz w:val="21"/>
                      <w:szCs w:val="21"/>
                      <w:highlight w:val="none"/>
                      <w:lang w:val="en-US" w:eastAsia="zh-CN"/>
                    </w:rPr>
                    <w:t>储油</w:t>
                  </w:r>
                  <w:r>
                    <w:rPr>
                      <w:rFonts w:hint="default" w:ascii="Times New Roman" w:hAnsi="Times New Roman" w:eastAsia="宋体" w:cs="Times New Roman"/>
                      <w:color w:val="auto"/>
                      <w:spacing w:val="0"/>
                      <w:position w:val="0"/>
                      <w:sz w:val="21"/>
                      <w:szCs w:val="21"/>
                      <w:highlight w:val="none"/>
                    </w:rPr>
                    <w:t>罐区</w:t>
                  </w:r>
                  <w:r>
                    <w:rPr>
                      <w:rFonts w:hint="default" w:ascii="Times New Roman" w:hAnsi="Times New Roman"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污水处理站、危险废物贮存库</w:t>
                  </w:r>
                  <w:r>
                    <w:rPr>
                      <w:rFonts w:hint="default" w:ascii="Times New Roman" w:hAnsi="Times New Roman" w:eastAsia="宋体" w:cs="Times New Roman"/>
                      <w:color w:val="auto"/>
                      <w:spacing w:val="0"/>
                      <w:position w:val="0"/>
                      <w:sz w:val="21"/>
                      <w:szCs w:val="21"/>
                      <w:highlight w:val="none"/>
                      <w:lang w:val="en-US" w:eastAsia="zh-CN"/>
                    </w:rPr>
                    <w:t>为重点防渗区，</w:t>
                  </w:r>
                  <w:r>
                    <w:rPr>
                      <w:rFonts w:hint="default" w:ascii="Times New Roman" w:hAnsi="Times New Roman" w:eastAsia="宋体" w:cs="Times New Roman"/>
                      <w:color w:val="auto"/>
                      <w:spacing w:val="0"/>
                      <w:position w:val="0"/>
                      <w:sz w:val="21"/>
                      <w:szCs w:val="21"/>
                      <w:highlight w:val="none"/>
                    </w:rPr>
                    <w:t>采用防渗水泥地面+2.0mm厚高密度聚乙烯进行防渗处理，达到等效黏土Mb≥6m，渗透系数K≤1×10</w:t>
                  </w:r>
                  <w:r>
                    <w:rPr>
                      <w:rFonts w:hint="default" w:ascii="Times New Roman" w:hAnsi="Times New Roman" w:eastAsia="宋体" w:cs="Times New Roman"/>
                      <w:color w:val="auto"/>
                      <w:spacing w:val="0"/>
                      <w:position w:val="0"/>
                      <w:sz w:val="21"/>
                      <w:szCs w:val="21"/>
                      <w:highlight w:val="none"/>
                      <w:vertAlign w:val="superscript"/>
                    </w:rPr>
                    <w:t>-10</w:t>
                  </w:r>
                  <w:r>
                    <w:rPr>
                      <w:rFonts w:hint="default" w:ascii="Times New Roman" w:hAnsi="Times New Roman" w:eastAsia="宋体" w:cs="Times New Roman"/>
                      <w:color w:val="auto"/>
                      <w:spacing w:val="0"/>
                      <w:position w:val="0"/>
                      <w:sz w:val="21"/>
                      <w:szCs w:val="21"/>
                      <w:highlight w:val="none"/>
                    </w:rPr>
                    <w:t>cm/s，本项目溶剂储罐区和储油罐区设置围堰，围堰进行重点防渗，采用防渗水泥地面+2.0mm厚高密度聚乙烯进行防渗处理，达到等效黏土Mb≥6m，渗透系数K≤1×10</w:t>
                  </w:r>
                  <w:r>
                    <w:rPr>
                      <w:rFonts w:hint="default" w:ascii="Times New Roman" w:hAnsi="Times New Roman" w:eastAsia="宋体" w:cs="Times New Roman"/>
                      <w:color w:val="auto"/>
                      <w:spacing w:val="0"/>
                      <w:position w:val="0"/>
                      <w:sz w:val="21"/>
                      <w:szCs w:val="21"/>
                      <w:highlight w:val="none"/>
                      <w:vertAlign w:val="superscript"/>
                    </w:rPr>
                    <w:t>-10</w:t>
                  </w:r>
                  <w:r>
                    <w:rPr>
                      <w:rFonts w:hint="default" w:ascii="Times New Roman" w:hAnsi="Times New Roman" w:eastAsia="宋体" w:cs="Times New Roman"/>
                      <w:color w:val="auto"/>
                      <w:spacing w:val="0"/>
                      <w:position w:val="0"/>
                      <w:sz w:val="21"/>
                      <w:szCs w:val="21"/>
                      <w:highlight w:val="none"/>
                    </w:rPr>
                    <w:t>cm/s；预处理车间、浸出车间、精炼车间、包装车间</w:t>
                  </w:r>
                  <w:r>
                    <w:rPr>
                      <w:rFonts w:hint="default" w:ascii="Times New Roman" w:hAnsi="Times New Roman" w:eastAsia="宋体" w:cs="Times New Roman"/>
                      <w:color w:val="auto"/>
                      <w:spacing w:val="0"/>
                      <w:position w:val="0"/>
                      <w:sz w:val="21"/>
                      <w:szCs w:val="21"/>
                      <w:highlight w:val="none"/>
                      <w:lang w:val="en-US" w:eastAsia="zh-CN"/>
                    </w:rPr>
                    <w:t>为</w:t>
                  </w:r>
                  <w:r>
                    <w:rPr>
                      <w:rFonts w:hint="default" w:ascii="Times New Roman" w:hAnsi="Times New Roman" w:eastAsia="宋体" w:cs="Times New Roman"/>
                      <w:color w:val="auto"/>
                      <w:spacing w:val="0"/>
                      <w:position w:val="0"/>
                      <w:sz w:val="21"/>
                      <w:szCs w:val="21"/>
                      <w:highlight w:val="none"/>
                    </w:rPr>
                    <w:t>一般防渗</w:t>
                  </w:r>
                  <w:r>
                    <w:rPr>
                      <w:rFonts w:hint="default" w:ascii="Times New Roman" w:hAnsi="Times New Roman" w:eastAsia="宋体" w:cs="Times New Roman"/>
                      <w:color w:val="auto"/>
                      <w:spacing w:val="0"/>
                      <w:position w:val="0"/>
                      <w:sz w:val="21"/>
                      <w:szCs w:val="21"/>
                      <w:highlight w:val="none"/>
                      <w:lang w:val="en-US" w:eastAsia="zh-CN"/>
                    </w:rPr>
                    <w:t>区</w:t>
                  </w:r>
                  <w:r>
                    <w:rPr>
                      <w:rFonts w:hint="default" w:ascii="Times New Roman" w:hAnsi="Times New Roman" w:eastAsia="宋体" w:cs="Times New Roman"/>
                      <w:color w:val="auto"/>
                      <w:spacing w:val="0"/>
                      <w:position w:val="0"/>
                      <w:sz w:val="21"/>
                      <w:szCs w:val="21"/>
                      <w:highlight w:val="none"/>
                    </w:rPr>
                    <w:t>，采取粘土铺底，再上层铺水泥进行硬化，达到等效黏土Mb≥1.5m，K≤1.0×10</w:t>
                  </w:r>
                  <w:r>
                    <w:rPr>
                      <w:rFonts w:hint="default" w:ascii="Times New Roman" w:hAnsi="Times New Roman" w:eastAsia="宋体" w:cs="Times New Roman"/>
                      <w:color w:val="auto"/>
                      <w:spacing w:val="0"/>
                      <w:position w:val="0"/>
                      <w:sz w:val="21"/>
                      <w:szCs w:val="21"/>
                      <w:highlight w:val="none"/>
                      <w:vertAlign w:val="superscript"/>
                    </w:rPr>
                    <w:t>-7</w:t>
                  </w:r>
                  <w:r>
                    <w:rPr>
                      <w:rFonts w:hint="default" w:ascii="Times New Roman" w:hAnsi="Times New Roman" w:eastAsia="宋体" w:cs="Times New Roman"/>
                      <w:color w:val="auto"/>
                      <w:spacing w:val="0"/>
                      <w:position w:val="0"/>
                      <w:sz w:val="21"/>
                      <w:szCs w:val="21"/>
                      <w:highlight w:val="none"/>
                    </w:rPr>
                    <w:t>cm/s。</w:t>
                  </w:r>
                  <w:r>
                    <w:rPr>
                      <w:rFonts w:hint="default" w:ascii="Times New Roman" w:hAnsi="Times New Roman" w:cs="Times New Roman"/>
                      <w:color w:val="auto"/>
                      <w:spacing w:val="0"/>
                      <w:position w:val="0"/>
                      <w:sz w:val="21"/>
                      <w:szCs w:val="21"/>
                      <w:highlight w:val="none"/>
                      <w:lang w:val="en-US" w:eastAsia="zh-CN"/>
                    </w:rPr>
                    <w:t>除重点防渗区和一般防渗区外为简单防渗区，采取水泥地面硬化。</w:t>
                  </w:r>
                </w:p>
              </w:tc>
              <w:tc>
                <w:tcPr>
                  <w:tcW w:w="683" w:type="dxa"/>
                  <w:noWrap w:val="0"/>
                  <w:vAlign w:val="center"/>
                </w:tcPr>
                <w:p w14:paraId="7DBCA23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新建</w:t>
                  </w:r>
                </w:p>
              </w:tc>
            </w:tr>
            <w:tr w14:paraId="10877E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vMerge w:val="continue"/>
                  <w:noWrap w:val="0"/>
                  <w:vAlign w:val="center"/>
                </w:tcPr>
                <w:p w14:paraId="55E4C96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p>
              </w:tc>
              <w:tc>
                <w:tcPr>
                  <w:tcW w:w="1537" w:type="dxa"/>
                  <w:gridSpan w:val="2"/>
                  <w:noWrap w:val="0"/>
                  <w:vAlign w:val="center"/>
                </w:tcPr>
                <w:p w14:paraId="26087860">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kern w:val="0"/>
                      <w:position w:val="0"/>
                      <w:sz w:val="21"/>
                      <w:szCs w:val="21"/>
                      <w:highlight w:val="none"/>
                      <w:lang w:eastAsia="zh-CN"/>
                    </w:rPr>
                  </w:pPr>
                  <w:r>
                    <w:rPr>
                      <w:rFonts w:hint="default" w:ascii="Times New Roman" w:hAnsi="Times New Roman" w:eastAsia="宋体" w:cs="Times New Roman"/>
                      <w:bCs/>
                      <w:color w:val="auto"/>
                      <w:spacing w:val="0"/>
                      <w:kern w:val="0"/>
                      <w:position w:val="0"/>
                      <w:sz w:val="21"/>
                      <w:szCs w:val="21"/>
                      <w:highlight w:val="none"/>
                      <w:lang w:eastAsia="zh-CN"/>
                    </w:rPr>
                    <w:t>环境风险措施</w:t>
                  </w:r>
                </w:p>
              </w:tc>
              <w:tc>
                <w:tcPr>
                  <w:tcW w:w="5491" w:type="dxa"/>
                  <w:noWrap w:val="0"/>
                  <w:vAlign w:val="center"/>
                </w:tcPr>
                <w:p w14:paraId="1DCA784E">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Cs/>
                      <w:color w:val="auto"/>
                      <w:spacing w:val="0"/>
                      <w:kern w:val="0"/>
                      <w:position w:val="0"/>
                      <w:sz w:val="21"/>
                      <w:szCs w:val="21"/>
                      <w:highlight w:val="none"/>
                      <w:lang w:val="zh-CN"/>
                    </w:rPr>
                  </w:pPr>
                  <w:r>
                    <w:rPr>
                      <w:rFonts w:hint="default" w:ascii="Times New Roman" w:hAnsi="Times New Roman" w:eastAsia="宋体" w:cs="Times New Roman"/>
                      <w:bCs/>
                      <w:color w:val="auto"/>
                      <w:spacing w:val="0"/>
                      <w:kern w:val="0"/>
                      <w:position w:val="0"/>
                      <w:sz w:val="21"/>
                      <w:szCs w:val="21"/>
                      <w:highlight w:val="none"/>
                      <w:lang w:eastAsia="zh-CN"/>
                    </w:rPr>
                    <w:fldChar w:fldCharType="begin"/>
                  </w:r>
                  <w:r>
                    <w:rPr>
                      <w:rFonts w:hint="default" w:ascii="Times New Roman" w:hAnsi="Times New Roman" w:eastAsia="宋体" w:cs="Times New Roman"/>
                      <w:bCs/>
                      <w:color w:val="auto"/>
                      <w:spacing w:val="0"/>
                      <w:kern w:val="0"/>
                      <w:position w:val="0"/>
                      <w:sz w:val="21"/>
                      <w:szCs w:val="21"/>
                      <w:highlight w:val="none"/>
                      <w:lang w:eastAsia="zh-CN"/>
                    </w:rPr>
                    <w:instrText xml:space="preserve"> = 1 \* GB3 \* MERGEFORMAT </w:instrText>
                  </w:r>
                  <w:r>
                    <w:rPr>
                      <w:rFonts w:hint="default" w:ascii="Times New Roman" w:hAnsi="Times New Roman" w:eastAsia="宋体" w:cs="Times New Roman"/>
                      <w:bCs/>
                      <w:color w:val="auto"/>
                      <w:spacing w:val="0"/>
                      <w:kern w:val="0"/>
                      <w:position w:val="0"/>
                      <w:sz w:val="21"/>
                      <w:szCs w:val="21"/>
                      <w:highlight w:val="none"/>
                      <w:lang w:eastAsia="zh-CN"/>
                    </w:rPr>
                    <w:fldChar w:fldCharType="separate"/>
                  </w:r>
                  <w:r>
                    <w:rPr>
                      <w:rFonts w:hint="default" w:ascii="Times New Roman" w:hAnsi="Times New Roman" w:eastAsia="宋体" w:cs="Times New Roman"/>
                      <w:color w:val="auto"/>
                      <w:spacing w:val="0"/>
                      <w:position w:val="0"/>
                      <w:sz w:val="21"/>
                      <w:szCs w:val="21"/>
                      <w:highlight w:val="none"/>
                    </w:rPr>
                    <w:t>①</w:t>
                  </w:r>
                  <w:r>
                    <w:rPr>
                      <w:rFonts w:hint="default" w:ascii="Times New Roman" w:hAnsi="Times New Roman" w:eastAsia="宋体" w:cs="Times New Roman"/>
                      <w:bCs/>
                      <w:color w:val="auto"/>
                      <w:spacing w:val="0"/>
                      <w:kern w:val="0"/>
                      <w:position w:val="0"/>
                      <w:sz w:val="21"/>
                      <w:szCs w:val="21"/>
                      <w:highlight w:val="none"/>
                      <w:lang w:eastAsia="zh-CN"/>
                    </w:rPr>
                    <w:fldChar w:fldCharType="end"/>
                  </w:r>
                  <w:r>
                    <w:rPr>
                      <w:rFonts w:hint="default" w:ascii="Times New Roman" w:hAnsi="Times New Roman" w:eastAsia="宋体" w:cs="Times New Roman"/>
                      <w:bCs/>
                      <w:color w:val="auto"/>
                      <w:spacing w:val="0"/>
                      <w:kern w:val="0"/>
                      <w:position w:val="0"/>
                      <w:sz w:val="21"/>
                      <w:szCs w:val="21"/>
                      <w:highlight w:val="none"/>
                      <w:lang w:eastAsia="zh-CN"/>
                    </w:rPr>
                    <w:t>正己烷储罐</w:t>
                  </w:r>
                  <w:r>
                    <w:rPr>
                      <w:rFonts w:hint="default" w:ascii="Times New Roman" w:hAnsi="Times New Roman" w:eastAsia="宋体" w:cs="Times New Roman"/>
                      <w:bCs/>
                      <w:color w:val="auto"/>
                      <w:spacing w:val="0"/>
                      <w:kern w:val="0"/>
                      <w:position w:val="0"/>
                      <w:sz w:val="21"/>
                      <w:szCs w:val="21"/>
                      <w:highlight w:val="none"/>
                      <w:lang w:val="zh-CN"/>
                    </w:rPr>
                    <w:t>灌装液体时，应留有足够的膨胀余量（预留容积应不小于总容积的 10%）；</w:t>
                  </w:r>
                </w:p>
                <w:p w14:paraId="1C32E037">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Cs/>
                      <w:color w:val="auto"/>
                      <w:spacing w:val="0"/>
                      <w:kern w:val="0"/>
                      <w:position w:val="0"/>
                      <w:sz w:val="21"/>
                      <w:szCs w:val="21"/>
                      <w:highlight w:val="none"/>
                      <w:lang w:val="zh-CN"/>
                    </w:rPr>
                  </w:pPr>
                  <w:r>
                    <w:rPr>
                      <w:rFonts w:hint="default" w:ascii="Times New Roman" w:hAnsi="Times New Roman" w:eastAsia="宋体" w:cs="Times New Roman"/>
                      <w:bCs/>
                      <w:color w:val="auto"/>
                      <w:spacing w:val="0"/>
                      <w:kern w:val="0"/>
                      <w:position w:val="0"/>
                      <w:sz w:val="21"/>
                      <w:szCs w:val="21"/>
                      <w:highlight w:val="none"/>
                      <w:lang w:val="zh-CN"/>
                    </w:rPr>
                    <w:fldChar w:fldCharType="begin"/>
                  </w:r>
                  <w:r>
                    <w:rPr>
                      <w:rFonts w:hint="default" w:ascii="Times New Roman" w:hAnsi="Times New Roman" w:eastAsia="宋体" w:cs="Times New Roman"/>
                      <w:bCs/>
                      <w:color w:val="auto"/>
                      <w:spacing w:val="0"/>
                      <w:kern w:val="0"/>
                      <w:position w:val="0"/>
                      <w:sz w:val="21"/>
                      <w:szCs w:val="21"/>
                      <w:highlight w:val="none"/>
                      <w:lang w:val="zh-CN"/>
                    </w:rPr>
                    <w:instrText xml:space="preserve"> = 2 \* GB3 \* MERGEFORMAT </w:instrText>
                  </w:r>
                  <w:r>
                    <w:rPr>
                      <w:rFonts w:hint="default" w:ascii="Times New Roman" w:hAnsi="Times New Roman" w:eastAsia="宋体" w:cs="Times New Roman"/>
                      <w:bCs/>
                      <w:color w:val="auto"/>
                      <w:spacing w:val="0"/>
                      <w:kern w:val="0"/>
                      <w:position w:val="0"/>
                      <w:sz w:val="21"/>
                      <w:szCs w:val="21"/>
                      <w:highlight w:val="none"/>
                      <w:lang w:val="zh-CN"/>
                    </w:rPr>
                    <w:fldChar w:fldCharType="separate"/>
                  </w:r>
                  <w:r>
                    <w:rPr>
                      <w:rFonts w:hint="default" w:ascii="Times New Roman" w:hAnsi="Times New Roman" w:eastAsia="宋体" w:cs="Times New Roman"/>
                      <w:color w:val="auto"/>
                      <w:spacing w:val="0"/>
                      <w:position w:val="0"/>
                      <w:sz w:val="21"/>
                      <w:szCs w:val="21"/>
                      <w:highlight w:val="none"/>
                    </w:rPr>
                    <w:t>②</w:t>
                  </w:r>
                  <w:r>
                    <w:rPr>
                      <w:rFonts w:hint="default" w:ascii="Times New Roman" w:hAnsi="Times New Roman" w:eastAsia="宋体" w:cs="Times New Roman"/>
                      <w:bCs/>
                      <w:color w:val="auto"/>
                      <w:spacing w:val="0"/>
                      <w:kern w:val="0"/>
                      <w:position w:val="0"/>
                      <w:sz w:val="21"/>
                      <w:szCs w:val="21"/>
                      <w:highlight w:val="none"/>
                      <w:lang w:val="zh-CN"/>
                    </w:rPr>
                    <w:fldChar w:fldCharType="end"/>
                  </w:r>
                  <w:r>
                    <w:rPr>
                      <w:rFonts w:hint="default" w:ascii="Times New Roman" w:hAnsi="Times New Roman" w:eastAsia="宋体" w:cs="Times New Roman"/>
                      <w:bCs/>
                      <w:color w:val="auto"/>
                      <w:spacing w:val="0"/>
                      <w:kern w:val="0"/>
                      <w:position w:val="0"/>
                      <w:sz w:val="21"/>
                      <w:szCs w:val="21"/>
                      <w:highlight w:val="none"/>
                      <w:lang w:val="zh-CN"/>
                    </w:rPr>
                    <w:t>装卸过程中，车辆的发动机必须熄火并关闭总电源；运输车辆必须备有消防器材和相应的安全措施。</w:t>
                  </w:r>
                </w:p>
                <w:p w14:paraId="49ACFEBB">
                  <w:pPr>
                    <w:pStyle w:val="87"/>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0"/>
                      <w:position w:val="0"/>
                      <w:sz w:val="21"/>
                      <w:szCs w:val="21"/>
                      <w:highlight w:val="none"/>
                    </w:rPr>
                  </w:pPr>
                  <w:r>
                    <w:rPr>
                      <w:rFonts w:hint="default" w:ascii="Times New Roman" w:hAnsi="Times New Roman" w:eastAsia="宋体" w:cs="Times New Roman"/>
                      <w:color w:val="auto"/>
                      <w:spacing w:val="0"/>
                      <w:position w:val="0"/>
                      <w:sz w:val="21"/>
                      <w:szCs w:val="21"/>
                      <w:highlight w:val="none"/>
                      <w:lang w:val="en-GB" w:eastAsia="zh-CN"/>
                    </w:rPr>
                    <w:t>③在正己烷埋地储罐上方约</w:t>
                  </w:r>
                  <w:r>
                    <w:rPr>
                      <w:rFonts w:hint="default" w:ascii="Times New Roman" w:hAnsi="Times New Roman" w:eastAsia="宋体" w:cs="Times New Roman"/>
                      <w:color w:val="auto"/>
                      <w:spacing w:val="0"/>
                      <w:position w:val="0"/>
                      <w:sz w:val="21"/>
                      <w:szCs w:val="21"/>
                      <w:highlight w:val="none"/>
                      <w:lang w:val="en-US" w:eastAsia="zh-CN"/>
                    </w:rPr>
                    <w:t>0.5m处设置可燃气体报警设备。</w:t>
                  </w:r>
                </w:p>
              </w:tc>
              <w:tc>
                <w:tcPr>
                  <w:tcW w:w="683" w:type="dxa"/>
                  <w:noWrap w:val="0"/>
                  <w:vAlign w:val="center"/>
                </w:tcPr>
                <w:p w14:paraId="14E9545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新建</w:t>
                  </w:r>
                </w:p>
              </w:tc>
            </w:tr>
            <w:tr w14:paraId="6B1BB3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6" w:type="dxa"/>
                  <w:noWrap w:val="0"/>
                  <w:vAlign w:val="center"/>
                </w:tcPr>
                <w:p w14:paraId="07152A8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依托工程</w:t>
                  </w:r>
                </w:p>
              </w:tc>
              <w:tc>
                <w:tcPr>
                  <w:tcW w:w="1537" w:type="dxa"/>
                  <w:gridSpan w:val="2"/>
                  <w:noWrap w:val="0"/>
                  <w:vAlign w:val="center"/>
                </w:tcPr>
                <w:p w14:paraId="23449217">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kern w:val="0"/>
                      <w:position w:val="0"/>
                      <w:sz w:val="21"/>
                      <w:szCs w:val="21"/>
                      <w:highlight w:val="none"/>
                      <w:lang w:eastAsia="zh-CN"/>
                    </w:rPr>
                  </w:pPr>
                  <w:r>
                    <w:rPr>
                      <w:rFonts w:hint="default" w:ascii="Times New Roman" w:hAnsi="Times New Roman" w:eastAsia="宋体" w:cs="Times New Roman"/>
                      <w:bCs/>
                      <w:color w:val="auto"/>
                      <w:spacing w:val="0"/>
                      <w:kern w:val="0"/>
                      <w:position w:val="0"/>
                      <w:sz w:val="21"/>
                      <w:szCs w:val="21"/>
                      <w:highlight w:val="none"/>
                      <w:lang w:eastAsia="zh-CN"/>
                    </w:rPr>
                    <w:t>桦川县污水处理厂</w:t>
                  </w:r>
                </w:p>
              </w:tc>
              <w:tc>
                <w:tcPr>
                  <w:tcW w:w="5491" w:type="dxa"/>
                  <w:noWrap w:val="0"/>
                  <w:vAlign w:val="center"/>
                </w:tcPr>
                <w:p w14:paraId="316C6FB8">
                  <w:pPr>
                    <w:pStyle w:val="87"/>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21"/>
                      <w:szCs w:val="21"/>
                      <w:highlight w:val="none"/>
                      <w:lang w:val="en-GB" w:eastAsia="zh-CN"/>
                    </w:rPr>
                  </w:pPr>
                  <w:r>
                    <w:rPr>
                      <w:rFonts w:hint="default" w:ascii="Times New Roman" w:hAnsi="Times New Roman" w:eastAsia="宋体" w:cs="Times New Roman"/>
                      <w:color w:val="auto"/>
                      <w:spacing w:val="0"/>
                      <w:position w:val="0"/>
                      <w:sz w:val="21"/>
                      <w:szCs w:val="21"/>
                      <w:highlight w:val="none"/>
                      <w:lang w:val="en-GB" w:eastAsia="zh-CN"/>
                    </w:rPr>
                    <w:t>桦川县污水处理厂采用EBIS工艺，污水经过生化池反应后进入深度处理间，进一步脱磷除氮，降解悬浮物，后经紫外线消毒后排入松花江，设计处理能力为2万t/d，达到《城镇污水处理厂污染物排放标准》一级A标准。</w:t>
                  </w:r>
                </w:p>
                <w:p w14:paraId="670BF6C3">
                  <w:pPr>
                    <w:pStyle w:val="87"/>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21"/>
                      <w:szCs w:val="21"/>
                      <w:highlight w:val="none"/>
                      <w:lang w:val="en-GB" w:eastAsia="zh-CN"/>
                    </w:rPr>
                  </w:pPr>
                  <w:r>
                    <w:rPr>
                      <w:rFonts w:hint="default" w:ascii="Times New Roman" w:hAnsi="Times New Roman" w:eastAsia="宋体" w:cs="Times New Roman"/>
                      <w:color w:val="auto"/>
                      <w:spacing w:val="0"/>
                      <w:position w:val="0"/>
                      <w:sz w:val="21"/>
                      <w:szCs w:val="21"/>
                      <w:highlight w:val="none"/>
                      <w:lang w:val="en-GB" w:eastAsia="zh-CN"/>
                    </w:rPr>
                    <w:t>目前桦川县污水处理厂剩余处理能力约为0.6万m</w:t>
                  </w:r>
                  <w:r>
                    <w:rPr>
                      <w:rFonts w:hint="default" w:ascii="Times New Roman" w:hAnsi="Times New Roman" w:eastAsia="宋体" w:cs="Times New Roman"/>
                      <w:color w:val="auto"/>
                      <w:spacing w:val="0"/>
                      <w:position w:val="0"/>
                      <w:sz w:val="21"/>
                      <w:szCs w:val="21"/>
                      <w:highlight w:val="none"/>
                      <w:vertAlign w:val="superscript"/>
                      <w:lang w:val="en-GB" w:eastAsia="zh-CN"/>
                    </w:rPr>
                    <w:t>3</w:t>
                  </w:r>
                  <w:r>
                    <w:rPr>
                      <w:rFonts w:hint="default" w:ascii="Times New Roman" w:hAnsi="Times New Roman" w:eastAsia="宋体" w:cs="Times New Roman"/>
                      <w:color w:val="auto"/>
                      <w:spacing w:val="0"/>
                      <w:position w:val="0"/>
                      <w:sz w:val="21"/>
                      <w:szCs w:val="21"/>
                      <w:highlight w:val="none"/>
                      <w:lang w:val="en-GB" w:eastAsia="zh-CN"/>
                    </w:rPr>
                    <w:t>/d，本项目经</w:t>
                  </w:r>
                  <w:r>
                    <w:rPr>
                      <w:rFonts w:hint="default" w:ascii="Times New Roman" w:hAnsi="Times New Roman" w:cs="Times New Roman"/>
                      <w:color w:val="auto"/>
                      <w:spacing w:val="0"/>
                      <w:position w:val="0"/>
                      <w:sz w:val="21"/>
                      <w:szCs w:val="21"/>
                      <w:highlight w:val="none"/>
                      <w:lang w:val="en-GB" w:eastAsia="zh-CN"/>
                    </w:rPr>
                    <w:t>污水处理</w:t>
                  </w:r>
                  <w:r>
                    <w:rPr>
                      <w:rFonts w:hint="default" w:ascii="Times New Roman" w:hAnsi="Times New Roman" w:eastAsia="宋体" w:cs="Times New Roman"/>
                      <w:color w:val="auto"/>
                      <w:spacing w:val="0"/>
                      <w:position w:val="0"/>
                      <w:sz w:val="21"/>
                      <w:szCs w:val="21"/>
                      <w:highlight w:val="none"/>
                      <w:lang w:val="en-GB" w:eastAsia="zh-CN"/>
                    </w:rPr>
                    <w:t>站处理后污</w:t>
                  </w:r>
                  <w:r>
                    <w:rPr>
                      <w:rFonts w:hint="default" w:ascii="Times New Roman" w:hAnsi="Times New Roman" w:cs="Times New Roman"/>
                      <w:color w:val="auto"/>
                      <w:spacing w:val="0"/>
                      <w:position w:val="0"/>
                      <w:sz w:val="21"/>
                      <w:szCs w:val="21"/>
                      <w:highlight w:val="none"/>
                      <w:lang w:val="en-GB" w:eastAsia="zh-CN"/>
                    </w:rPr>
                    <w:t>水排</w:t>
                  </w:r>
                  <w:r>
                    <w:rPr>
                      <w:rFonts w:hint="default" w:ascii="Times New Roman" w:hAnsi="Times New Roman" w:eastAsia="宋体" w:cs="Times New Roman"/>
                      <w:color w:val="auto"/>
                      <w:spacing w:val="0"/>
                      <w:position w:val="0"/>
                      <w:sz w:val="21"/>
                      <w:szCs w:val="21"/>
                      <w:highlight w:val="none"/>
                      <w:lang w:val="en-GB" w:eastAsia="zh-CN"/>
                    </w:rPr>
                    <w:t>放量为36.34m</w:t>
                  </w:r>
                  <w:r>
                    <w:rPr>
                      <w:rFonts w:hint="default" w:ascii="Times New Roman" w:hAnsi="Times New Roman" w:eastAsia="宋体" w:cs="Times New Roman"/>
                      <w:color w:val="auto"/>
                      <w:spacing w:val="0"/>
                      <w:position w:val="0"/>
                      <w:sz w:val="21"/>
                      <w:szCs w:val="21"/>
                      <w:highlight w:val="none"/>
                      <w:vertAlign w:val="superscript"/>
                      <w:lang w:val="en-GB" w:eastAsia="zh-CN"/>
                    </w:rPr>
                    <w:t>3</w:t>
                  </w:r>
                  <w:r>
                    <w:rPr>
                      <w:rFonts w:hint="default" w:ascii="Times New Roman" w:hAnsi="Times New Roman" w:eastAsia="宋体" w:cs="Times New Roman"/>
                      <w:color w:val="auto"/>
                      <w:spacing w:val="0"/>
                      <w:position w:val="0"/>
                      <w:sz w:val="21"/>
                      <w:szCs w:val="21"/>
                      <w:highlight w:val="none"/>
                      <w:lang w:val="en-GB" w:eastAsia="zh-CN"/>
                    </w:rPr>
                    <w:t>/d，生活污水、锅炉排污水、软化水处理废水及冷却塔排</w:t>
                  </w:r>
                  <w:r>
                    <w:rPr>
                      <w:rFonts w:hint="default" w:ascii="Times New Roman" w:hAnsi="Times New Roman" w:cs="Times New Roman"/>
                      <w:color w:val="auto"/>
                      <w:spacing w:val="0"/>
                      <w:position w:val="0"/>
                      <w:sz w:val="21"/>
                      <w:szCs w:val="21"/>
                      <w:highlight w:val="none"/>
                      <w:lang w:val="en-GB" w:eastAsia="zh-CN"/>
                    </w:rPr>
                    <w:t>污水排</w:t>
                  </w:r>
                  <w:r>
                    <w:rPr>
                      <w:rFonts w:hint="default" w:ascii="Times New Roman" w:hAnsi="Times New Roman" w:eastAsia="宋体" w:cs="Times New Roman"/>
                      <w:color w:val="auto"/>
                      <w:spacing w:val="0"/>
                      <w:position w:val="0"/>
                      <w:sz w:val="21"/>
                      <w:szCs w:val="21"/>
                      <w:highlight w:val="none"/>
                      <w:lang w:val="en-GB" w:eastAsia="zh-CN"/>
                    </w:rPr>
                    <w:t>放量为74m</w:t>
                  </w:r>
                  <w:r>
                    <w:rPr>
                      <w:rFonts w:hint="default" w:ascii="Times New Roman" w:hAnsi="Times New Roman" w:eastAsia="宋体" w:cs="Times New Roman"/>
                      <w:color w:val="auto"/>
                      <w:spacing w:val="0"/>
                      <w:position w:val="0"/>
                      <w:sz w:val="21"/>
                      <w:szCs w:val="21"/>
                      <w:highlight w:val="none"/>
                      <w:vertAlign w:val="superscript"/>
                      <w:lang w:val="en-GB" w:eastAsia="zh-CN"/>
                    </w:rPr>
                    <w:t>3</w:t>
                  </w:r>
                  <w:r>
                    <w:rPr>
                      <w:rFonts w:hint="default" w:ascii="Times New Roman" w:hAnsi="Times New Roman" w:eastAsia="宋体" w:cs="Times New Roman"/>
                      <w:color w:val="auto"/>
                      <w:spacing w:val="0"/>
                      <w:position w:val="0"/>
                      <w:sz w:val="21"/>
                      <w:szCs w:val="21"/>
                      <w:highlight w:val="none"/>
                      <w:lang w:val="en-GB" w:eastAsia="zh-CN"/>
                    </w:rPr>
                    <w:t>/d，占污水处理厂剩余处理能力的1.84%，从水量上看，桦川县污水处理厂有能力接纳本项目产生的废水。本项目废水经过厂区污水处理站处理后，可以满足桦川县污水处理厂进水标准，不会对桦川县污水处理厂造成冲击，从水质上看，桦川县污水处理厂能够接纳本项目产生的污水。</w:t>
                  </w:r>
                </w:p>
              </w:tc>
              <w:tc>
                <w:tcPr>
                  <w:tcW w:w="683" w:type="dxa"/>
                  <w:noWrap w:val="0"/>
                  <w:vAlign w:val="center"/>
                </w:tcPr>
                <w:p w14:paraId="42E4185C">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依托</w:t>
                  </w:r>
                </w:p>
              </w:tc>
            </w:tr>
          </w:tbl>
          <w:p w14:paraId="6D6C99E1">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bCs/>
                <w:color w:val="auto"/>
                <w:spacing w:val="0"/>
                <w:position w:val="0"/>
                <w:sz w:val="24"/>
                <w:szCs w:val="24"/>
                <w:highlight w:val="none"/>
              </w:rPr>
            </w:pPr>
            <w:r>
              <w:rPr>
                <w:rFonts w:hint="default" w:ascii="Times New Roman" w:hAnsi="Times New Roman" w:eastAsia="宋体" w:cs="Times New Roman"/>
                <w:bCs/>
                <w:color w:val="auto"/>
                <w:spacing w:val="0"/>
                <w:position w:val="0"/>
                <w:sz w:val="24"/>
                <w:szCs w:val="24"/>
                <w:highlight w:val="none"/>
              </w:rPr>
              <w:t>三</w:t>
            </w:r>
            <w:r>
              <w:rPr>
                <w:rFonts w:hint="default" w:ascii="Times New Roman" w:hAnsi="Times New Roman" w:cs="Times New Roman"/>
                <w:bCs/>
                <w:color w:val="auto"/>
                <w:spacing w:val="0"/>
                <w:position w:val="0"/>
                <w:sz w:val="24"/>
                <w:szCs w:val="24"/>
                <w:highlight w:val="none"/>
                <w:lang w:eastAsia="zh-CN"/>
              </w:rPr>
              <w:t>、</w:t>
            </w:r>
            <w:r>
              <w:rPr>
                <w:rFonts w:hint="default" w:ascii="Times New Roman" w:hAnsi="Times New Roman" w:eastAsia="宋体" w:cs="Times New Roman"/>
                <w:bCs/>
                <w:color w:val="auto"/>
                <w:spacing w:val="0"/>
                <w:position w:val="0"/>
                <w:sz w:val="24"/>
                <w:szCs w:val="24"/>
                <w:highlight w:val="none"/>
              </w:rPr>
              <w:t>主要设备</w:t>
            </w:r>
          </w:p>
          <w:p w14:paraId="385D70BD">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bCs/>
                <w:color w:val="auto"/>
                <w:spacing w:val="0"/>
                <w:position w:val="0"/>
                <w:sz w:val="24"/>
                <w:szCs w:val="24"/>
                <w:highlight w:val="none"/>
              </w:rPr>
            </w:pPr>
            <w:r>
              <w:rPr>
                <w:rFonts w:hint="default" w:ascii="Times New Roman" w:hAnsi="Times New Roman" w:eastAsia="宋体" w:cs="Times New Roman"/>
                <w:bCs/>
                <w:color w:val="auto"/>
                <w:spacing w:val="0"/>
                <w:position w:val="0"/>
                <w:sz w:val="24"/>
                <w:szCs w:val="24"/>
                <w:highlight w:val="none"/>
              </w:rPr>
              <w:t>本项目主要设备见表2-2。</w:t>
            </w:r>
          </w:p>
          <w:p w14:paraId="6DE104D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color w:val="auto"/>
                <w:spacing w:val="0"/>
                <w:position w:val="0"/>
                <w:sz w:val="24"/>
                <w:szCs w:val="24"/>
                <w:highlight w:val="none"/>
              </w:rPr>
            </w:pPr>
            <w:r>
              <w:rPr>
                <w:rFonts w:hint="default" w:ascii="Times New Roman" w:hAnsi="Times New Roman" w:eastAsia="宋体" w:cs="Times New Roman"/>
                <w:b/>
                <w:color w:val="auto"/>
                <w:spacing w:val="0"/>
                <w:position w:val="0"/>
                <w:sz w:val="24"/>
                <w:szCs w:val="24"/>
                <w:highlight w:val="none"/>
              </w:rPr>
              <w:t>表2-2 主要设备一览表</w:t>
            </w:r>
          </w:p>
          <w:tbl>
            <w:tblPr>
              <w:tblStyle w:val="29"/>
              <w:tblW w:w="4998" w:type="pct"/>
              <w:tblInd w:w="0" w:type="dxa"/>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autofit"/>
              <w:tblCellMar>
                <w:top w:w="0" w:type="dxa"/>
                <w:left w:w="108" w:type="dxa"/>
                <w:bottom w:w="0" w:type="dxa"/>
                <w:right w:w="108" w:type="dxa"/>
              </w:tblCellMar>
            </w:tblPr>
            <w:tblGrid>
              <w:gridCol w:w="1280"/>
              <w:gridCol w:w="2901"/>
              <w:gridCol w:w="1436"/>
              <w:gridCol w:w="1436"/>
              <w:gridCol w:w="1371"/>
            </w:tblGrid>
            <w:tr w14:paraId="1992D0AA">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1E474673">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kern w:val="0"/>
                      <w:position w:val="0"/>
                      <w:szCs w:val="21"/>
                      <w:highlight w:val="none"/>
                      <w:lang w:bidi="ar"/>
                    </w:rPr>
                    <w:t>序号</w:t>
                  </w:r>
                </w:p>
              </w:tc>
              <w:tc>
                <w:tcPr>
                  <w:tcW w:w="1721" w:type="pct"/>
                  <w:noWrap w:val="0"/>
                  <w:vAlign w:val="center"/>
                </w:tcPr>
                <w:p w14:paraId="5003D47F">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kern w:val="0"/>
                      <w:position w:val="0"/>
                      <w:szCs w:val="21"/>
                      <w:highlight w:val="none"/>
                      <w:lang w:bidi="ar"/>
                    </w:rPr>
                    <w:t>设备名称</w:t>
                  </w:r>
                </w:p>
              </w:tc>
              <w:tc>
                <w:tcPr>
                  <w:tcW w:w="852" w:type="pct"/>
                  <w:noWrap w:val="0"/>
                  <w:vAlign w:val="center"/>
                </w:tcPr>
                <w:p w14:paraId="74F314AC">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kern w:val="0"/>
                      <w:position w:val="0"/>
                      <w:szCs w:val="21"/>
                      <w:highlight w:val="none"/>
                      <w:lang w:bidi="ar"/>
                    </w:rPr>
                    <w:t>规格型号</w:t>
                  </w:r>
                </w:p>
              </w:tc>
              <w:tc>
                <w:tcPr>
                  <w:tcW w:w="852" w:type="pct"/>
                  <w:noWrap w:val="0"/>
                  <w:vAlign w:val="center"/>
                </w:tcPr>
                <w:p w14:paraId="3FE54864">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kern w:val="0"/>
                      <w:position w:val="0"/>
                      <w:szCs w:val="21"/>
                      <w:highlight w:val="none"/>
                      <w:lang w:bidi="ar"/>
                    </w:rPr>
                    <w:t>数量</w:t>
                  </w:r>
                </w:p>
              </w:tc>
              <w:tc>
                <w:tcPr>
                  <w:tcW w:w="813" w:type="pct"/>
                  <w:noWrap w:val="0"/>
                  <w:vAlign w:val="center"/>
                </w:tcPr>
                <w:p w14:paraId="3BF0889F">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0"/>
                      <w:position w:val="0"/>
                      <w:szCs w:val="21"/>
                      <w:highlight w:val="none"/>
                      <w:lang w:val="en-US" w:eastAsia="zh-CN" w:bidi="ar"/>
                    </w:rPr>
                  </w:pPr>
                  <w:r>
                    <w:rPr>
                      <w:rFonts w:hint="default" w:ascii="Times New Roman" w:hAnsi="Times New Roman" w:cs="Times New Roman"/>
                      <w:color w:val="auto"/>
                      <w:spacing w:val="0"/>
                      <w:kern w:val="0"/>
                      <w:position w:val="0"/>
                      <w:szCs w:val="21"/>
                      <w:highlight w:val="none"/>
                      <w:lang w:val="en-US" w:eastAsia="zh-CN" w:bidi="ar"/>
                    </w:rPr>
                    <w:t>单位</w:t>
                  </w:r>
                </w:p>
              </w:tc>
            </w:tr>
            <w:tr w14:paraId="41162CF4">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2B8B6EA4">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kern w:val="0"/>
                      <w:position w:val="0"/>
                      <w:szCs w:val="21"/>
                      <w:highlight w:val="none"/>
                      <w:lang w:bidi="ar"/>
                    </w:rPr>
                    <w:t>1</w:t>
                  </w:r>
                </w:p>
              </w:tc>
              <w:tc>
                <w:tcPr>
                  <w:tcW w:w="1721" w:type="pct"/>
                  <w:noWrap w:val="0"/>
                  <w:vAlign w:val="center"/>
                </w:tcPr>
                <w:p w14:paraId="2FEB180B">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分选筛</w:t>
                  </w:r>
                </w:p>
              </w:tc>
              <w:tc>
                <w:tcPr>
                  <w:tcW w:w="852" w:type="pct"/>
                  <w:noWrap w:val="0"/>
                  <w:vAlign w:val="center"/>
                </w:tcPr>
                <w:p w14:paraId="00E3CDA7">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10t/h</w:t>
                  </w:r>
                </w:p>
              </w:tc>
              <w:tc>
                <w:tcPr>
                  <w:tcW w:w="852" w:type="pct"/>
                  <w:noWrap w:val="0"/>
                  <w:vAlign w:val="center"/>
                </w:tcPr>
                <w:p w14:paraId="1ED872C0">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val="en-US" w:eastAsia="zh-CN" w:bidi="ar"/>
                    </w:rPr>
                  </w:pPr>
                  <w:r>
                    <w:rPr>
                      <w:rFonts w:hint="default" w:ascii="Times New Roman" w:hAnsi="Times New Roman" w:cs="Times New Roman"/>
                      <w:color w:val="auto"/>
                      <w:spacing w:val="0"/>
                      <w:kern w:val="0"/>
                      <w:position w:val="0"/>
                      <w:szCs w:val="21"/>
                      <w:highlight w:val="none"/>
                      <w:lang w:val="en-US" w:eastAsia="zh-CN" w:bidi="ar"/>
                    </w:rPr>
                    <w:t>1</w:t>
                  </w:r>
                </w:p>
              </w:tc>
              <w:tc>
                <w:tcPr>
                  <w:tcW w:w="813" w:type="pct"/>
                  <w:noWrap w:val="0"/>
                  <w:vAlign w:val="center"/>
                </w:tcPr>
                <w:p w14:paraId="7E07EA2C">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座</w:t>
                  </w:r>
                </w:p>
              </w:tc>
            </w:tr>
            <w:tr w14:paraId="18C3DFF3">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4044C227">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kern w:val="0"/>
                      <w:position w:val="0"/>
                      <w:szCs w:val="21"/>
                      <w:highlight w:val="none"/>
                      <w:lang w:bidi="ar"/>
                    </w:rPr>
                    <w:t>2</w:t>
                  </w:r>
                </w:p>
              </w:tc>
              <w:tc>
                <w:tcPr>
                  <w:tcW w:w="1721" w:type="pct"/>
                  <w:noWrap w:val="0"/>
                  <w:vAlign w:val="center"/>
                </w:tcPr>
                <w:p w14:paraId="704096C4">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膨化机</w:t>
                  </w:r>
                </w:p>
              </w:tc>
              <w:tc>
                <w:tcPr>
                  <w:tcW w:w="852" w:type="pct"/>
                  <w:noWrap w:val="0"/>
                  <w:vAlign w:val="center"/>
                </w:tcPr>
                <w:p w14:paraId="2E6D4F31">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10t/h</w:t>
                  </w:r>
                </w:p>
              </w:tc>
              <w:tc>
                <w:tcPr>
                  <w:tcW w:w="852" w:type="pct"/>
                  <w:noWrap w:val="0"/>
                  <w:vAlign w:val="center"/>
                </w:tcPr>
                <w:p w14:paraId="5A3401D0">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val="en-US" w:eastAsia="zh-CN" w:bidi="ar"/>
                    </w:rPr>
                  </w:pPr>
                  <w:r>
                    <w:rPr>
                      <w:rFonts w:hint="default" w:ascii="Times New Roman" w:hAnsi="Times New Roman" w:cs="Times New Roman"/>
                      <w:color w:val="auto"/>
                      <w:spacing w:val="0"/>
                      <w:kern w:val="0"/>
                      <w:position w:val="0"/>
                      <w:szCs w:val="21"/>
                      <w:highlight w:val="none"/>
                      <w:lang w:val="en-US" w:eastAsia="zh-CN" w:bidi="ar"/>
                    </w:rPr>
                    <w:t>1</w:t>
                  </w:r>
                </w:p>
              </w:tc>
              <w:tc>
                <w:tcPr>
                  <w:tcW w:w="813" w:type="pct"/>
                  <w:noWrap w:val="0"/>
                  <w:vAlign w:val="center"/>
                </w:tcPr>
                <w:p w14:paraId="1CE7FB9C">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台</w:t>
                  </w:r>
                </w:p>
              </w:tc>
            </w:tr>
            <w:tr w14:paraId="691E6692">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6F36ED3C">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kern w:val="0"/>
                      <w:position w:val="0"/>
                      <w:szCs w:val="21"/>
                      <w:highlight w:val="none"/>
                      <w:lang w:bidi="ar"/>
                    </w:rPr>
                    <w:t>3</w:t>
                  </w:r>
                </w:p>
              </w:tc>
              <w:tc>
                <w:tcPr>
                  <w:tcW w:w="1721" w:type="pct"/>
                  <w:noWrap w:val="0"/>
                  <w:vAlign w:val="center"/>
                </w:tcPr>
                <w:p w14:paraId="45E72198">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eastAsia="zh-CN"/>
                    </w:rPr>
                    <w:t>气流烘干机</w:t>
                  </w:r>
                </w:p>
              </w:tc>
              <w:tc>
                <w:tcPr>
                  <w:tcW w:w="852" w:type="pct"/>
                  <w:noWrap w:val="0"/>
                  <w:vAlign w:val="center"/>
                </w:tcPr>
                <w:p w14:paraId="1C844348">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10t/h</w:t>
                  </w:r>
                </w:p>
              </w:tc>
              <w:tc>
                <w:tcPr>
                  <w:tcW w:w="852" w:type="pct"/>
                  <w:noWrap w:val="0"/>
                  <w:vAlign w:val="center"/>
                </w:tcPr>
                <w:p w14:paraId="3F34505F">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val="en-US" w:eastAsia="zh-CN" w:bidi="ar"/>
                    </w:rPr>
                  </w:pPr>
                  <w:r>
                    <w:rPr>
                      <w:rFonts w:hint="default" w:ascii="Times New Roman" w:hAnsi="Times New Roman" w:cs="Times New Roman"/>
                      <w:color w:val="auto"/>
                      <w:spacing w:val="0"/>
                      <w:kern w:val="0"/>
                      <w:position w:val="0"/>
                      <w:szCs w:val="21"/>
                      <w:highlight w:val="none"/>
                      <w:lang w:val="en-US" w:eastAsia="zh-CN" w:bidi="ar"/>
                    </w:rPr>
                    <w:t>1</w:t>
                  </w:r>
                </w:p>
              </w:tc>
              <w:tc>
                <w:tcPr>
                  <w:tcW w:w="813" w:type="pct"/>
                  <w:noWrap w:val="0"/>
                  <w:vAlign w:val="center"/>
                </w:tcPr>
                <w:p w14:paraId="45E7C893">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座</w:t>
                  </w:r>
                </w:p>
              </w:tc>
            </w:tr>
            <w:tr w14:paraId="331BE472">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7FDAA564">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kern w:val="0"/>
                      <w:position w:val="0"/>
                      <w:szCs w:val="21"/>
                      <w:highlight w:val="none"/>
                      <w:lang w:bidi="ar"/>
                    </w:rPr>
                    <w:t>4</w:t>
                  </w:r>
                </w:p>
              </w:tc>
              <w:tc>
                <w:tcPr>
                  <w:tcW w:w="1721" w:type="pct"/>
                  <w:noWrap w:val="0"/>
                  <w:vAlign w:val="center"/>
                </w:tcPr>
                <w:p w14:paraId="2951676F">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eastAsia="zh-CN"/>
                    </w:rPr>
                    <w:t>炒锅</w:t>
                  </w:r>
                </w:p>
              </w:tc>
              <w:tc>
                <w:tcPr>
                  <w:tcW w:w="852" w:type="pct"/>
                  <w:noWrap w:val="0"/>
                  <w:vAlign w:val="center"/>
                </w:tcPr>
                <w:p w14:paraId="08EE562A">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10t/h</w:t>
                  </w:r>
                </w:p>
              </w:tc>
              <w:tc>
                <w:tcPr>
                  <w:tcW w:w="852" w:type="pct"/>
                  <w:noWrap w:val="0"/>
                  <w:vAlign w:val="center"/>
                </w:tcPr>
                <w:p w14:paraId="37DABF06">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val="en-US" w:eastAsia="zh-CN" w:bidi="ar"/>
                    </w:rPr>
                  </w:pPr>
                  <w:r>
                    <w:rPr>
                      <w:rFonts w:hint="default" w:ascii="Times New Roman" w:hAnsi="Times New Roman" w:cs="Times New Roman"/>
                      <w:color w:val="auto"/>
                      <w:spacing w:val="0"/>
                      <w:kern w:val="0"/>
                      <w:position w:val="0"/>
                      <w:szCs w:val="21"/>
                      <w:highlight w:val="none"/>
                      <w:lang w:val="en-US" w:eastAsia="zh-CN" w:bidi="ar"/>
                    </w:rPr>
                    <w:t>1</w:t>
                  </w:r>
                </w:p>
              </w:tc>
              <w:tc>
                <w:tcPr>
                  <w:tcW w:w="813" w:type="pct"/>
                  <w:noWrap w:val="0"/>
                  <w:vAlign w:val="center"/>
                </w:tcPr>
                <w:p w14:paraId="269B6270">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台</w:t>
                  </w:r>
                </w:p>
              </w:tc>
            </w:tr>
            <w:tr w14:paraId="24F382FA">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41124DE0">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kern w:val="0"/>
                      <w:position w:val="0"/>
                      <w:szCs w:val="21"/>
                      <w:highlight w:val="none"/>
                      <w:lang w:bidi="ar"/>
                    </w:rPr>
                    <w:t>5</w:t>
                  </w:r>
                </w:p>
              </w:tc>
              <w:tc>
                <w:tcPr>
                  <w:tcW w:w="1721" w:type="pct"/>
                  <w:noWrap w:val="0"/>
                  <w:vAlign w:val="center"/>
                </w:tcPr>
                <w:p w14:paraId="656586A1">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cs="Times New Roman"/>
                      <w:color w:val="auto"/>
                      <w:spacing w:val="0"/>
                      <w:w w:val="100"/>
                      <w:kern w:val="21"/>
                      <w:position w:val="0"/>
                      <w:sz w:val="21"/>
                      <w:szCs w:val="21"/>
                      <w:highlight w:val="none"/>
                      <w:lang w:eastAsia="zh-CN"/>
                    </w:rPr>
                    <w:t>浸出</w:t>
                  </w:r>
                  <w:r>
                    <w:rPr>
                      <w:rFonts w:hint="default" w:ascii="Times New Roman" w:hAnsi="Times New Roman" w:eastAsia="宋体" w:cs="Times New Roman"/>
                      <w:color w:val="auto"/>
                      <w:spacing w:val="0"/>
                      <w:w w:val="100"/>
                      <w:kern w:val="21"/>
                      <w:position w:val="0"/>
                      <w:sz w:val="21"/>
                      <w:szCs w:val="21"/>
                      <w:highlight w:val="none"/>
                      <w:lang w:eastAsia="zh-CN"/>
                    </w:rPr>
                    <w:t>器</w:t>
                  </w:r>
                </w:p>
              </w:tc>
              <w:tc>
                <w:tcPr>
                  <w:tcW w:w="852" w:type="pct"/>
                  <w:noWrap w:val="0"/>
                  <w:vAlign w:val="center"/>
                </w:tcPr>
                <w:p w14:paraId="00517C5D">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10t/h</w:t>
                  </w:r>
                </w:p>
              </w:tc>
              <w:tc>
                <w:tcPr>
                  <w:tcW w:w="852" w:type="pct"/>
                  <w:noWrap w:val="0"/>
                  <w:vAlign w:val="center"/>
                </w:tcPr>
                <w:p w14:paraId="3ACD184F">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val="en-US" w:eastAsia="zh-CN" w:bidi="ar"/>
                    </w:rPr>
                  </w:pPr>
                  <w:r>
                    <w:rPr>
                      <w:rFonts w:hint="default" w:ascii="Times New Roman" w:hAnsi="Times New Roman" w:cs="Times New Roman"/>
                      <w:color w:val="auto"/>
                      <w:spacing w:val="0"/>
                      <w:kern w:val="0"/>
                      <w:position w:val="0"/>
                      <w:szCs w:val="21"/>
                      <w:highlight w:val="none"/>
                      <w:lang w:val="en-US" w:eastAsia="zh-CN" w:bidi="ar"/>
                    </w:rPr>
                    <w:t>1</w:t>
                  </w:r>
                </w:p>
              </w:tc>
              <w:tc>
                <w:tcPr>
                  <w:tcW w:w="813" w:type="pct"/>
                  <w:noWrap w:val="0"/>
                  <w:vAlign w:val="center"/>
                </w:tcPr>
                <w:p w14:paraId="1778D194">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套</w:t>
                  </w:r>
                </w:p>
              </w:tc>
            </w:tr>
            <w:tr w14:paraId="07F43969">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608FEF9A">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kern w:val="0"/>
                      <w:position w:val="0"/>
                      <w:szCs w:val="21"/>
                      <w:highlight w:val="none"/>
                      <w:lang w:bidi="ar"/>
                    </w:rPr>
                    <w:t>6</w:t>
                  </w:r>
                </w:p>
              </w:tc>
              <w:tc>
                <w:tcPr>
                  <w:tcW w:w="1721" w:type="pct"/>
                  <w:noWrap w:val="0"/>
                  <w:vAlign w:val="center"/>
                </w:tcPr>
                <w:p w14:paraId="36902C74">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eastAsia="zh-CN"/>
                    </w:rPr>
                    <w:t>蒸脱系统</w:t>
                  </w:r>
                </w:p>
              </w:tc>
              <w:tc>
                <w:tcPr>
                  <w:tcW w:w="852" w:type="pct"/>
                  <w:noWrap w:val="0"/>
                  <w:vAlign w:val="center"/>
                </w:tcPr>
                <w:p w14:paraId="360B9E44">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GTBC</w:t>
                  </w:r>
                </w:p>
              </w:tc>
              <w:tc>
                <w:tcPr>
                  <w:tcW w:w="852" w:type="pct"/>
                  <w:noWrap w:val="0"/>
                  <w:vAlign w:val="center"/>
                </w:tcPr>
                <w:p w14:paraId="55030E72">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val="en-US" w:eastAsia="zh-CN" w:bidi="ar"/>
                    </w:rPr>
                  </w:pPr>
                  <w:r>
                    <w:rPr>
                      <w:rFonts w:hint="default" w:ascii="Times New Roman" w:hAnsi="Times New Roman" w:cs="Times New Roman"/>
                      <w:color w:val="auto"/>
                      <w:spacing w:val="0"/>
                      <w:kern w:val="0"/>
                      <w:position w:val="0"/>
                      <w:szCs w:val="21"/>
                      <w:highlight w:val="none"/>
                      <w:lang w:val="en-US" w:eastAsia="zh-CN" w:bidi="ar"/>
                    </w:rPr>
                    <w:t>1</w:t>
                  </w:r>
                </w:p>
              </w:tc>
              <w:tc>
                <w:tcPr>
                  <w:tcW w:w="813" w:type="pct"/>
                  <w:noWrap w:val="0"/>
                  <w:vAlign w:val="center"/>
                </w:tcPr>
                <w:p w14:paraId="14A77DCC">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套</w:t>
                  </w:r>
                </w:p>
              </w:tc>
            </w:tr>
            <w:tr w14:paraId="3A5514A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337AEA5C">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kern w:val="0"/>
                      <w:position w:val="0"/>
                      <w:szCs w:val="21"/>
                      <w:highlight w:val="none"/>
                      <w:lang w:bidi="ar"/>
                    </w:rPr>
                    <w:t>7</w:t>
                  </w:r>
                </w:p>
              </w:tc>
              <w:tc>
                <w:tcPr>
                  <w:tcW w:w="1721" w:type="pct"/>
                  <w:noWrap w:val="0"/>
                  <w:vAlign w:val="center"/>
                </w:tcPr>
                <w:p w14:paraId="16BF0BB5">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eastAsia="zh-CN"/>
                    </w:rPr>
                    <w:t>蒸发系统</w:t>
                  </w:r>
                </w:p>
              </w:tc>
              <w:tc>
                <w:tcPr>
                  <w:tcW w:w="852" w:type="pct"/>
                  <w:noWrap w:val="0"/>
                  <w:vAlign w:val="center"/>
                </w:tcPr>
                <w:p w14:paraId="38E57091">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10t/h</w:t>
                  </w:r>
                </w:p>
              </w:tc>
              <w:tc>
                <w:tcPr>
                  <w:tcW w:w="852" w:type="pct"/>
                  <w:noWrap w:val="0"/>
                  <w:vAlign w:val="center"/>
                </w:tcPr>
                <w:p w14:paraId="3A3697F9">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val="en-US" w:eastAsia="zh-CN" w:bidi="ar"/>
                    </w:rPr>
                  </w:pPr>
                  <w:r>
                    <w:rPr>
                      <w:rFonts w:hint="default" w:ascii="Times New Roman" w:hAnsi="Times New Roman" w:cs="Times New Roman"/>
                      <w:color w:val="auto"/>
                      <w:spacing w:val="0"/>
                      <w:kern w:val="0"/>
                      <w:position w:val="0"/>
                      <w:szCs w:val="21"/>
                      <w:highlight w:val="none"/>
                      <w:lang w:val="en-US" w:eastAsia="zh-CN" w:bidi="ar"/>
                    </w:rPr>
                    <w:t>1</w:t>
                  </w:r>
                </w:p>
              </w:tc>
              <w:tc>
                <w:tcPr>
                  <w:tcW w:w="813" w:type="pct"/>
                  <w:noWrap w:val="0"/>
                  <w:vAlign w:val="center"/>
                </w:tcPr>
                <w:p w14:paraId="0F804CDC">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套</w:t>
                  </w:r>
                </w:p>
              </w:tc>
            </w:tr>
            <w:tr w14:paraId="749B0AB2">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670B1B3B">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0"/>
                      <w:position w:val="0"/>
                      <w:szCs w:val="21"/>
                      <w:highlight w:val="none"/>
                      <w:lang w:val="en-US" w:eastAsia="zh-CN" w:bidi="ar"/>
                    </w:rPr>
                  </w:pPr>
                  <w:r>
                    <w:rPr>
                      <w:rFonts w:hint="default" w:ascii="Times New Roman" w:hAnsi="Times New Roman" w:cs="Times New Roman"/>
                      <w:color w:val="auto"/>
                      <w:spacing w:val="0"/>
                      <w:kern w:val="0"/>
                      <w:position w:val="0"/>
                      <w:szCs w:val="21"/>
                      <w:highlight w:val="none"/>
                      <w:lang w:val="en-US" w:eastAsia="zh-CN" w:bidi="ar"/>
                    </w:rPr>
                    <w:t>8</w:t>
                  </w:r>
                </w:p>
              </w:tc>
              <w:tc>
                <w:tcPr>
                  <w:tcW w:w="1721" w:type="pct"/>
                  <w:noWrap w:val="0"/>
                  <w:vAlign w:val="center"/>
                </w:tcPr>
                <w:p w14:paraId="4186FA07">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eastAsia="zh-CN"/>
                    </w:rPr>
                    <w:t>冷凝系统</w:t>
                  </w:r>
                </w:p>
              </w:tc>
              <w:tc>
                <w:tcPr>
                  <w:tcW w:w="852" w:type="pct"/>
                  <w:noWrap w:val="0"/>
                  <w:vAlign w:val="center"/>
                </w:tcPr>
                <w:p w14:paraId="1DA2CFD8">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10t/h</w:t>
                  </w:r>
                </w:p>
              </w:tc>
              <w:tc>
                <w:tcPr>
                  <w:tcW w:w="852" w:type="pct"/>
                  <w:noWrap w:val="0"/>
                  <w:vAlign w:val="center"/>
                </w:tcPr>
                <w:p w14:paraId="1A8E4C78">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val="en-US" w:eastAsia="zh-CN" w:bidi="ar"/>
                    </w:rPr>
                  </w:pPr>
                  <w:r>
                    <w:rPr>
                      <w:rFonts w:hint="default" w:ascii="Times New Roman" w:hAnsi="Times New Roman" w:cs="Times New Roman"/>
                      <w:color w:val="auto"/>
                      <w:spacing w:val="0"/>
                      <w:kern w:val="0"/>
                      <w:position w:val="0"/>
                      <w:szCs w:val="21"/>
                      <w:highlight w:val="none"/>
                      <w:lang w:val="en-US" w:eastAsia="zh-CN" w:bidi="ar"/>
                    </w:rPr>
                    <w:t>1</w:t>
                  </w:r>
                </w:p>
              </w:tc>
              <w:tc>
                <w:tcPr>
                  <w:tcW w:w="813" w:type="pct"/>
                  <w:noWrap w:val="0"/>
                  <w:vAlign w:val="center"/>
                </w:tcPr>
                <w:p w14:paraId="6393C765">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套</w:t>
                  </w:r>
                </w:p>
              </w:tc>
            </w:tr>
            <w:tr w14:paraId="70E6A5E5">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073DE8B2">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0"/>
                      <w:position w:val="0"/>
                      <w:szCs w:val="21"/>
                      <w:highlight w:val="none"/>
                      <w:lang w:val="en-US" w:eastAsia="zh-CN" w:bidi="ar"/>
                    </w:rPr>
                  </w:pPr>
                  <w:r>
                    <w:rPr>
                      <w:rFonts w:hint="default" w:ascii="Times New Roman" w:hAnsi="Times New Roman" w:cs="Times New Roman"/>
                      <w:color w:val="auto"/>
                      <w:spacing w:val="0"/>
                      <w:kern w:val="0"/>
                      <w:position w:val="0"/>
                      <w:szCs w:val="21"/>
                      <w:highlight w:val="none"/>
                      <w:lang w:val="en-US" w:eastAsia="zh-CN" w:bidi="ar"/>
                    </w:rPr>
                    <w:t>9</w:t>
                  </w:r>
                </w:p>
              </w:tc>
              <w:tc>
                <w:tcPr>
                  <w:tcW w:w="1721" w:type="pct"/>
                  <w:noWrap w:val="0"/>
                  <w:vAlign w:val="center"/>
                </w:tcPr>
                <w:p w14:paraId="322EB498">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eastAsia="zh-CN"/>
                    </w:rPr>
                    <w:t>尾气系统</w:t>
                  </w:r>
                </w:p>
              </w:tc>
              <w:tc>
                <w:tcPr>
                  <w:tcW w:w="852" w:type="pct"/>
                  <w:noWrap w:val="0"/>
                  <w:vAlign w:val="center"/>
                </w:tcPr>
                <w:p w14:paraId="67CC8076">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10t/h</w:t>
                  </w:r>
                </w:p>
              </w:tc>
              <w:tc>
                <w:tcPr>
                  <w:tcW w:w="852" w:type="pct"/>
                  <w:noWrap w:val="0"/>
                  <w:vAlign w:val="center"/>
                </w:tcPr>
                <w:p w14:paraId="4EDB9D86">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val="en-US" w:eastAsia="zh-CN" w:bidi="ar"/>
                    </w:rPr>
                  </w:pPr>
                  <w:r>
                    <w:rPr>
                      <w:rFonts w:hint="default" w:ascii="Times New Roman" w:hAnsi="Times New Roman" w:cs="Times New Roman"/>
                      <w:color w:val="auto"/>
                      <w:spacing w:val="0"/>
                      <w:kern w:val="0"/>
                      <w:position w:val="0"/>
                      <w:szCs w:val="21"/>
                      <w:highlight w:val="none"/>
                      <w:lang w:val="en-US" w:eastAsia="zh-CN" w:bidi="ar"/>
                    </w:rPr>
                    <w:t>1</w:t>
                  </w:r>
                </w:p>
              </w:tc>
              <w:tc>
                <w:tcPr>
                  <w:tcW w:w="813" w:type="pct"/>
                  <w:noWrap w:val="0"/>
                  <w:vAlign w:val="center"/>
                </w:tcPr>
                <w:p w14:paraId="197464FA">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套</w:t>
                  </w:r>
                </w:p>
              </w:tc>
            </w:tr>
            <w:tr w14:paraId="4DF782EE">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1663FC24">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0"/>
                      <w:position w:val="0"/>
                      <w:szCs w:val="21"/>
                      <w:highlight w:val="none"/>
                      <w:lang w:val="en-US" w:eastAsia="zh-CN" w:bidi="ar"/>
                    </w:rPr>
                  </w:pPr>
                  <w:r>
                    <w:rPr>
                      <w:rFonts w:hint="default" w:ascii="Times New Roman" w:hAnsi="Times New Roman" w:cs="Times New Roman"/>
                      <w:color w:val="auto"/>
                      <w:spacing w:val="0"/>
                      <w:kern w:val="0"/>
                      <w:position w:val="0"/>
                      <w:szCs w:val="21"/>
                      <w:highlight w:val="none"/>
                      <w:lang w:val="en-US" w:eastAsia="zh-CN" w:bidi="ar"/>
                    </w:rPr>
                    <w:t>10</w:t>
                  </w:r>
                </w:p>
              </w:tc>
              <w:tc>
                <w:tcPr>
                  <w:tcW w:w="1721" w:type="pct"/>
                  <w:noWrap w:val="0"/>
                  <w:vAlign w:val="center"/>
                </w:tcPr>
                <w:p w14:paraId="615A0A7D">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大豆</w:t>
                  </w:r>
                  <w:r>
                    <w:rPr>
                      <w:rFonts w:hint="default" w:ascii="Times New Roman" w:hAnsi="Times New Roman" w:eastAsia="宋体" w:cs="Times New Roman"/>
                      <w:color w:val="auto"/>
                      <w:spacing w:val="0"/>
                      <w:w w:val="100"/>
                      <w:kern w:val="21"/>
                      <w:position w:val="0"/>
                      <w:sz w:val="21"/>
                      <w:szCs w:val="21"/>
                      <w:highlight w:val="none"/>
                      <w:lang w:eastAsia="zh-CN"/>
                    </w:rPr>
                    <w:t>油罐</w:t>
                  </w:r>
                </w:p>
              </w:tc>
              <w:tc>
                <w:tcPr>
                  <w:tcW w:w="852" w:type="pct"/>
                  <w:noWrap w:val="0"/>
                  <w:vAlign w:val="center"/>
                </w:tcPr>
                <w:p w14:paraId="12CE19CC">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kern w:val="0"/>
                      <w:position w:val="0"/>
                      <w:szCs w:val="21"/>
                      <w:highlight w:val="none"/>
                      <w:lang w:val="en-US" w:eastAsia="zh-CN" w:bidi="ar"/>
                    </w:rPr>
                  </w:pPr>
                  <w:r>
                    <w:rPr>
                      <w:rFonts w:hint="default" w:ascii="Times New Roman" w:hAnsi="Times New Roman" w:cs="Times New Roman"/>
                      <w:color w:val="auto"/>
                      <w:spacing w:val="0"/>
                      <w:kern w:val="0"/>
                      <w:position w:val="0"/>
                      <w:szCs w:val="21"/>
                      <w:highlight w:val="none"/>
                      <w:lang w:val="en-US" w:eastAsia="zh-CN" w:bidi="ar"/>
                    </w:rPr>
                    <w:t>350</w:t>
                  </w:r>
                  <w:r>
                    <w:rPr>
                      <w:rFonts w:hint="default" w:ascii="Times New Roman" w:hAnsi="Times New Roman" w:eastAsia="宋体" w:cs="Times New Roman"/>
                      <w:color w:val="auto"/>
                      <w:spacing w:val="0"/>
                      <w:w w:val="100"/>
                      <w:kern w:val="21"/>
                      <w:position w:val="0"/>
                      <w:sz w:val="21"/>
                      <w:szCs w:val="21"/>
                      <w:highlight w:val="none"/>
                      <w:lang w:val="en-US" w:eastAsia="zh-CN"/>
                    </w:rPr>
                    <w:t>m</w:t>
                  </w:r>
                  <w:r>
                    <w:rPr>
                      <w:rFonts w:hint="default" w:ascii="Times New Roman" w:hAnsi="Times New Roman" w:eastAsia="宋体" w:cs="Times New Roman"/>
                      <w:color w:val="auto"/>
                      <w:spacing w:val="0"/>
                      <w:w w:val="100"/>
                      <w:kern w:val="21"/>
                      <w:position w:val="0"/>
                      <w:sz w:val="21"/>
                      <w:szCs w:val="21"/>
                      <w:highlight w:val="none"/>
                      <w:vertAlign w:val="superscript"/>
                      <w:lang w:val="en-US" w:eastAsia="zh-CN"/>
                    </w:rPr>
                    <w:t>3</w:t>
                  </w:r>
                </w:p>
              </w:tc>
              <w:tc>
                <w:tcPr>
                  <w:tcW w:w="852" w:type="pct"/>
                  <w:noWrap w:val="0"/>
                  <w:vAlign w:val="center"/>
                </w:tcPr>
                <w:p w14:paraId="4316B0AE">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1</w:t>
                  </w:r>
                </w:p>
              </w:tc>
              <w:tc>
                <w:tcPr>
                  <w:tcW w:w="813" w:type="pct"/>
                  <w:noWrap w:val="0"/>
                  <w:vAlign w:val="center"/>
                </w:tcPr>
                <w:p w14:paraId="376C5502">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个</w:t>
                  </w:r>
                </w:p>
              </w:tc>
            </w:tr>
            <w:tr w14:paraId="12531554">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6968BA22">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0"/>
                      <w:position w:val="0"/>
                      <w:szCs w:val="21"/>
                      <w:highlight w:val="none"/>
                      <w:lang w:val="en-US" w:eastAsia="zh-CN" w:bidi="ar"/>
                    </w:rPr>
                  </w:pPr>
                  <w:r>
                    <w:rPr>
                      <w:rFonts w:hint="default" w:ascii="Times New Roman" w:hAnsi="Times New Roman" w:cs="Times New Roman"/>
                      <w:color w:val="auto"/>
                      <w:spacing w:val="0"/>
                      <w:kern w:val="0"/>
                      <w:position w:val="0"/>
                      <w:szCs w:val="21"/>
                      <w:highlight w:val="none"/>
                      <w:lang w:val="en-US" w:eastAsia="zh-CN" w:bidi="ar"/>
                    </w:rPr>
                    <w:t>11</w:t>
                  </w:r>
                </w:p>
              </w:tc>
              <w:tc>
                <w:tcPr>
                  <w:tcW w:w="1721" w:type="pct"/>
                  <w:noWrap w:val="0"/>
                  <w:vAlign w:val="center"/>
                </w:tcPr>
                <w:p w14:paraId="1566E2E9">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eastAsia="zh-CN"/>
                    </w:rPr>
                    <w:t>正己烷罐</w:t>
                  </w:r>
                </w:p>
              </w:tc>
              <w:tc>
                <w:tcPr>
                  <w:tcW w:w="852" w:type="pct"/>
                  <w:noWrap w:val="0"/>
                  <w:vAlign w:val="center"/>
                </w:tcPr>
                <w:p w14:paraId="236A9431">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kern w:val="0"/>
                      <w:position w:val="0"/>
                      <w:szCs w:val="21"/>
                      <w:highlight w:val="none"/>
                      <w:lang w:val="en-US" w:bidi="ar"/>
                    </w:rPr>
                  </w:pPr>
                  <w:r>
                    <w:rPr>
                      <w:rFonts w:hint="default" w:ascii="Times New Roman" w:hAnsi="Times New Roman" w:eastAsia="宋体" w:cs="Times New Roman"/>
                      <w:color w:val="auto"/>
                      <w:spacing w:val="0"/>
                      <w:w w:val="100"/>
                      <w:kern w:val="21"/>
                      <w:position w:val="0"/>
                      <w:sz w:val="21"/>
                      <w:szCs w:val="21"/>
                      <w:highlight w:val="none"/>
                      <w:lang w:val="en-US" w:eastAsia="zh-CN"/>
                    </w:rPr>
                    <w:t>63m</w:t>
                  </w:r>
                  <w:r>
                    <w:rPr>
                      <w:rFonts w:hint="default" w:ascii="Times New Roman" w:hAnsi="Times New Roman" w:eastAsia="宋体" w:cs="Times New Roman"/>
                      <w:color w:val="auto"/>
                      <w:spacing w:val="0"/>
                      <w:w w:val="100"/>
                      <w:kern w:val="21"/>
                      <w:position w:val="0"/>
                      <w:sz w:val="21"/>
                      <w:szCs w:val="21"/>
                      <w:highlight w:val="none"/>
                      <w:vertAlign w:val="superscript"/>
                      <w:lang w:val="en-US" w:eastAsia="zh-CN"/>
                    </w:rPr>
                    <w:t>3</w:t>
                  </w:r>
                </w:p>
              </w:tc>
              <w:tc>
                <w:tcPr>
                  <w:tcW w:w="852" w:type="pct"/>
                  <w:noWrap w:val="0"/>
                  <w:vAlign w:val="center"/>
                </w:tcPr>
                <w:p w14:paraId="5AB2DD61">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2</w:t>
                  </w:r>
                </w:p>
              </w:tc>
              <w:tc>
                <w:tcPr>
                  <w:tcW w:w="813" w:type="pct"/>
                  <w:noWrap w:val="0"/>
                  <w:vAlign w:val="center"/>
                </w:tcPr>
                <w:p w14:paraId="4290F227">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个</w:t>
                  </w:r>
                </w:p>
              </w:tc>
            </w:tr>
            <w:tr w14:paraId="53C6065B">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62BDFCE4">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0"/>
                      <w:position w:val="0"/>
                      <w:szCs w:val="21"/>
                      <w:highlight w:val="none"/>
                      <w:lang w:val="en-US" w:eastAsia="zh-CN" w:bidi="ar"/>
                    </w:rPr>
                  </w:pPr>
                  <w:r>
                    <w:rPr>
                      <w:rFonts w:hint="default" w:ascii="Times New Roman" w:hAnsi="Times New Roman" w:cs="Times New Roman"/>
                      <w:color w:val="auto"/>
                      <w:spacing w:val="0"/>
                      <w:kern w:val="0"/>
                      <w:position w:val="0"/>
                      <w:szCs w:val="21"/>
                      <w:highlight w:val="none"/>
                      <w:lang w:val="en-US" w:eastAsia="zh-CN" w:bidi="ar"/>
                    </w:rPr>
                    <w:t>12</w:t>
                  </w:r>
                </w:p>
              </w:tc>
              <w:tc>
                <w:tcPr>
                  <w:tcW w:w="1721" w:type="pct"/>
                  <w:noWrap w:val="0"/>
                  <w:vAlign w:val="center"/>
                </w:tcPr>
                <w:p w14:paraId="79C849DA">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eastAsia="zh-CN"/>
                    </w:rPr>
                    <w:t>锅炉</w:t>
                  </w:r>
                </w:p>
              </w:tc>
              <w:tc>
                <w:tcPr>
                  <w:tcW w:w="852" w:type="pct"/>
                  <w:noWrap w:val="0"/>
                  <w:vAlign w:val="center"/>
                </w:tcPr>
                <w:p w14:paraId="46CAFB7A">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15t/h</w:t>
                  </w:r>
                </w:p>
              </w:tc>
              <w:tc>
                <w:tcPr>
                  <w:tcW w:w="852" w:type="pct"/>
                  <w:noWrap w:val="0"/>
                  <w:vAlign w:val="center"/>
                </w:tcPr>
                <w:p w14:paraId="252F82C1">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val="en-US" w:eastAsia="zh-CN" w:bidi="ar"/>
                    </w:rPr>
                  </w:pPr>
                  <w:r>
                    <w:rPr>
                      <w:rFonts w:hint="default" w:ascii="Times New Roman" w:hAnsi="Times New Roman" w:cs="Times New Roman"/>
                      <w:color w:val="auto"/>
                      <w:spacing w:val="0"/>
                      <w:kern w:val="0"/>
                      <w:position w:val="0"/>
                      <w:szCs w:val="21"/>
                      <w:highlight w:val="none"/>
                      <w:lang w:val="en-US" w:eastAsia="zh-CN" w:bidi="ar"/>
                    </w:rPr>
                    <w:t>1</w:t>
                  </w:r>
                </w:p>
              </w:tc>
              <w:tc>
                <w:tcPr>
                  <w:tcW w:w="813" w:type="pct"/>
                  <w:noWrap w:val="0"/>
                  <w:vAlign w:val="center"/>
                </w:tcPr>
                <w:p w14:paraId="643BCC83">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台</w:t>
                  </w:r>
                </w:p>
              </w:tc>
            </w:tr>
            <w:tr w14:paraId="221F6226">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32DB82D6">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0"/>
                      <w:position w:val="0"/>
                      <w:szCs w:val="21"/>
                      <w:highlight w:val="none"/>
                      <w:lang w:val="en-US" w:eastAsia="zh-CN" w:bidi="ar"/>
                    </w:rPr>
                  </w:pPr>
                  <w:r>
                    <w:rPr>
                      <w:rFonts w:hint="default" w:ascii="Times New Roman" w:hAnsi="Times New Roman" w:cs="Times New Roman"/>
                      <w:color w:val="auto"/>
                      <w:spacing w:val="0"/>
                      <w:kern w:val="0"/>
                      <w:position w:val="0"/>
                      <w:szCs w:val="21"/>
                      <w:highlight w:val="none"/>
                      <w:lang w:val="en-US" w:eastAsia="zh-CN" w:bidi="ar"/>
                    </w:rPr>
                    <w:t>13</w:t>
                  </w:r>
                </w:p>
              </w:tc>
              <w:tc>
                <w:tcPr>
                  <w:tcW w:w="1721" w:type="pct"/>
                  <w:noWrap w:val="0"/>
                  <w:vAlign w:val="center"/>
                </w:tcPr>
                <w:p w14:paraId="1C509D79">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252型榨油机</w:t>
                  </w:r>
                </w:p>
              </w:tc>
              <w:tc>
                <w:tcPr>
                  <w:tcW w:w="852" w:type="pct"/>
                  <w:noWrap w:val="0"/>
                  <w:vAlign w:val="center"/>
                </w:tcPr>
                <w:p w14:paraId="2FABBD83">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1t/h</w:t>
                  </w:r>
                </w:p>
              </w:tc>
              <w:tc>
                <w:tcPr>
                  <w:tcW w:w="852" w:type="pct"/>
                  <w:noWrap w:val="0"/>
                  <w:vAlign w:val="center"/>
                </w:tcPr>
                <w:p w14:paraId="2EEF95A5">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4</w:t>
                  </w:r>
                </w:p>
              </w:tc>
              <w:tc>
                <w:tcPr>
                  <w:tcW w:w="813" w:type="pct"/>
                  <w:noWrap w:val="0"/>
                  <w:vAlign w:val="center"/>
                </w:tcPr>
                <w:p w14:paraId="5845F71C">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台</w:t>
                  </w:r>
                </w:p>
              </w:tc>
            </w:tr>
            <w:tr w14:paraId="15A035E3">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478C2CE8">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0"/>
                      <w:position w:val="0"/>
                      <w:szCs w:val="21"/>
                      <w:highlight w:val="none"/>
                      <w:lang w:val="en-US" w:eastAsia="zh-CN" w:bidi="ar"/>
                    </w:rPr>
                  </w:pPr>
                  <w:r>
                    <w:rPr>
                      <w:rFonts w:hint="default" w:ascii="Times New Roman" w:hAnsi="Times New Roman" w:cs="Times New Roman"/>
                      <w:color w:val="auto"/>
                      <w:spacing w:val="0"/>
                      <w:kern w:val="0"/>
                      <w:position w:val="0"/>
                      <w:szCs w:val="21"/>
                      <w:highlight w:val="none"/>
                      <w:lang w:val="en-US" w:eastAsia="zh-CN" w:bidi="ar"/>
                    </w:rPr>
                    <w:t>14</w:t>
                  </w:r>
                </w:p>
              </w:tc>
              <w:tc>
                <w:tcPr>
                  <w:tcW w:w="1721" w:type="pct"/>
                  <w:noWrap w:val="0"/>
                  <w:vAlign w:val="center"/>
                </w:tcPr>
                <w:p w14:paraId="114D4905">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毛油罐</w:t>
                  </w:r>
                </w:p>
              </w:tc>
              <w:tc>
                <w:tcPr>
                  <w:tcW w:w="852" w:type="pct"/>
                  <w:noWrap w:val="0"/>
                  <w:vAlign w:val="center"/>
                </w:tcPr>
                <w:p w14:paraId="76EAF743">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kern w:val="0"/>
                      <w:position w:val="0"/>
                      <w:szCs w:val="21"/>
                      <w:highlight w:val="none"/>
                      <w:lang w:val="en-US" w:bidi="ar"/>
                    </w:rPr>
                  </w:pPr>
                  <w:r>
                    <w:rPr>
                      <w:rFonts w:hint="default" w:ascii="Times New Roman" w:hAnsi="Times New Roman" w:eastAsia="宋体" w:cs="Times New Roman"/>
                      <w:color w:val="auto"/>
                      <w:spacing w:val="0"/>
                      <w:w w:val="100"/>
                      <w:kern w:val="21"/>
                      <w:position w:val="0"/>
                      <w:sz w:val="21"/>
                      <w:szCs w:val="21"/>
                      <w:highlight w:val="none"/>
                      <w:lang w:val="en-US" w:eastAsia="zh-CN"/>
                    </w:rPr>
                    <w:t>1000m</w:t>
                  </w:r>
                  <w:r>
                    <w:rPr>
                      <w:rFonts w:hint="default" w:ascii="Times New Roman" w:hAnsi="Times New Roman" w:eastAsia="宋体" w:cs="Times New Roman"/>
                      <w:color w:val="auto"/>
                      <w:spacing w:val="0"/>
                      <w:w w:val="100"/>
                      <w:kern w:val="21"/>
                      <w:position w:val="0"/>
                      <w:sz w:val="21"/>
                      <w:szCs w:val="21"/>
                      <w:highlight w:val="none"/>
                      <w:vertAlign w:val="superscript"/>
                      <w:lang w:val="en-US" w:eastAsia="zh-CN"/>
                    </w:rPr>
                    <w:t>3</w:t>
                  </w:r>
                </w:p>
              </w:tc>
              <w:tc>
                <w:tcPr>
                  <w:tcW w:w="852" w:type="pct"/>
                  <w:noWrap w:val="0"/>
                  <w:vAlign w:val="center"/>
                </w:tcPr>
                <w:p w14:paraId="715F613B">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2</w:t>
                  </w:r>
                </w:p>
              </w:tc>
              <w:tc>
                <w:tcPr>
                  <w:tcW w:w="813" w:type="pct"/>
                  <w:noWrap w:val="0"/>
                  <w:vAlign w:val="center"/>
                </w:tcPr>
                <w:p w14:paraId="7A84F140">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个</w:t>
                  </w:r>
                </w:p>
              </w:tc>
            </w:tr>
            <w:tr w14:paraId="447FB436">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2E78FE8E">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15</w:t>
                  </w:r>
                </w:p>
              </w:tc>
              <w:tc>
                <w:tcPr>
                  <w:tcW w:w="1721" w:type="pct"/>
                  <w:noWrap w:val="0"/>
                  <w:vAlign w:val="center"/>
                </w:tcPr>
                <w:p w14:paraId="27428FB4">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val="en-US" w:eastAsia="zh-CN"/>
                    </w:rPr>
                    <w:t>精炼设备</w:t>
                  </w:r>
                </w:p>
              </w:tc>
              <w:tc>
                <w:tcPr>
                  <w:tcW w:w="852" w:type="pct"/>
                  <w:noWrap w:val="0"/>
                  <w:vAlign w:val="center"/>
                </w:tcPr>
                <w:p w14:paraId="36871593">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w:t>
                  </w:r>
                </w:p>
              </w:tc>
              <w:tc>
                <w:tcPr>
                  <w:tcW w:w="852" w:type="pct"/>
                  <w:noWrap w:val="0"/>
                  <w:vAlign w:val="center"/>
                </w:tcPr>
                <w:p w14:paraId="1DA54D1A">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1</w:t>
                  </w:r>
                </w:p>
              </w:tc>
              <w:tc>
                <w:tcPr>
                  <w:tcW w:w="813" w:type="pct"/>
                  <w:noWrap w:val="0"/>
                  <w:vAlign w:val="center"/>
                </w:tcPr>
                <w:p w14:paraId="59D8AB59">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套</w:t>
                  </w:r>
                </w:p>
              </w:tc>
            </w:tr>
            <w:tr w14:paraId="09DB75EC">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5D75C33B">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16</w:t>
                  </w:r>
                </w:p>
              </w:tc>
              <w:tc>
                <w:tcPr>
                  <w:tcW w:w="1721" w:type="pct"/>
                  <w:noWrap w:val="0"/>
                  <w:vAlign w:val="center"/>
                </w:tcPr>
                <w:p w14:paraId="14C97181">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eastAsia="zh-CN"/>
                    </w:rPr>
                    <w:t>磷酸反应罐</w:t>
                  </w:r>
                </w:p>
              </w:tc>
              <w:tc>
                <w:tcPr>
                  <w:tcW w:w="852" w:type="pct"/>
                  <w:noWrap w:val="0"/>
                  <w:vAlign w:val="center"/>
                </w:tcPr>
                <w:p w14:paraId="69286080">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w:t>
                  </w:r>
                </w:p>
              </w:tc>
              <w:tc>
                <w:tcPr>
                  <w:tcW w:w="852" w:type="pct"/>
                  <w:noWrap w:val="0"/>
                  <w:vAlign w:val="center"/>
                </w:tcPr>
                <w:p w14:paraId="5E42E0F6">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1</w:t>
                  </w:r>
                </w:p>
              </w:tc>
              <w:tc>
                <w:tcPr>
                  <w:tcW w:w="813" w:type="pct"/>
                  <w:noWrap w:val="0"/>
                  <w:vAlign w:val="center"/>
                </w:tcPr>
                <w:p w14:paraId="57EB626F">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个</w:t>
                  </w:r>
                </w:p>
              </w:tc>
            </w:tr>
            <w:tr w14:paraId="6F756018">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4AF2F6D9">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17</w:t>
                  </w:r>
                </w:p>
              </w:tc>
              <w:tc>
                <w:tcPr>
                  <w:tcW w:w="1721" w:type="pct"/>
                  <w:noWrap w:val="0"/>
                  <w:vAlign w:val="center"/>
                </w:tcPr>
                <w:p w14:paraId="2B95EB88">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eastAsia="zh-CN"/>
                    </w:rPr>
                    <w:t>碱反应罐</w:t>
                  </w:r>
                </w:p>
              </w:tc>
              <w:tc>
                <w:tcPr>
                  <w:tcW w:w="852" w:type="pct"/>
                  <w:noWrap w:val="0"/>
                  <w:vAlign w:val="center"/>
                </w:tcPr>
                <w:p w14:paraId="60526527">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w:t>
                  </w:r>
                </w:p>
              </w:tc>
              <w:tc>
                <w:tcPr>
                  <w:tcW w:w="852" w:type="pct"/>
                  <w:noWrap w:val="0"/>
                  <w:vAlign w:val="center"/>
                </w:tcPr>
                <w:p w14:paraId="1E5A97BA">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1</w:t>
                  </w:r>
                </w:p>
              </w:tc>
              <w:tc>
                <w:tcPr>
                  <w:tcW w:w="813" w:type="pct"/>
                  <w:noWrap w:val="0"/>
                  <w:vAlign w:val="center"/>
                </w:tcPr>
                <w:p w14:paraId="755771FE">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个</w:t>
                  </w:r>
                </w:p>
              </w:tc>
            </w:tr>
            <w:tr w14:paraId="118D6A6B">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3AE7B75E">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18</w:t>
                  </w:r>
                </w:p>
              </w:tc>
              <w:tc>
                <w:tcPr>
                  <w:tcW w:w="1721" w:type="pct"/>
                  <w:noWrap w:val="0"/>
                  <w:vAlign w:val="center"/>
                </w:tcPr>
                <w:p w14:paraId="56CD0136">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eastAsia="zh-CN"/>
                    </w:rPr>
                    <w:t>离心机</w:t>
                  </w:r>
                </w:p>
              </w:tc>
              <w:tc>
                <w:tcPr>
                  <w:tcW w:w="852" w:type="pct"/>
                  <w:noWrap w:val="0"/>
                  <w:vAlign w:val="center"/>
                </w:tcPr>
                <w:p w14:paraId="620E6E07">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w:t>
                  </w:r>
                </w:p>
              </w:tc>
              <w:tc>
                <w:tcPr>
                  <w:tcW w:w="852" w:type="pct"/>
                  <w:noWrap w:val="0"/>
                  <w:vAlign w:val="center"/>
                </w:tcPr>
                <w:p w14:paraId="24A21661">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2</w:t>
                  </w:r>
                </w:p>
              </w:tc>
              <w:tc>
                <w:tcPr>
                  <w:tcW w:w="813" w:type="pct"/>
                  <w:noWrap w:val="0"/>
                  <w:vAlign w:val="center"/>
                </w:tcPr>
                <w:p w14:paraId="3B531DFB">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个</w:t>
                  </w:r>
                </w:p>
              </w:tc>
            </w:tr>
            <w:tr w14:paraId="198AA615">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70ED4422">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19</w:t>
                  </w:r>
                </w:p>
              </w:tc>
              <w:tc>
                <w:tcPr>
                  <w:tcW w:w="1721" w:type="pct"/>
                  <w:noWrap w:val="0"/>
                  <w:vAlign w:val="center"/>
                </w:tcPr>
                <w:p w14:paraId="5AE5C8AF">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val="en-US" w:eastAsia="zh-CN"/>
                    </w:rPr>
                    <w:t>水洗离心机</w:t>
                  </w:r>
                </w:p>
              </w:tc>
              <w:tc>
                <w:tcPr>
                  <w:tcW w:w="852" w:type="pct"/>
                  <w:noWrap w:val="0"/>
                  <w:vAlign w:val="center"/>
                </w:tcPr>
                <w:p w14:paraId="4D17A882">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w:t>
                  </w:r>
                </w:p>
              </w:tc>
              <w:tc>
                <w:tcPr>
                  <w:tcW w:w="852" w:type="pct"/>
                  <w:noWrap w:val="0"/>
                  <w:vAlign w:val="center"/>
                </w:tcPr>
                <w:p w14:paraId="44130BB3">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1</w:t>
                  </w:r>
                </w:p>
              </w:tc>
              <w:tc>
                <w:tcPr>
                  <w:tcW w:w="813" w:type="pct"/>
                  <w:noWrap w:val="0"/>
                  <w:vAlign w:val="center"/>
                </w:tcPr>
                <w:p w14:paraId="7C8F5522">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个</w:t>
                  </w:r>
                </w:p>
              </w:tc>
            </w:tr>
            <w:tr w14:paraId="0A01C316">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0AA5AC19">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20</w:t>
                  </w:r>
                </w:p>
              </w:tc>
              <w:tc>
                <w:tcPr>
                  <w:tcW w:w="1721" w:type="pct"/>
                  <w:noWrap w:val="0"/>
                  <w:vAlign w:val="center"/>
                </w:tcPr>
                <w:p w14:paraId="08749712">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eastAsia="zh-CN"/>
                    </w:rPr>
                    <w:t>干燥塔</w:t>
                  </w:r>
                </w:p>
              </w:tc>
              <w:tc>
                <w:tcPr>
                  <w:tcW w:w="852" w:type="pct"/>
                  <w:noWrap w:val="0"/>
                  <w:vAlign w:val="center"/>
                </w:tcPr>
                <w:p w14:paraId="256DD337">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w:t>
                  </w:r>
                </w:p>
              </w:tc>
              <w:tc>
                <w:tcPr>
                  <w:tcW w:w="852" w:type="pct"/>
                  <w:noWrap w:val="0"/>
                  <w:vAlign w:val="center"/>
                </w:tcPr>
                <w:p w14:paraId="05532C02">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1</w:t>
                  </w:r>
                </w:p>
              </w:tc>
              <w:tc>
                <w:tcPr>
                  <w:tcW w:w="813" w:type="pct"/>
                  <w:noWrap w:val="0"/>
                  <w:vAlign w:val="center"/>
                </w:tcPr>
                <w:p w14:paraId="2D9AEA84">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个</w:t>
                  </w:r>
                </w:p>
              </w:tc>
            </w:tr>
            <w:tr w14:paraId="4A3BAE2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74220D19">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21</w:t>
                  </w:r>
                </w:p>
              </w:tc>
              <w:tc>
                <w:tcPr>
                  <w:tcW w:w="1721" w:type="pct"/>
                  <w:noWrap w:val="0"/>
                  <w:vAlign w:val="center"/>
                </w:tcPr>
                <w:p w14:paraId="2E60CB94">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eastAsia="zh-CN"/>
                    </w:rPr>
                    <w:t>炼油锅</w:t>
                  </w:r>
                </w:p>
              </w:tc>
              <w:tc>
                <w:tcPr>
                  <w:tcW w:w="852" w:type="pct"/>
                  <w:noWrap w:val="0"/>
                  <w:vAlign w:val="center"/>
                </w:tcPr>
                <w:p w14:paraId="1F603AC7">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w:t>
                  </w:r>
                </w:p>
              </w:tc>
              <w:tc>
                <w:tcPr>
                  <w:tcW w:w="852" w:type="pct"/>
                  <w:noWrap w:val="0"/>
                  <w:vAlign w:val="center"/>
                </w:tcPr>
                <w:p w14:paraId="672CBA7B">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2</w:t>
                  </w:r>
                </w:p>
              </w:tc>
              <w:tc>
                <w:tcPr>
                  <w:tcW w:w="813" w:type="pct"/>
                  <w:noWrap w:val="0"/>
                  <w:vAlign w:val="center"/>
                </w:tcPr>
                <w:p w14:paraId="3954F0D0">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个</w:t>
                  </w:r>
                </w:p>
              </w:tc>
            </w:tr>
            <w:tr w14:paraId="27DB30B1">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4086466D">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22</w:t>
                  </w:r>
                </w:p>
              </w:tc>
              <w:tc>
                <w:tcPr>
                  <w:tcW w:w="1721" w:type="pct"/>
                  <w:noWrap w:val="0"/>
                  <w:vAlign w:val="center"/>
                </w:tcPr>
                <w:p w14:paraId="27871D34">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eastAsia="zh-CN"/>
                    </w:rPr>
                    <w:t>沉淀罐</w:t>
                  </w:r>
                </w:p>
              </w:tc>
              <w:tc>
                <w:tcPr>
                  <w:tcW w:w="852" w:type="pct"/>
                  <w:noWrap w:val="0"/>
                  <w:vAlign w:val="center"/>
                </w:tcPr>
                <w:p w14:paraId="1F09651B">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w:t>
                  </w:r>
                </w:p>
              </w:tc>
              <w:tc>
                <w:tcPr>
                  <w:tcW w:w="852" w:type="pct"/>
                  <w:noWrap w:val="0"/>
                  <w:vAlign w:val="center"/>
                </w:tcPr>
                <w:p w14:paraId="7AC73206">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2</w:t>
                  </w:r>
                </w:p>
              </w:tc>
              <w:tc>
                <w:tcPr>
                  <w:tcW w:w="813" w:type="pct"/>
                  <w:noWrap w:val="0"/>
                  <w:vAlign w:val="center"/>
                </w:tcPr>
                <w:p w14:paraId="41F76BEA">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个</w:t>
                  </w:r>
                </w:p>
              </w:tc>
            </w:tr>
            <w:tr w14:paraId="0887644F">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60879222">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23</w:t>
                  </w:r>
                </w:p>
              </w:tc>
              <w:tc>
                <w:tcPr>
                  <w:tcW w:w="1721" w:type="pct"/>
                  <w:noWrap w:val="0"/>
                  <w:vAlign w:val="center"/>
                </w:tcPr>
                <w:p w14:paraId="23183A3E">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eastAsia="zh-CN"/>
                    </w:rPr>
                    <w:t>暂存罐</w:t>
                  </w:r>
                </w:p>
              </w:tc>
              <w:tc>
                <w:tcPr>
                  <w:tcW w:w="852" w:type="pct"/>
                  <w:noWrap w:val="0"/>
                  <w:vAlign w:val="center"/>
                </w:tcPr>
                <w:p w14:paraId="0E12EBCB">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w:t>
                  </w:r>
                </w:p>
              </w:tc>
              <w:tc>
                <w:tcPr>
                  <w:tcW w:w="852" w:type="pct"/>
                  <w:noWrap w:val="0"/>
                  <w:vAlign w:val="center"/>
                </w:tcPr>
                <w:p w14:paraId="4025B345">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3</w:t>
                  </w:r>
                </w:p>
              </w:tc>
              <w:tc>
                <w:tcPr>
                  <w:tcW w:w="813" w:type="pct"/>
                  <w:noWrap w:val="0"/>
                  <w:vAlign w:val="center"/>
                </w:tcPr>
                <w:p w14:paraId="54655762">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个</w:t>
                  </w:r>
                </w:p>
              </w:tc>
            </w:tr>
            <w:tr w14:paraId="5F9F1DB0">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6CDB34AD">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24</w:t>
                  </w:r>
                </w:p>
              </w:tc>
              <w:tc>
                <w:tcPr>
                  <w:tcW w:w="1721" w:type="pct"/>
                  <w:noWrap w:val="0"/>
                  <w:vAlign w:val="center"/>
                </w:tcPr>
                <w:p w14:paraId="02AA71F3">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eastAsia="zh-CN"/>
                    </w:rPr>
                    <w:t>白土预混罐</w:t>
                  </w:r>
                </w:p>
              </w:tc>
              <w:tc>
                <w:tcPr>
                  <w:tcW w:w="852" w:type="pct"/>
                  <w:noWrap w:val="0"/>
                  <w:vAlign w:val="center"/>
                </w:tcPr>
                <w:p w14:paraId="765E6F5E">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w:t>
                  </w:r>
                </w:p>
              </w:tc>
              <w:tc>
                <w:tcPr>
                  <w:tcW w:w="852" w:type="pct"/>
                  <w:noWrap w:val="0"/>
                  <w:vAlign w:val="center"/>
                </w:tcPr>
                <w:p w14:paraId="70C2A962">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1</w:t>
                  </w:r>
                </w:p>
              </w:tc>
              <w:tc>
                <w:tcPr>
                  <w:tcW w:w="813" w:type="pct"/>
                  <w:noWrap w:val="0"/>
                  <w:vAlign w:val="center"/>
                </w:tcPr>
                <w:p w14:paraId="28805533">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个</w:t>
                  </w:r>
                </w:p>
              </w:tc>
            </w:tr>
            <w:tr w14:paraId="61229D9B">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66992962">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25</w:t>
                  </w:r>
                </w:p>
              </w:tc>
              <w:tc>
                <w:tcPr>
                  <w:tcW w:w="1721" w:type="pct"/>
                  <w:noWrap w:val="0"/>
                  <w:vAlign w:val="center"/>
                </w:tcPr>
                <w:p w14:paraId="2AAA0C17">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eastAsia="zh-CN"/>
                    </w:rPr>
                    <w:t>脱色塔</w:t>
                  </w:r>
                </w:p>
              </w:tc>
              <w:tc>
                <w:tcPr>
                  <w:tcW w:w="852" w:type="pct"/>
                  <w:noWrap w:val="0"/>
                  <w:vAlign w:val="center"/>
                </w:tcPr>
                <w:p w14:paraId="42D85085">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w:t>
                  </w:r>
                </w:p>
              </w:tc>
              <w:tc>
                <w:tcPr>
                  <w:tcW w:w="852" w:type="pct"/>
                  <w:noWrap w:val="0"/>
                  <w:vAlign w:val="center"/>
                </w:tcPr>
                <w:p w14:paraId="0930ED0C">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1</w:t>
                  </w:r>
                </w:p>
              </w:tc>
              <w:tc>
                <w:tcPr>
                  <w:tcW w:w="813" w:type="pct"/>
                  <w:noWrap w:val="0"/>
                  <w:vAlign w:val="center"/>
                </w:tcPr>
                <w:p w14:paraId="4FBB57C7">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个</w:t>
                  </w:r>
                </w:p>
              </w:tc>
            </w:tr>
            <w:tr w14:paraId="3235E225">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2AE541D9">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26</w:t>
                  </w:r>
                </w:p>
              </w:tc>
              <w:tc>
                <w:tcPr>
                  <w:tcW w:w="1721" w:type="pct"/>
                  <w:noWrap w:val="0"/>
                  <w:vAlign w:val="center"/>
                </w:tcPr>
                <w:p w14:paraId="45A3F1D4">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eastAsia="zh-CN"/>
                    </w:rPr>
                    <w:t>过滤机</w:t>
                  </w:r>
                </w:p>
              </w:tc>
              <w:tc>
                <w:tcPr>
                  <w:tcW w:w="852" w:type="pct"/>
                  <w:noWrap w:val="0"/>
                  <w:vAlign w:val="center"/>
                </w:tcPr>
                <w:p w14:paraId="03FCF3B5">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w:t>
                  </w:r>
                </w:p>
              </w:tc>
              <w:tc>
                <w:tcPr>
                  <w:tcW w:w="852" w:type="pct"/>
                  <w:noWrap w:val="0"/>
                  <w:vAlign w:val="center"/>
                </w:tcPr>
                <w:p w14:paraId="07761E93">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2</w:t>
                  </w:r>
                </w:p>
              </w:tc>
              <w:tc>
                <w:tcPr>
                  <w:tcW w:w="813" w:type="pct"/>
                  <w:noWrap w:val="0"/>
                  <w:vAlign w:val="center"/>
                </w:tcPr>
                <w:p w14:paraId="36FDAFA2">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个</w:t>
                  </w:r>
                </w:p>
              </w:tc>
            </w:tr>
            <w:tr w14:paraId="2024810A">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76A5101C">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0"/>
                      <w:position w:val="0"/>
                      <w:szCs w:val="21"/>
                      <w:highlight w:val="none"/>
                      <w:lang w:val="en-US" w:eastAsia="zh-CN" w:bidi="ar"/>
                    </w:rPr>
                  </w:pPr>
                  <w:r>
                    <w:rPr>
                      <w:rFonts w:hint="default" w:ascii="Times New Roman" w:hAnsi="Times New Roman" w:cs="Times New Roman"/>
                      <w:color w:val="auto"/>
                      <w:spacing w:val="0"/>
                      <w:kern w:val="0"/>
                      <w:position w:val="0"/>
                      <w:szCs w:val="21"/>
                      <w:highlight w:val="none"/>
                      <w:lang w:val="en-US" w:eastAsia="zh-CN" w:bidi="ar"/>
                    </w:rPr>
                    <w:t>27</w:t>
                  </w:r>
                </w:p>
              </w:tc>
              <w:tc>
                <w:tcPr>
                  <w:tcW w:w="1721" w:type="pct"/>
                  <w:noWrap w:val="0"/>
                  <w:vAlign w:val="center"/>
                </w:tcPr>
                <w:p w14:paraId="54EA8814">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eastAsia="zh-CN"/>
                    </w:rPr>
                    <w:t>吸气罐</w:t>
                  </w:r>
                </w:p>
              </w:tc>
              <w:tc>
                <w:tcPr>
                  <w:tcW w:w="852" w:type="pct"/>
                  <w:noWrap w:val="0"/>
                  <w:vAlign w:val="center"/>
                </w:tcPr>
                <w:p w14:paraId="2EC89BC0">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kern w:val="0"/>
                      <w:position w:val="0"/>
                      <w:szCs w:val="21"/>
                      <w:highlight w:val="none"/>
                      <w:lang w:val="en-US" w:eastAsia="zh-CN" w:bidi="ar"/>
                    </w:rPr>
                  </w:pPr>
                  <w:r>
                    <w:rPr>
                      <w:rFonts w:hint="default" w:ascii="Times New Roman" w:hAnsi="Times New Roman" w:cs="Times New Roman"/>
                      <w:color w:val="auto"/>
                      <w:spacing w:val="0"/>
                      <w:kern w:val="0"/>
                      <w:position w:val="0"/>
                      <w:szCs w:val="21"/>
                      <w:highlight w:val="none"/>
                      <w:lang w:val="en-US" w:eastAsia="zh-CN" w:bidi="ar"/>
                    </w:rPr>
                    <w:t>/</w:t>
                  </w:r>
                </w:p>
              </w:tc>
              <w:tc>
                <w:tcPr>
                  <w:tcW w:w="852" w:type="pct"/>
                  <w:noWrap w:val="0"/>
                  <w:vAlign w:val="center"/>
                </w:tcPr>
                <w:p w14:paraId="75E16A85">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1</w:t>
                  </w:r>
                </w:p>
              </w:tc>
              <w:tc>
                <w:tcPr>
                  <w:tcW w:w="813" w:type="pct"/>
                  <w:noWrap w:val="0"/>
                  <w:vAlign w:val="center"/>
                </w:tcPr>
                <w:p w14:paraId="591A73E2">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个</w:t>
                  </w:r>
                </w:p>
              </w:tc>
            </w:tr>
            <w:tr w14:paraId="0F595840">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trPr>
              <w:tc>
                <w:tcPr>
                  <w:tcW w:w="759" w:type="pct"/>
                  <w:noWrap w:val="0"/>
                  <w:vAlign w:val="center"/>
                </w:tcPr>
                <w:p w14:paraId="4FAEADAD">
                  <w:pPr>
                    <w:keepNext w:val="0"/>
                    <w:keepLines w:val="0"/>
                    <w:pageBreakBefore w:val="0"/>
                    <w:widowControl/>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0"/>
                      <w:position w:val="0"/>
                      <w:szCs w:val="21"/>
                      <w:highlight w:val="none"/>
                      <w:lang w:val="en-US" w:eastAsia="zh-CN" w:bidi="ar"/>
                    </w:rPr>
                  </w:pPr>
                  <w:r>
                    <w:rPr>
                      <w:rFonts w:hint="default" w:ascii="Times New Roman" w:hAnsi="Times New Roman" w:cs="Times New Roman"/>
                      <w:color w:val="auto"/>
                      <w:spacing w:val="0"/>
                      <w:kern w:val="0"/>
                      <w:position w:val="0"/>
                      <w:szCs w:val="21"/>
                      <w:highlight w:val="none"/>
                      <w:lang w:val="en-US" w:eastAsia="zh-CN" w:bidi="ar"/>
                    </w:rPr>
                    <w:t>28</w:t>
                  </w:r>
                </w:p>
              </w:tc>
              <w:tc>
                <w:tcPr>
                  <w:tcW w:w="1721" w:type="pct"/>
                  <w:noWrap w:val="0"/>
                  <w:vAlign w:val="center"/>
                </w:tcPr>
                <w:p w14:paraId="7BC5B6C6">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eastAsia="zh-CN"/>
                    </w:rPr>
                    <w:t>脱臭塔</w:t>
                  </w:r>
                </w:p>
              </w:tc>
              <w:tc>
                <w:tcPr>
                  <w:tcW w:w="852" w:type="pct"/>
                  <w:noWrap w:val="0"/>
                  <w:vAlign w:val="center"/>
                </w:tcPr>
                <w:p w14:paraId="0649C175">
                  <w:pPr>
                    <w:pStyle w:val="105"/>
                    <w:keepLines w:val="0"/>
                    <w:pageBreakBefore w:val="0"/>
                    <w:kinsoku/>
                    <w:bidi w:val="0"/>
                    <w:adjustRightInd w:val="0"/>
                    <w:snapToGrid w:val="0"/>
                    <w:ind w:left="0" w:leftChars="0"/>
                    <w:jc w:val="center"/>
                    <w:rPr>
                      <w:rFonts w:hint="default" w:ascii="Times New Roman" w:hAnsi="Times New Roman" w:eastAsia="宋体" w:cs="Times New Roman"/>
                      <w:color w:val="auto"/>
                      <w:spacing w:val="0"/>
                      <w:kern w:val="0"/>
                      <w:position w:val="0"/>
                      <w:szCs w:val="21"/>
                      <w:highlight w:val="none"/>
                      <w:lang w:val="en-US" w:eastAsia="zh-CN" w:bidi="ar"/>
                    </w:rPr>
                  </w:pPr>
                  <w:r>
                    <w:rPr>
                      <w:rFonts w:hint="default" w:ascii="Times New Roman" w:hAnsi="Times New Roman" w:cs="Times New Roman"/>
                      <w:color w:val="auto"/>
                      <w:spacing w:val="0"/>
                      <w:kern w:val="0"/>
                      <w:position w:val="0"/>
                      <w:szCs w:val="21"/>
                      <w:highlight w:val="none"/>
                      <w:lang w:val="en-US" w:eastAsia="zh-CN" w:bidi="ar"/>
                    </w:rPr>
                    <w:t>/</w:t>
                  </w:r>
                </w:p>
              </w:tc>
              <w:tc>
                <w:tcPr>
                  <w:tcW w:w="852" w:type="pct"/>
                  <w:noWrap w:val="0"/>
                  <w:vAlign w:val="center"/>
                </w:tcPr>
                <w:p w14:paraId="00A090B3">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rPr>
                    <w:t>1</w:t>
                  </w:r>
                </w:p>
              </w:tc>
              <w:tc>
                <w:tcPr>
                  <w:tcW w:w="813" w:type="pct"/>
                  <w:noWrap w:val="0"/>
                  <w:vAlign w:val="center"/>
                </w:tcPr>
                <w:p w14:paraId="485EB252">
                  <w:pPr>
                    <w:pStyle w:val="105"/>
                    <w:keepLines w:val="0"/>
                    <w:pageBreakBefore w:val="0"/>
                    <w:kinsoku/>
                    <w:bidi w:val="0"/>
                    <w:adjustRightInd w:val="0"/>
                    <w:snapToGrid w:val="0"/>
                    <w:ind w:left="0" w:leftChars="0"/>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w w:val="100"/>
                      <w:kern w:val="21"/>
                      <w:position w:val="0"/>
                      <w:sz w:val="21"/>
                      <w:szCs w:val="21"/>
                      <w:highlight w:val="none"/>
                      <w:lang w:val="en-US" w:eastAsia="zh-CN" w:bidi="ar-SA"/>
                    </w:rPr>
                    <w:t>个</w:t>
                  </w:r>
                </w:p>
              </w:tc>
            </w:tr>
          </w:tbl>
          <w:p w14:paraId="2F8ADAC8">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四、</w:t>
            </w:r>
            <w:r>
              <w:rPr>
                <w:rFonts w:hint="default" w:ascii="Times New Roman" w:hAnsi="Times New Roman" w:eastAsia="宋体" w:cs="Times New Roman"/>
                <w:color w:val="auto"/>
                <w:spacing w:val="0"/>
                <w:position w:val="0"/>
                <w:sz w:val="24"/>
                <w:szCs w:val="24"/>
                <w:highlight w:val="none"/>
              </w:rPr>
              <w:t>原辅材料及产品方案</w:t>
            </w:r>
          </w:p>
          <w:p w14:paraId="7969C77D">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1、原辅材料</w:t>
            </w:r>
          </w:p>
          <w:p w14:paraId="783BF0CE">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b/>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本项目主要</w:t>
            </w:r>
            <w:r>
              <w:rPr>
                <w:rFonts w:hint="default" w:ascii="Times New Roman" w:hAnsi="Times New Roman" w:eastAsia="宋体" w:cs="Times New Roman"/>
                <w:bCs/>
                <w:color w:val="auto"/>
                <w:spacing w:val="0"/>
                <w:position w:val="0"/>
                <w:sz w:val="24"/>
                <w:szCs w:val="24"/>
                <w:highlight w:val="none"/>
              </w:rPr>
              <w:t>原辅材料</w:t>
            </w:r>
            <w:r>
              <w:rPr>
                <w:rFonts w:hint="default" w:ascii="Times New Roman" w:hAnsi="Times New Roman" w:eastAsia="宋体" w:cs="Times New Roman"/>
                <w:color w:val="auto"/>
                <w:spacing w:val="0"/>
                <w:position w:val="0"/>
                <w:sz w:val="24"/>
                <w:szCs w:val="24"/>
                <w:highlight w:val="none"/>
              </w:rPr>
              <w:t>见表2-3。</w:t>
            </w:r>
          </w:p>
          <w:p w14:paraId="1D43B29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color w:val="auto"/>
                <w:spacing w:val="0"/>
                <w:position w:val="0"/>
                <w:sz w:val="24"/>
                <w:szCs w:val="24"/>
                <w:highlight w:val="none"/>
              </w:rPr>
            </w:pPr>
            <w:r>
              <w:rPr>
                <w:rFonts w:hint="default" w:ascii="Times New Roman" w:hAnsi="Times New Roman" w:eastAsia="宋体" w:cs="Times New Roman"/>
                <w:b/>
                <w:color w:val="auto"/>
                <w:spacing w:val="0"/>
                <w:position w:val="0"/>
                <w:sz w:val="24"/>
                <w:szCs w:val="24"/>
                <w:highlight w:val="none"/>
              </w:rPr>
              <w:t>表2-3 主要原辅材料一览表 单位：t/a</w:t>
            </w:r>
          </w:p>
          <w:tbl>
            <w:tblPr>
              <w:tblStyle w:val="29"/>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3"/>
              <w:gridCol w:w="2079"/>
              <w:gridCol w:w="1218"/>
              <w:gridCol w:w="1867"/>
              <w:gridCol w:w="1370"/>
              <w:gridCol w:w="1142"/>
            </w:tblGrid>
            <w:tr w14:paraId="6E8327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1" w:type="pct"/>
                  <w:noWrap w:val="0"/>
                  <w:vAlign w:val="center"/>
                </w:tcPr>
                <w:p w14:paraId="74ED979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序号</w:t>
                  </w:r>
                </w:p>
              </w:tc>
              <w:tc>
                <w:tcPr>
                  <w:tcW w:w="1234" w:type="pct"/>
                  <w:noWrap w:val="0"/>
                  <w:vAlign w:val="center"/>
                </w:tcPr>
                <w:p w14:paraId="78042C6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原料名称</w:t>
                  </w:r>
                </w:p>
              </w:tc>
              <w:tc>
                <w:tcPr>
                  <w:tcW w:w="723" w:type="pct"/>
                  <w:noWrap w:val="0"/>
                  <w:vAlign w:val="center"/>
                </w:tcPr>
                <w:p w14:paraId="5357433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用量</w:t>
                  </w:r>
                </w:p>
              </w:tc>
              <w:tc>
                <w:tcPr>
                  <w:tcW w:w="1108" w:type="pct"/>
                  <w:noWrap w:val="0"/>
                  <w:vAlign w:val="center"/>
                </w:tcPr>
                <w:p w14:paraId="7D5EF0A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储存位置</w:t>
                  </w:r>
                </w:p>
              </w:tc>
              <w:tc>
                <w:tcPr>
                  <w:tcW w:w="813" w:type="pct"/>
                  <w:noWrap w:val="0"/>
                  <w:vAlign w:val="center"/>
                </w:tcPr>
                <w:p w14:paraId="0F5908A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最大储量</w:t>
                  </w:r>
                </w:p>
              </w:tc>
              <w:tc>
                <w:tcPr>
                  <w:tcW w:w="678" w:type="pct"/>
                  <w:noWrap w:val="0"/>
                  <w:vAlign w:val="center"/>
                </w:tcPr>
                <w:p w14:paraId="52C3A56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备注</w:t>
                  </w:r>
                </w:p>
              </w:tc>
            </w:tr>
            <w:tr w14:paraId="6366EC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41" w:type="pct"/>
                  <w:noWrap w:val="0"/>
                  <w:vAlign w:val="center"/>
                </w:tcPr>
                <w:p w14:paraId="23A1E8B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w:t>
                  </w:r>
                </w:p>
              </w:tc>
              <w:tc>
                <w:tcPr>
                  <w:tcW w:w="1234" w:type="pct"/>
                  <w:noWrap w:val="0"/>
                  <w:vAlign w:val="center"/>
                </w:tcPr>
                <w:p w14:paraId="55B882C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米糠</w:t>
                  </w:r>
                </w:p>
              </w:tc>
              <w:tc>
                <w:tcPr>
                  <w:tcW w:w="723" w:type="pct"/>
                  <w:noWrap w:val="0"/>
                  <w:vAlign w:val="center"/>
                </w:tcPr>
                <w:p w14:paraId="29C3DA9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100000t/a</w:t>
                  </w:r>
                </w:p>
              </w:tc>
              <w:tc>
                <w:tcPr>
                  <w:tcW w:w="1108" w:type="pct"/>
                  <w:noWrap w:val="0"/>
                  <w:vAlign w:val="center"/>
                </w:tcPr>
                <w:p w14:paraId="7FCA4F59">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cs="Times New Roman"/>
                      <w:bCs/>
                      <w:color w:val="auto"/>
                      <w:spacing w:val="0"/>
                      <w:position w:val="0"/>
                      <w:sz w:val="21"/>
                      <w:szCs w:val="21"/>
                      <w:highlight w:val="none"/>
                      <w:lang w:val="en-US" w:eastAsia="zh-CN"/>
                    </w:rPr>
                    <w:t>原料库</w:t>
                  </w:r>
                </w:p>
              </w:tc>
              <w:tc>
                <w:tcPr>
                  <w:tcW w:w="813" w:type="pct"/>
                  <w:noWrap w:val="0"/>
                  <w:vAlign w:val="center"/>
                </w:tcPr>
                <w:p w14:paraId="05AEEF0C">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cs="Times New Roman"/>
                      <w:bCs/>
                      <w:color w:val="auto"/>
                      <w:spacing w:val="0"/>
                      <w:position w:val="0"/>
                      <w:sz w:val="21"/>
                      <w:szCs w:val="21"/>
                      <w:highlight w:val="none"/>
                      <w:lang w:val="en-US" w:eastAsia="zh-CN"/>
                    </w:rPr>
                    <w:t>100</w:t>
                  </w:r>
                  <w:r>
                    <w:rPr>
                      <w:rFonts w:hint="default" w:ascii="Times New Roman" w:hAnsi="Times New Roman" w:eastAsia="宋体" w:cs="Times New Roman"/>
                      <w:bCs/>
                      <w:color w:val="auto"/>
                      <w:spacing w:val="0"/>
                      <w:position w:val="0"/>
                      <w:sz w:val="21"/>
                      <w:szCs w:val="21"/>
                      <w:highlight w:val="none"/>
                    </w:rPr>
                    <w:t>00t</w:t>
                  </w:r>
                </w:p>
              </w:tc>
              <w:tc>
                <w:tcPr>
                  <w:tcW w:w="678" w:type="pct"/>
                  <w:noWrap w:val="0"/>
                  <w:vAlign w:val="center"/>
                </w:tcPr>
                <w:p w14:paraId="2B897E3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cs="Times New Roman"/>
                      <w:color w:val="auto"/>
                      <w:spacing w:val="0"/>
                      <w:position w:val="0"/>
                      <w:sz w:val="21"/>
                      <w:szCs w:val="21"/>
                      <w:highlight w:val="none"/>
                      <w:lang w:val="en-US" w:eastAsia="zh-CN"/>
                    </w:rPr>
                    <w:t>外购</w:t>
                  </w:r>
                </w:p>
              </w:tc>
            </w:tr>
            <w:tr w14:paraId="593789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41" w:type="pct"/>
                  <w:noWrap w:val="0"/>
                  <w:vAlign w:val="center"/>
                </w:tcPr>
                <w:p w14:paraId="7CD2603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w:t>
                  </w:r>
                </w:p>
              </w:tc>
              <w:tc>
                <w:tcPr>
                  <w:tcW w:w="1234" w:type="pct"/>
                  <w:noWrap w:val="0"/>
                  <w:vAlign w:val="center"/>
                </w:tcPr>
                <w:p w14:paraId="4F4D02B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大豆</w:t>
                  </w:r>
                </w:p>
              </w:tc>
              <w:tc>
                <w:tcPr>
                  <w:tcW w:w="723" w:type="pct"/>
                  <w:noWrap w:val="0"/>
                  <w:vAlign w:val="center"/>
                </w:tcPr>
                <w:p w14:paraId="1D87A6C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30000t/a</w:t>
                  </w:r>
                </w:p>
              </w:tc>
              <w:tc>
                <w:tcPr>
                  <w:tcW w:w="1108" w:type="pct"/>
                  <w:noWrap w:val="0"/>
                  <w:vAlign w:val="center"/>
                </w:tcPr>
                <w:p w14:paraId="7C93631C">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bCs/>
                      <w:color w:val="auto"/>
                      <w:spacing w:val="0"/>
                      <w:position w:val="0"/>
                      <w:sz w:val="21"/>
                      <w:szCs w:val="21"/>
                      <w:highlight w:val="none"/>
                      <w:lang w:val="en-US"/>
                    </w:rPr>
                  </w:pPr>
                  <w:r>
                    <w:rPr>
                      <w:rFonts w:hint="default" w:ascii="Times New Roman" w:hAnsi="Times New Roman" w:cs="Times New Roman"/>
                      <w:bCs/>
                      <w:color w:val="auto"/>
                      <w:spacing w:val="0"/>
                      <w:position w:val="0"/>
                      <w:sz w:val="21"/>
                      <w:szCs w:val="21"/>
                      <w:highlight w:val="none"/>
                      <w:lang w:val="en-US" w:eastAsia="zh-CN"/>
                    </w:rPr>
                    <w:t>原料库、钢板仓</w:t>
                  </w:r>
                </w:p>
              </w:tc>
              <w:tc>
                <w:tcPr>
                  <w:tcW w:w="813" w:type="pct"/>
                  <w:noWrap w:val="0"/>
                  <w:vAlign w:val="center"/>
                </w:tcPr>
                <w:p w14:paraId="21C84C6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13000t</w:t>
                  </w:r>
                </w:p>
              </w:tc>
              <w:tc>
                <w:tcPr>
                  <w:tcW w:w="678" w:type="pct"/>
                  <w:noWrap w:val="0"/>
                  <w:vAlign w:val="center"/>
                </w:tcPr>
                <w:p w14:paraId="4483F26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外购</w:t>
                  </w:r>
                </w:p>
              </w:tc>
            </w:tr>
            <w:tr w14:paraId="1F4B18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41" w:type="pct"/>
                  <w:noWrap w:val="0"/>
                  <w:vAlign w:val="center"/>
                </w:tcPr>
                <w:p w14:paraId="0D3CE4C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3</w:t>
                  </w:r>
                </w:p>
              </w:tc>
              <w:tc>
                <w:tcPr>
                  <w:tcW w:w="1234" w:type="pct"/>
                  <w:noWrap w:val="0"/>
                  <w:vAlign w:val="center"/>
                </w:tcPr>
                <w:p w14:paraId="2A8E2887">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溶剂油（正己烷）</w:t>
                  </w:r>
                </w:p>
              </w:tc>
              <w:tc>
                <w:tcPr>
                  <w:tcW w:w="723" w:type="pct"/>
                  <w:noWrap w:val="0"/>
                  <w:vAlign w:val="center"/>
                </w:tcPr>
                <w:p w14:paraId="65B489A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160t/a</w:t>
                  </w:r>
                </w:p>
              </w:tc>
              <w:tc>
                <w:tcPr>
                  <w:tcW w:w="1108" w:type="pct"/>
                  <w:noWrap w:val="0"/>
                  <w:vAlign w:val="center"/>
                </w:tcPr>
                <w:p w14:paraId="1225063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地下溶剂库</w:t>
                  </w:r>
                </w:p>
              </w:tc>
              <w:tc>
                <w:tcPr>
                  <w:tcW w:w="813" w:type="pct"/>
                  <w:noWrap w:val="0"/>
                  <w:vAlign w:val="center"/>
                </w:tcPr>
                <w:p w14:paraId="07336481">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lang w:val="en-US" w:eastAsia="zh-CN"/>
                    </w:rPr>
                    <w:t>84</w:t>
                  </w:r>
                  <w:r>
                    <w:rPr>
                      <w:rFonts w:hint="default" w:ascii="Times New Roman" w:hAnsi="Times New Roman" w:eastAsia="宋体" w:cs="Times New Roman"/>
                      <w:color w:val="auto"/>
                      <w:spacing w:val="0"/>
                      <w:position w:val="0"/>
                      <w:sz w:val="21"/>
                      <w:szCs w:val="21"/>
                      <w:highlight w:val="none"/>
                    </w:rPr>
                    <w:t>t</w:t>
                  </w:r>
                </w:p>
              </w:tc>
              <w:tc>
                <w:tcPr>
                  <w:tcW w:w="678" w:type="pct"/>
                  <w:noWrap w:val="0"/>
                  <w:vAlign w:val="center"/>
                </w:tcPr>
                <w:p w14:paraId="1BA8E9B7">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lang w:val="en-US" w:eastAsia="zh-CN"/>
                    </w:rPr>
                    <w:t>外购</w:t>
                  </w:r>
                </w:p>
              </w:tc>
            </w:tr>
            <w:tr w14:paraId="6C46CD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41" w:type="pct"/>
                  <w:noWrap w:val="0"/>
                  <w:vAlign w:val="center"/>
                </w:tcPr>
                <w:p w14:paraId="7038137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4</w:t>
                  </w:r>
                </w:p>
              </w:tc>
              <w:tc>
                <w:tcPr>
                  <w:tcW w:w="1234" w:type="pct"/>
                  <w:noWrap w:val="0"/>
                  <w:vAlign w:val="center"/>
                </w:tcPr>
                <w:p w14:paraId="3A9454F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白土</w:t>
                  </w:r>
                </w:p>
              </w:tc>
              <w:tc>
                <w:tcPr>
                  <w:tcW w:w="723" w:type="pct"/>
                  <w:noWrap w:val="0"/>
                  <w:vAlign w:val="center"/>
                </w:tcPr>
                <w:p w14:paraId="4E2A2F1C">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135t/a</w:t>
                  </w:r>
                </w:p>
              </w:tc>
              <w:tc>
                <w:tcPr>
                  <w:tcW w:w="1108" w:type="pct"/>
                  <w:noWrap w:val="0"/>
                  <w:vAlign w:val="center"/>
                </w:tcPr>
                <w:p w14:paraId="25FDE327">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精炼车间</w:t>
                  </w:r>
                </w:p>
              </w:tc>
              <w:tc>
                <w:tcPr>
                  <w:tcW w:w="813" w:type="pct"/>
                  <w:noWrap w:val="0"/>
                  <w:vAlign w:val="center"/>
                </w:tcPr>
                <w:p w14:paraId="30B49AF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27</w:t>
                  </w:r>
                  <w:r>
                    <w:rPr>
                      <w:rFonts w:hint="default" w:ascii="Times New Roman" w:hAnsi="Times New Roman" w:cs="Times New Roman"/>
                      <w:color w:val="auto"/>
                      <w:spacing w:val="0"/>
                      <w:position w:val="0"/>
                      <w:sz w:val="21"/>
                      <w:szCs w:val="21"/>
                      <w:highlight w:val="none"/>
                      <w:lang w:val="en-US" w:eastAsia="zh-CN"/>
                    </w:rPr>
                    <w:t>t/a</w:t>
                  </w:r>
                </w:p>
              </w:tc>
              <w:tc>
                <w:tcPr>
                  <w:tcW w:w="678" w:type="pct"/>
                  <w:noWrap w:val="0"/>
                  <w:vAlign w:val="center"/>
                </w:tcPr>
                <w:p w14:paraId="0F5D797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外购</w:t>
                  </w:r>
                </w:p>
              </w:tc>
            </w:tr>
            <w:tr w14:paraId="05A3E4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41" w:type="pct"/>
                  <w:noWrap w:val="0"/>
                  <w:vAlign w:val="center"/>
                </w:tcPr>
                <w:p w14:paraId="233D0F6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5</w:t>
                  </w:r>
                </w:p>
              </w:tc>
              <w:tc>
                <w:tcPr>
                  <w:tcW w:w="1234" w:type="pct"/>
                  <w:noWrap w:val="0"/>
                  <w:vAlign w:val="center"/>
                </w:tcPr>
                <w:p w14:paraId="5E396E9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氢氧化钠</w:t>
                  </w:r>
                </w:p>
              </w:tc>
              <w:tc>
                <w:tcPr>
                  <w:tcW w:w="723" w:type="pct"/>
                  <w:noWrap w:val="0"/>
                  <w:vAlign w:val="center"/>
                </w:tcPr>
                <w:p w14:paraId="4872051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4.5t/a</w:t>
                  </w:r>
                </w:p>
              </w:tc>
              <w:tc>
                <w:tcPr>
                  <w:tcW w:w="1108" w:type="pct"/>
                  <w:noWrap w:val="0"/>
                  <w:vAlign w:val="center"/>
                </w:tcPr>
                <w:p w14:paraId="0F1ED70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cs="Times New Roman"/>
                      <w:bCs/>
                      <w:color w:val="auto"/>
                      <w:spacing w:val="0"/>
                      <w:position w:val="0"/>
                      <w:sz w:val="21"/>
                      <w:szCs w:val="21"/>
                      <w:highlight w:val="none"/>
                      <w:lang w:val="en-US" w:eastAsia="zh-CN"/>
                    </w:rPr>
                    <w:t>精炼车间</w:t>
                  </w:r>
                </w:p>
              </w:tc>
              <w:tc>
                <w:tcPr>
                  <w:tcW w:w="813" w:type="pct"/>
                  <w:noWrap w:val="0"/>
                  <w:vAlign w:val="center"/>
                </w:tcPr>
                <w:p w14:paraId="7123307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0.9t/a</w:t>
                  </w:r>
                </w:p>
              </w:tc>
              <w:tc>
                <w:tcPr>
                  <w:tcW w:w="678" w:type="pct"/>
                  <w:noWrap w:val="0"/>
                  <w:vAlign w:val="center"/>
                </w:tcPr>
                <w:p w14:paraId="35ECAAEB">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外购</w:t>
                  </w:r>
                </w:p>
              </w:tc>
            </w:tr>
            <w:tr w14:paraId="6ACEDE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41" w:type="pct"/>
                  <w:noWrap w:val="0"/>
                  <w:vAlign w:val="center"/>
                </w:tcPr>
                <w:p w14:paraId="0FE8B3D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6</w:t>
                  </w:r>
                </w:p>
              </w:tc>
              <w:tc>
                <w:tcPr>
                  <w:tcW w:w="1234" w:type="pct"/>
                  <w:noWrap w:val="0"/>
                  <w:vAlign w:val="center"/>
                </w:tcPr>
                <w:p w14:paraId="38E15157">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磷酸</w:t>
                  </w:r>
                </w:p>
              </w:tc>
              <w:tc>
                <w:tcPr>
                  <w:tcW w:w="723" w:type="pct"/>
                  <w:noWrap w:val="0"/>
                  <w:vAlign w:val="center"/>
                </w:tcPr>
                <w:p w14:paraId="03328F0B">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6t/a</w:t>
                  </w:r>
                </w:p>
              </w:tc>
              <w:tc>
                <w:tcPr>
                  <w:tcW w:w="1108" w:type="pct"/>
                  <w:noWrap w:val="0"/>
                  <w:vAlign w:val="center"/>
                </w:tcPr>
                <w:p w14:paraId="19CB90C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cs="Times New Roman"/>
                      <w:bCs/>
                      <w:color w:val="auto"/>
                      <w:spacing w:val="0"/>
                      <w:position w:val="0"/>
                      <w:sz w:val="21"/>
                      <w:szCs w:val="21"/>
                      <w:highlight w:val="none"/>
                      <w:lang w:val="en-US" w:eastAsia="zh-CN"/>
                    </w:rPr>
                    <w:t>精炼车间</w:t>
                  </w:r>
                </w:p>
              </w:tc>
              <w:tc>
                <w:tcPr>
                  <w:tcW w:w="813" w:type="pct"/>
                  <w:noWrap w:val="0"/>
                  <w:vAlign w:val="center"/>
                </w:tcPr>
                <w:p w14:paraId="49B60FE2">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1.2t/a</w:t>
                  </w:r>
                </w:p>
              </w:tc>
              <w:tc>
                <w:tcPr>
                  <w:tcW w:w="678" w:type="pct"/>
                  <w:noWrap w:val="0"/>
                  <w:vAlign w:val="center"/>
                </w:tcPr>
                <w:p w14:paraId="41D4DD3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外购</w:t>
                  </w:r>
                </w:p>
              </w:tc>
            </w:tr>
            <w:tr w14:paraId="5B531A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41" w:type="pct"/>
                  <w:noWrap w:val="0"/>
                  <w:vAlign w:val="center"/>
                </w:tcPr>
                <w:p w14:paraId="14BE3D1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w:t>
                  </w:r>
                </w:p>
              </w:tc>
              <w:tc>
                <w:tcPr>
                  <w:tcW w:w="1234" w:type="pct"/>
                  <w:noWrap w:val="0"/>
                  <w:vAlign w:val="center"/>
                </w:tcPr>
                <w:p w14:paraId="7933D60B">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生物质成型燃料</w:t>
                  </w:r>
                </w:p>
              </w:tc>
              <w:tc>
                <w:tcPr>
                  <w:tcW w:w="723" w:type="pct"/>
                  <w:noWrap w:val="0"/>
                  <w:vAlign w:val="center"/>
                </w:tcPr>
                <w:p w14:paraId="32D6A1B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26813t/a</w:t>
                  </w:r>
                </w:p>
              </w:tc>
              <w:tc>
                <w:tcPr>
                  <w:tcW w:w="1108" w:type="pct"/>
                  <w:noWrap w:val="0"/>
                  <w:vAlign w:val="center"/>
                </w:tcPr>
                <w:p w14:paraId="67F4F5F7">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锅炉房</w:t>
                  </w:r>
                </w:p>
              </w:tc>
              <w:tc>
                <w:tcPr>
                  <w:tcW w:w="813" w:type="pct"/>
                  <w:noWrap w:val="0"/>
                  <w:vAlign w:val="center"/>
                </w:tcPr>
                <w:p w14:paraId="24E6E6C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cs="Times New Roman"/>
                      <w:bCs/>
                      <w:color w:val="auto"/>
                      <w:spacing w:val="0"/>
                      <w:position w:val="0"/>
                      <w:sz w:val="21"/>
                      <w:szCs w:val="21"/>
                      <w:highlight w:val="none"/>
                      <w:lang w:val="en-US" w:eastAsia="zh-CN"/>
                    </w:rPr>
                    <w:t>10</w:t>
                  </w:r>
                  <w:r>
                    <w:rPr>
                      <w:rFonts w:hint="default" w:ascii="Times New Roman" w:hAnsi="Times New Roman" w:eastAsia="宋体" w:cs="Times New Roman"/>
                      <w:bCs/>
                      <w:color w:val="auto"/>
                      <w:spacing w:val="0"/>
                      <w:position w:val="0"/>
                      <w:sz w:val="21"/>
                      <w:szCs w:val="21"/>
                      <w:highlight w:val="none"/>
                    </w:rPr>
                    <w:t>00t</w:t>
                  </w:r>
                </w:p>
              </w:tc>
              <w:tc>
                <w:tcPr>
                  <w:tcW w:w="678" w:type="pct"/>
                  <w:noWrap w:val="0"/>
                  <w:vAlign w:val="center"/>
                </w:tcPr>
                <w:p w14:paraId="11FC9857">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lang w:val="en-US" w:eastAsia="zh-CN"/>
                    </w:rPr>
                    <w:t>外购</w:t>
                  </w:r>
                </w:p>
              </w:tc>
            </w:tr>
            <w:tr w14:paraId="3534D5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41" w:type="pct"/>
                  <w:noWrap w:val="0"/>
                  <w:vAlign w:val="center"/>
                </w:tcPr>
                <w:p w14:paraId="046FAAE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8</w:t>
                  </w:r>
                </w:p>
              </w:tc>
              <w:tc>
                <w:tcPr>
                  <w:tcW w:w="1234" w:type="pct"/>
                  <w:noWrap w:val="0"/>
                  <w:vAlign w:val="center"/>
                </w:tcPr>
                <w:p w14:paraId="6FAFEF6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新鲜水</w:t>
                  </w:r>
                </w:p>
              </w:tc>
              <w:tc>
                <w:tcPr>
                  <w:tcW w:w="723" w:type="pct"/>
                  <w:noWrap w:val="0"/>
                  <w:vAlign w:val="center"/>
                </w:tcPr>
                <w:p w14:paraId="5EA2E82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125048</w:t>
                  </w:r>
                </w:p>
              </w:tc>
              <w:tc>
                <w:tcPr>
                  <w:tcW w:w="1108" w:type="pct"/>
                  <w:noWrap w:val="0"/>
                  <w:vAlign w:val="center"/>
                </w:tcPr>
                <w:p w14:paraId="7279094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w:t>
                  </w:r>
                </w:p>
              </w:tc>
              <w:tc>
                <w:tcPr>
                  <w:tcW w:w="813" w:type="pct"/>
                  <w:noWrap w:val="0"/>
                  <w:vAlign w:val="center"/>
                </w:tcPr>
                <w:p w14:paraId="24D2E2C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w:t>
                  </w:r>
                </w:p>
              </w:tc>
              <w:tc>
                <w:tcPr>
                  <w:tcW w:w="678" w:type="pct"/>
                  <w:noWrap w:val="0"/>
                  <w:vAlign w:val="center"/>
                </w:tcPr>
                <w:p w14:paraId="31C8ED1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市政供水</w:t>
                  </w:r>
                </w:p>
              </w:tc>
            </w:tr>
          </w:tbl>
          <w:p w14:paraId="21B63572">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2、产品方案</w:t>
            </w:r>
          </w:p>
          <w:p w14:paraId="0337508C">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本项目产品方案见表2-4。</w:t>
            </w:r>
          </w:p>
          <w:p w14:paraId="0371FAA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color w:val="auto"/>
                <w:spacing w:val="0"/>
                <w:position w:val="0"/>
                <w:sz w:val="24"/>
                <w:szCs w:val="24"/>
                <w:highlight w:val="none"/>
              </w:rPr>
              <w:t>表2-4 主要产品方案一览表</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7"/>
              <w:gridCol w:w="1918"/>
              <w:gridCol w:w="1918"/>
              <w:gridCol w:w="1918"/>
              <w:gridCol w:w="1923"/>
            </w:tblGrid>
            <w:tr w14:paraId="050351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43" w:type="pct"/>
                  <w:noWrap w:val="0"/>
                  <w:vAlign w:val="center"/>
                </w:tcPr>
                <w:p w14:paraId="6D258BDB">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序号</w:t>
                  </w:r>
                </w:p>
              </w:tc>
              <w:tc>
                <w:tcPr>
                  <w:tcW w:w="1138" w:type="pct"/>
                  <w:noWrap w:val="0"/>
                  <w:vAlign w:val="center"/>
                </w:tcPr>
                <w:p w14:paraId="18EC39AC">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产品名称</w:t>
                  </w:r>
                </w:p>
              </w:tc>
              <w:tc>
                <w:tcPr>
                  <w:tcW w:w="1138" w:type="pct"/>
                  <w:noWrap w:val="0"/>
                  <w:vAlign w:val="center"/>
                </w:tcPr>
                <w:p w14:paraId="69A52594">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cs="Times New Roman"/>
                      <w:color w:val="auto"/>
                      <w:spacing w:val="0"/>
                      <w:position w:val="0"/>
                      <w:szCs w:val="21"/>
                      <w:highlight w:val="none"/>
                      <w:lang w:val="en-US" w:eastAsia="zh-CN"/>
                    </w:rPr>
                    <w:t>年</w:t>
                  </w:r>
                  <w:r>
                    <w:rPr>
                      <w:rFonts w:hint="default" w:ascii="Times New Roman" w:hAnsi="Times New Roman" w:eastAsia="宋体" w:cs="Times New Roman"/>
                      <w:color w:val="auto"/>
                      <w:spacing w:val="0"/>
                      <w:position w:val="0"/>
                      <w:szCs w:val="21"/>
                      <w:highlight w:val="none"/>
                    </w:rPr>
                    <w:t>产量（t/</w:t>
                  </w:r>
                  <w:r>
                    <w:rPr>
                      <w:rFonts w:hint="default" w:ascii="Times New Roman" w:hAnsi="Times New Roman" w:eastAsia="宋体" w:cs="Times New Roman"/>
                      <w:color w:val="auto"/>
                      <w:spacing w:val="0"/>
                      <w:position w:val="0"/>
                      <w:szCs w:val="21"/>
                      <w:highlight w:val="none"/>
                      <w:lang w:val="en-US" w:eastAsia="zh-CN"/>
                    </w:rPr>
                    <w:t>a</w:t>
                  </w:r>
                  <w:r>
                    <w:rPr>
                      <w:rFonts w:hint="default" w:ascii="Times New Roman" w:hAnsi="Times New Roman" w:eastAsia="宋体" w:cs="Times New Roman"/>
                      <w:color w:val="auto"/>
                      <w:spacing w:val="0"/>
                      <w:position w:val="0"/>
                      <w:szCs w:val="21"/>
                      <w:highlight w:val="none"/>
                    </w:rPr>
                    <w:t>）</w:t>
                  </w:r>
                </w:p>
              </w:tc>
              <w:tc>
                <w:tcPr>
                  <w:tcW w:w="1138" w:type="pct"/>
                  <w:noWrap w:val="0"/>
                  <w:vAlign w:val="center"/>
                </w:tcPr>
                <w:p w14:paraId="2D48A770">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储存位置</w:t>
                  </w:r>
                </w:p>
              </w:tc>
              <w:tc>
                <w:tcPr>
                  <w:tcW w:w="1140" w:type="pct"/>
                  <w:noWrap w:val="0"/>
                  <w:vAlign w:val="center"/>
                </w:tcPr>
                <w:p w14:paraId="0CF9ACF9">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最大储量</w:t>
                  </w:r>
                </w:p>
              </w:tc>
            </w:tr>
            <w:tr w14:paraId="7301E0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43" w:type="pct"/>
                  <w:noWrap w:val="0"/>
                  <w:vAlign w:val="center"/>
                </w:tcPr>
                <w:p w14:paraId="18A81CC4">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1</w:t>
                  </w:r>
                </w:p>
              </w:tc>
              <w:tc>
                <w:tcPr>
                  <w:tcW w:w="1138" w:type="pct"/>
                  <w:noWrap w:val="0"/>
                  <w:vAlign w:val="center"/>
                </w:tcPr>
                <w:p w14:paraId="556CD3EE">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米糠油</w:t>
                  </w:r>
                </w:p>
              </w:tc>
              <w:tc>
                <w:tcPr>
                  <w:tcW w:w="1138" w:type="pct"/>
                  <w:noWrap w:val="0"/>
                  <w:vAlign w:val="center"/>
                </w:tcPr>
                <w:p w14:paraId="712C4A11">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16000</w:t>
                  </w:r>
                </w:p>
              </w:tc>
              <w:tc>
                <w:tcPr>
                  <w:tcW w:w="1138" w:type="pct"/>
                  <w:noWrap w:val="0"/>
                  <w:vAlign w:val="center"/>
                </w:tcPr>
                <w:p w14:paraId="3D68EE90">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cs="Times New Roman"/>
                      <w:color w:val="auto"/>
                      <w:spacing w:val="0"/>
                      <w:position w:val="0"/>
                      <w:szCs w:val="21"/>
                      <w:highlight w:val="none"/>
                      <w:lang w:val="en-US" w:eastAsia="zh-CN"/>
                    </w:rPr>
                    <w:t>毛</w:t>
                  </w:r>
                  <w:r>
                    <w:rPr>
                      <w:rFonts w:hint="default" w:ascii="Times New Roman" w:hAnsi="Times New Roman" w:eastAsia="宋体" w:cs="Times New Roman"/>
                      <w:color w:val="auto"/>
                      <w:spacing w:val="0"/>
                      <w:position w:val="0"/>
                      <w:szCs w:val="21"/>
                      <w:highlight w:val="none"/>
                    </w:rPr>
                    <w:t>油罐</w:t>
                  </w:r>
                </w:p>
              </w:tc>
              <w:tc>
                <w:tcPr>
                  <w:tcW w:w="1140" w:type="pct"/>
                  <w:noWrap w:val="0"/>
                  <w:vAlign w:val="center"/>
                </w:tcPr>
                <w:p w14:paraId="30A558F2">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2</w:t>
                  </w:r>
                  <w:r>
                    <w:rPr>
                      <w:rFonts w:hint="default" w:ascii="Times New Roman" w:hAnsi="Times New Roman" w:cs="Times New Roman"/>
                      <w:color w:val="auto"/>
                      <w:spacing w:val="0"/>
                      <w:position w:val="0"/>
                      <w:szCs w:val="21"/>
                      <w:highlight w:val="none"/>
                      <w:lang w:val="en-US" w:eastAsia="zh-CN"/>
                    </w:rPr>
                    <w:t>0</w:t>
                  </w:r>
                  <w:r>
                    <w:rPr>
                      <w:rFonts w:hint="default" w:ascii="Times New Roman" w:hAnsi="Times New Roman" w:eastAsia="宋体" w:cs="Times New Roman"/>
                      <w:color w:val="auto"/>
                      <w:spacing w:val="0"/>
                      <w:position w:val="0"/>
                      <w:szCs w:val="21"/>
                      <w:highlight w:val="none"/>
                    </w:rPr>
                    <w:t>00t</w:t>
                  </w:r>
                </w:p>
              </w:tc>
            </w:tr>
            <w:tr w14:paraId="79A23F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43" w:type="pct"/>
                  <w:shd w:val="clear" w:color="auto" w:fill="auto"/>
                  <w:noWrap w:val="0"/>
                  <w:vAlign w:val="center"/>
                </w:tcPr>
                <w:p w14:paraId="732C6303">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2</w:t>
                  </w:r>
                </w:p>
              </w:tc>
              <w:tc>
                <w:tcPr>
                  <w:tcW w:w="1138" w:type="pct"/>
                  <w:shd w:val="clear" w:color="auto" w:fill="auto"/>
                  <w:noWrap w:val="0"/>
                  <w:vAlign w:val="center"/>
                </w:tcPr>
                <w:p w14:paraId="64F90DAD">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highlight w:val="none"/>
                    </w:rPr>
                    <w:t>米糠粕</w:t>
                  </w:r>
                </w:p>
              </w:tc>
              <w:tc>
                <w:tcPr>
                  <w:tcW w:w="1138" w:type="pct"/>
                  <w:shd w:val="clear" w:color="auto" w:fill="auto"/>
                  <w:noWrap w:val="0"/>
                  <w:vAlign w:val="center"/>
                </w:tcPr>
                <w:p w14:paraId="2BC12D92">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80000</w:t>
                  </w:r>
                </w:p>
              </w:tc>
              <w:tc>
                <w:tcPr>
                  <w:tcW w:w="1138" w:type="pct"/>
                  <w:shd w:val="clear" w:color="auto" w:fill="auto"/>
                  <w:noWrap w:val="0"/>
                  <w:vAlign w:val="center"/>
                </w:tcPr>
                <w:p w14:paraId="59CBF117">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包装车间</w:t>
                  </w:r>
                </w:p>
              </w:tc>
              <w:tc>
                <w:tcPr>
                  <w:tcW w:w="1140" w:type="pct"/>
                  <w:noWrap w:val="0"/>
                  <w:vAlign w:val="center"/>
                </w:tcPr>
                <w:p w14:paraId="659CD3DE">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highlight w:val="none"/>
                      <w:lang w:val="en-US" w:eastAsia="zh-CN"/>
                    </w:rPr>
                    <w:t>5000</w:t>
                  </w:r>
                  <w:r>
                    <w:rPr>
                      <w:rFonts w:hint="default" w:ascii="Times New Roman" w:hAnsi="Times New Roman" w:eastAsia="宋体" w:cs="Times New Roman"/>
                      <w:color w:val="auto"/>
                      <w:spacing w:val="0"/>
                      <w:position w:val="0"/>
                      <w:szCs w:val="21"/>
                      <w:highlight w:val="none"/>
                    </w:rPr>
                    <w:t>t</w:t>
                  </w:r>
                </w:p>
              </w:tc>
            </w:tr>
            <w:tr w14:paraId="7D105D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43" w:type="pct"/>
                  <w:noWrap w:val="0"/>
                  <w:vAlign w:val="center"/>
                </w:tcPr>
                <w:p w14:paraId="59CECB5F">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3</w:t>
                  </w:r>
                </w:p>
              </w:tc>
              <w:tc>
                <w:tcPr>
                  <w:tcW w:w="1138" w:type="pct"/>
                  <w:noWrap w:val="0"/>
                  <w:vAlign w:val="center"/>
                </w:tcPr>
                <w:p w14:paraId="148F1027">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大豆油</w:t>
                  </w:r>
                </w:p>
              </w:tc>
              <w:tc>
                <w:tcPr>
                  <w:tcW w:w="1138" w:type="pct"/>
                  <w:noWrap w:val="0"/>
                  <w:vAlign w:val="center"/>
                </w:tcPr>
                <w:p w14:paraId="0BDB807A">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4320</w:t>
                  </w:r>
                </w:p>
              </w:tc>
              <w:tc>
                <w:tcPr>
                  <w:tcW w:w="1138" w:type="pct"/>
                  <w:noWrap w:val="0"/>
                  <w:vAlign w:val="center"/>
                </w:tcPr>
                <w:p w14:paraId="6B6B8061">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豆油罐</w:t>
                  </w:r>
                </w:p>
              </w:tc>
              <w:tc>
                <w:tcPr>
                  <w:tcW w:w="1140" w:type="pct"/>
                  <w:noWrap w:val="0"/>
                  <w:vAlign w:val="center"/>
                </w:tcPr>
                <w:p w14:paraId="1BF31539">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300</w:t>
                  </w:r>
                  <w:r>
                    <w:rPr>
                      <w:rFonts w:hint="default" w:ascii="Times New Roman" w:hAnsi="Times New Roman" w:eastAsia="宋体" w:cs="Times New Roman"/>
                      <w:color w:val="auto"/>
                      <w:spacing w:val="0"/>
                      <w:position w:val="0"/>
                      <w:szCs w:val="21"/>
                      <w:highlight w:val="none"/>
                    </w:rPr>
                    <w:t>t</w:t>
                  </w:r>
                </w:p>
              </w:tc>
            </w:tr>
            <w:tr w14:paraId="463D4B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43" w:type="pct"/>
                  <w:noWrap w:val="0"/>
                  <w:vAlign w:val="center"/>
                </w:tcPr>
                <w:p w14:paraId="569ACB6A">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4</w:t>
                  </w:r>
                </w:p>
              </w:tc>
              <w:tc>
                <w:tcPr>
                  <w:tcW w:w="1138" w:type="pct"/>
                  <w:noWrap w:val="0"/>
                  <w:vAlign w:val="center"/>
                </w:tcPr>
                <w:p w14:paraId="7A959236">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豆粕</w:t>
                  </w:r>
                </w:p>
              </w:tc>
              <w:tc>
                <w:tcPr>
                  <w:tcW w:w="1138" w:type="pct"/>
                  <w:noWrap w:val="0"/>
                  <w:vAlign w:val="center"/>
                </w:tcPr>
                <w:p w14:paraId="7B903B23">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25000</w:t>
                  </w:r>
                </w:p>
              </w:tc>
              <w:tc>
                <w:tcPr>
                  <w:tcW w:w="1138" w:type="pct"/>
                  <w:noWrap w:val="0"/>
                  <w:vAlign w:val="center"/>
                </w:tcPr>
                <w:p w14:paraId="3163B213">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cs="Times New Roman"/>
                      <w:color w:val="auto"/>
                      <w:spacing w:val="0"/>
                      <w:position w:val="0"/>
                      <w:szCs w:val="21"/>
                      <w:highlight w:val="none"/>
                      <w:lang w:val="en-US" w:eastAsia="zh-CN"/>
                    </w:rPr>
                    <w:t>包装车间</w:t>
                  </w:r>
                </w:p>
              </w:tc>
              <w:tc>
                <w:tcPr>
                  <w:tcW w:w="1140" w:type="pct"/>
                  <w:noWrap w:val="0"/>
                  <w:vAlign w:val="center"/>
                </w:tcPr>
                <w:p w14:paraId="5B4EE7C1">
                  <w:pPr>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1500</w:t>
                  </w:r>
                  <w:r>
                    <w:rPr>
                      <w:rFonts w:hint="default" w:ascii="Times New Roman" w:hAnsi="Times New Roman" w:eastAsia="宋体" w:cs="Times New Roman"/>
                      <w:color w:val="auto"/>
                      <w:spacing w:val="0"/>
                      <w:position w:val="0"/>
                      <w:szCs w:val="21"/>
                      <w:highlight w:val="none"/>
                    </w:rPr>
                    <w:t>t</w:t>
                  </w:r>
                </w:p>
              </w:tc>
            </w:tr>
          </w:tbl>
          <w:p w14:paraId="21EE776B">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3、物料平衡</w:t>
            </w:r>
          </w:p>
          <w:p w14:paraId="21941E85">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本项目物料平衡详见</w:t>
            </w:r>
            <w:r>
              <w:rPr>
                <w:rFonts w:hint="default" w:ascii="Times New Roman" w:hAnsi="Times New Roman" w:cs="Times New Roman"/>
                <w:color w:val="auto"/>
                <w:spacing w:val="0"/>
                <w:position w:val="0"/>
                <w:sz w:val="24"/>
                <w:szCs w:val="24"/>
                <w:highlight w:val="none"/>
                <w:lang w:val="en-US" w:eastAsia="zh-CN"/>
              </w:rPr>
              <w:t>表</w:t>
            </w:r>
            <w:r>
              <w:rPr>
                <w:rFonts w:hint="default" w:ascii="Times New Roman" w:hAnsi="Times New Roman" w:eastAsia="宋体" w:cs="Times New Roman"/>
                <w:color w:val="auto"/>
                <w:spacing w:val="0"/>
                <w:position w:val="0"/>
                <w:sz w:val="24"/>
                <w:szCs w:val="24"/>
                <w:highlight w:val="none"/>
              </w:rPr>
              <w:t>2-5</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表2-6</w:t>
            </w:r>
            <w:r>
              <w:rPr>
                <w:rFonts w:hint="default" w:ascii="Times New Roman" w:hAnsi="Times New Roman" w:eastAsia="宋体" w:cs="Times New Roman"/>
                <w:color w:val="auto"/>
                <w:spacing w:val="0"/>
                <w:position w:val="0"/>
                <w:sz w:val="24"/>
                <w:szCs w:val="24"/>
                <w:highlight w:val="none"/>
              </w:rPr>
              <w:t>。</w:t>
            </w:r>
          </w:p>
          <w:p w14:paraId="5F3C489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4"/>
                <w:szCs w:val="32"/>
                <w:highlight w:val="none"/>
                <w:lang w:val="en-US" w:eastAsia="zh-CN"/>
              </w:rPr>
            </w:pPr>
            <w:r>
              <w:rPr>
                <w:rFonts w:hint="default" w:ascii="Times New Roman" w:hAnsi="Times New Roman" w:eastAsia="宋体" w:cs="Times New Roman"/>
                <w:b/>
                <w:color w:val="auto"/>
                <w:spacing w:val="0"/>
                <w:position w:val="0"/>
                <w:sz w:val="24"/>
                <w:szCs w:val="24"/>
                <w:highlight w:val="none"/>
              </w:rPr>
              <w:t xml:space="preserve">表2-5 </w:t>
            </w:r>
            <w:r>
              <w:rPr>
                <w:rFonts w:hint="default" w:ascii="Times New Roman" w:hAnsi="Times New Roman" w:cs="Times New Roman"/>
                <w:b/>
                <w:color w:val="auto"/>
                <w:spacing w:val="0"/>
                <w:position w:val="0"/>
                <w:sz w:val="24"/>
                <w:szCs w:val="24"/>
                <w:highlight w:val="none"/>
                <w:lang w:val="en-US" w:eastAsia="zh-CN"/>
              </w:rPr>
              <w:t>米糠油物料平衡表</w:t>
            </w:r>
          </w:p>
          <w:tbl>
            <w:tblPr>
              <w:tblStyle w:val="29"/>
              <w:tblW w:w="4998" w:type="pct"/>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autofit"/>
              <w:tblCellMar>
                <w:top w:w="0" w:type="dxa"/>
                <w:left w:w="108" w:type="dxa"/>
                <w:bottom w:w="0" w:type="dxa"/>
                <w:right w:w="108" w:type="dxa"/>
              </w:tblCellMar>
            </w:tblPr>
            <w:tblGrid>
              <w:gridCol w:w="1681"/>
              <w:gridCol w:w="1688"/>
              <w:gridCol w:w="1683"/>
              <w:gridCol w:w="1686"/>
              <w:gridCol w:w="1686"/>
            </w:tblGrid>
            <w:tr w14:paraId="12F1C63F">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2000" w:type="pct"/>
                  <w:gridSpan w:val="2"/>
                  <w:noWrap w:val="0"/>
                  <w:vAlign w:val="center"/>
                </w:tcPr>
                <w:p w14:paraId="32411DD4">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bookmarkStart w:id="6" w:name="OLE_LINK2"/>
                  <w:r>
                    <w:rPr>
                      <w:rFonts w:hint="default" w:ascii="Times New Roman" w:hAnsi="Times New Roman" w:eastAsia="宋体" w:cs="Times New Roman"/>
                      <w:color w:val="auto"/>
                      <w:spacing w:val="0"/>
                      <w:kern w:val="0"/>
                      <w:position w:val="0"/>
                      <w:szCs w:val="21"/>
                      <w:highlight w:val="none"/>
                      <w:lang w:bidi="ar"/>
                    </w:rPr>
                    <w:t>输入</w:t>
                  </w:r>
                </w:p>
              </w:tc>
              <w:tc>
                <w:tcPr>
                  <w:tcW w:w="3000" w:type="pct"/>
                  <w:gridSpan w:val="3"/>
                  <w:noWrap w:val="0"/>
                  <w:vAlign w:val="center"/>
                </w:tcPr>
                <w:p w14:paraId="65B84986">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输出</w:t>
                  </w:r>
                </w:p>
              </w:tc>
            </w:tr>
            <w:tr w14:paraId="6B57E830">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998" w:type="pct"/>
                  <w:noWrap w:val="0"/>
                  <w:vAlign w:val="center"/>
                </w:tcPr>
                <w:p w14:paraId="7F740E42">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物料名称</w:t>
                  </w:r>
                </w:p>
              </w:tc>
              <w:tc>
                <w:tcPr>
                  <w:tcW w:w="1001" w:type="pct"/>
                  <w:noWrap w:val="0"/>
                  <w:vAlign w:val="center"/>
                </w:tcPr>
                <w:p w14:paraId="59013A57">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数量（t/</w:t>
                  </w:r>
                  <w:r>
                    <w:rPr>
                      <w:rFonts w:hint="default" w:ascii="Times New Roman" w:hAnsi="Times New Roman" w:cs="Times New Roman"/>
                      <w:color w:val="auto"/>
                      <w:spacing w:val="0"/>
                      <w:kern w:val="0"/>
                      <w:position w:val="0"/>
                      <w:szCs w:val="21"/>
                      <w:highlight w:val="none"/>
                      <w:lang w:val="en-US" w:eastAsia="zh-CN" w:bidi="ar"/>
                    </w:rPr>
                    <w:t>a</w:t>
                  </w:r>
                  <w:r>
                    <w:rPr>
                      <w:rFonts w:hint="default" w:ascii="Times New Roman" w:hAnsi="Times New Roman" w:eastAsia="宋体" w:cs="Times New Roman"/>
                      <w:color w:val="auto"/>
                      <w:spacing w:val="0"/>
                      <w:kern w:val="0"/>
                      <w:position w:val="0"/>
                      <w:szCs w:val="21"/>
                      <w:highlight w:val="none"/>
                      <w:lang w:bidi="ar"/>
                    </w:rPr>
                    <w:t>）</w:t>
                  </w:r>
                </w:p>
              </w:tc>
              <w:tc>
                <w:tcPr>
                  <w:tcW w:w="2000" w:type="pct"/>
                  <w:gridSpan w:val="2"/>
                  <w:noWrap w:val="0"/>
                  <w:vAlign w:val="center"/>
                </w:tcPr>
                <w:p w14:paraId="19244B9D">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物料名称</w:t>
                  </w:r>
                </w:p>
              </w:tc>
              <w:tc>
                <w:tcPr>
                  <w:tcW w:w="999" w:type="pct"/>
                  <w:noWrap w:val="0"/>
                  <w:vAlign w:val="center"/>
                </w:tcPr>
                <w:p w14:paraId="18F5CDB4">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数量（t/</w:t>
                  </w:r>
                  <w:r>
                    <w:rPr>
                      <w:rFonts w:hint="default" w:ascii="Times New Roman" w:hAnsi="Times New Roman" w:cs="Times New Roman"/>
                      <w:color w:val="auto"/>
                      <w:spacing w:val="0"/>
                      <w:kern w:val="0"/>
                      <w:position w:val="0"/>
                      <w:szCs w:val="21"/>
                      <w:highlight w:val="none"/>
                      <w:lang w:val="en-US" w:eastAsia="zh-CN" w:bidi="ar"/>
                    </w:rPr>
                    <w:t>a</w:t>
                  </w:r>
                  <w:r>
                    <w:rPr>
                      <w:rFonts w:hint="default" w:ascii="Times New Roman" w:hAnsi="Times New Roman" w:eastAsia="宋体" w:cs="Times New Roman"/>
                      <w:color w:val="auto"/>
                      <w:spacing w:val="0"/>
                      <w:kern w:val="0"/>
                      <w:position w:val="0"/>
                      <w:szCs w:val="21"/>
                      <w:highlight w:val="none"/>
                      <w:lang w:bidi="ar"/>
                    </w:rPr>
                    <w:t>）</w:t>
                  </w:r>
                </w:p>
              </w:tc>
            </w:tr>
            <w:tr w14:paraId="3FD75334">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998" w:type="pct"/>
                  <w:noWrap w:val="0"/>
                  <w:vAlign w:val="center"/>
                </w:tcPr>
                <w:p w14:paraId="0DCA0576">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米糠</w:t>
                  </w:r>
                </w:p>
              </w:tc>
              <w:tc>
                <w:tcPr>
                  <w:tcW w:w="1001" w:type="pct"/>
                  <w:noWrap w:val="0"/>
                  <w:vAlign w:val="center"/>
                </w:tcPr>
                <w:p w14:paraId="7C8E2EEF">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100000</w:t>
                  </w:r>
                </w:p>
              </w:tc>
              <w:tc>
                <w:tcPr>
                  <w:tcW w:w="999" w:type="pct"/>
                  <w:vMerge w:val="restart"/>
                  <w:noWrap w:val="0"/>
                  <w:vAlign w:val="center"/>
                </w:tcPr>
                <w:p w14:paraId="5E04241C">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废气</w:t>
                  </w:r>
                </w:p>
              </w:tc>
              <w:tc>
                <w:tcPr>
                  <w:tcW w:w="1001" w:type="pct"/>
                  <w:noWrap w:val="0"/>
                  <w:vAlign w:val="center"/>
                </w:tcPr>
                <w:p w14:paraId="4A462DD4">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粉尘</w:t>
                  </w:r>
                </w:p>
              </w:tc>
              <w:tc>
                <w:tcPr>
                  <w:tcW w:w="999" w:type="pct"/>
                  <w:noWrap w:val="0"/>
                  <w:vAlign w:val="center"/>
                </w:tcPr>
                <w:p w14:paraId="1B6C27F0">
                  <w:pPr>
                    <w:keepNext w:val="0"/>
                    <w:keepLines w:val="0"/>
                    <w:pageBreakBefore w:val="0"/>
                    <w:widowControl/>
                    <w:suppressLineNumbers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0.2</w:t>
                  </w:r>
                </w:p>
              </w:tc>
            </w:tr>
            <w:tr w14:paraId="49618A7A">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998" w:type="pct"/>
                  <w:noWrap w:val="0"/>
                  <w:vAlign w:val="center"/>
                </w:tcPr>
                <w:p w14:paraId="1E5E569A">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正己烷</w:t>
                  </w:r>
                </w:p>
              </w:tc>
              <w:tc>
                <w:tcPr>
                  <w:tcW w:w="1001" w:type="pct"/>
                  <w:noWrap w:val="0"/>
                  <w:vAlign w:val="center"/>
                </w:tcPr>
                <w:p w14:paraId="270CBC03">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123</w:t>
                  </w:r>
                </w:p>
              </w:tc>
              <w:tc>
                <w:tcPr>
                  <w:tcW w:w="999" w:type="pct"/>
                  <w:vMerge w:val="continue"/>
                  <w:noWrap w:val="0"/>
                  <w:vAlign w:val="center"/>
                </w:tcPr>
                <w:p w14:paraId="280DF5C9">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1001" w:type="pct"/>
                  <w:noWrap w:val="0"/>
                  <w:vAlign w:val="center"/>
                </w:tcPr>
                <w:p w14:paraId="77710C63">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非甲烷总烃</w:t>
                  </w:r>
                </w:p>
              </w:tc>
              <w:tc>
                <w:tcPr>
                  <w:tcW w:w="999" w:type="pct"/>
                  <w:noWrap w:val="0"/>
                  <w:vAlign w:val="center"/>
                </w:tcPr>
                <w:p w14:paraId="54BFD63D">
                  <w:pPr>
                    <w:keepNext w:val="0"/>
                    <w:keepLines w:val="0"/>
                    <w:pageBreakBefore w:val="0"/>
                    <w:widowControl/>
                    <w:suppressLineNumbers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0.123</w:t>
                  </w:r>
                </w:p>
              </w:tc>
            </w:tr>
            <w:tr w14:paraId="23E1EA19">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998" w:type="pct"/>
                  <w:noWrap w:val="0"/>
                  <w:vAlign w:val="center"/>
                </w:tcPr>
                <w:p w14:paraId="5A31C9E0">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直接蒸汽</w:t>
                  </w:r>
                </w:p>
              </w:tc>
              <w:tc>
                <w:tcPr>
                  <w:tcW w:w="1001" w:type="pct"/>
                  <w:noWrap w:val="0"/>
                  <w:vAlign w:val="center"/>
                </w:tcPr>
                <w:p w14:paraId="47D0BD7C">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16894.5</w:t>
                  </w:r>
                </w:p>
              </w:tc>
              <w:tc>
                <w:tcPr>
                  <w:tcW w:w="2000" w:type="pct"/>
                  <w:gridSpan w:val="2"/>
                  <w:noWrap w:val="0"/>
                  <w:vAlign w:val="center"/>
                </w:tcPr>
                <w:p w14:paraId="06FC27EC">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废水</w:t>
                  </w:r>
                </w:p>
              </w:tc>
              <w:tc>
                <w:tcPr>
                  <w:tcW w:w="999" w:type="pct"/>
                  <w:noWrap w:val="0"/>
                  <w:vAlign w:val="center"/>
                </w:tcPr>
                <w:p w14:paraId="6D750A3A">
                  <w:pPr>
                    <w:keepNext w:val="0"/>
                    <w:keepLines w:val="0"/>
                    <w:pageBreakBefore w:val="0"/>
                    <w:widowControl/>
                    <w:suppressLineNumbers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12000</w:t>
                  </w:r>
                </w:p>
              </w:tc>
            </w:tr>
            <w:tr w14:paraId="5345A0C0">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998" w:type="pct"/>
                  <w:noWrap w:val="0"/>
                  <w:vAlign w:val="center"/>
                </w:tcPr>
                <w:p w14:paraId="051D53C5">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间接蒸汽</w:t>
                  </w:r>
                </w:p>
              </w:tc>
              <w:tc>
                <w:tcPr>
                  <w:tcW w:w="1001" w:type="pct"/>
                  <w:noWrap w:val="0"/>
                  <w:vAlign w:val="center"/>
                </w:tcPr>
                <w:p w14:paraId="0FB0A93A">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109105.5</w:t>
                  </w:r>
                </w:p>
              </w:tc>
              <w:tc>
                <w:tcPr>
                  <w:tcW w:w="2000" w:type="pct"/>
                  <w:gridSpan w:val="2"/>
                  <w:noWrap w:val="0"/>
                  <w:vAlign w:val="center"/>
                </w:tcPr>
                <w:p w14:paraId="375172CA">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冷凝水</w:t>
                  </w:r>
                </w:p>
              </w:tc>
              <w:tc>
                <w:tcPr>
                  <w:tcW w:w="999" w:type="pct"/>
                  <w:noWrap w:val="0"/>
                  <w:vAlign w:val="center"/>
                </w:tcPr>
                <w:p w14:paraId="711CA84B">
                  <w:pPr>
                    <w:keepNext w:val="0"/>
                    <w:keepLines w:val="0"/>
                    <w:pageBreakBefore w:val="0"/>
                    <w:widowControl/>
                    <w:suppressLineNumbers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103320</w:t>
                  </w:r>
                </w:p>
              </w:tc>
            </w:tr>
            <w:tr w14:paraId="2DBF11DA">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998" w:type="pct"/>
                  <w:noWrap w:val="0"/>
                  <w:vAlign w:val="center"/>
                </w:tcPr>
                <w:p w14:paraId="76ADDD46">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1001" w:type="pct"/>
                  <w:noWrap w:val="0"/>
                  <w:vAlign w:val="center"/>
                </w:tcPr>
                <w:p w14:paraId="65143384">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2000" w:type="pct"/>
                  <w:gridSpan w:val="2"/>
                  <w:noWrap w:val="0"/>
                  <w:vAlign w:val="center"/>
                </w:tcPr>
                <w:p w14:paraId="569275D4">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米糠毛油</w:t>
                  </w:r>
                </w:p>
              </w:tc>
              <w:tc>
                <w:tcPr>
                  <w:tcW w:w="999" w:type="pct"/>
                  <w:noWrap w:val="0"/>
                  <w:vAlign w:val="center"/>
                </w:tcPr>
                <w:p w14:paraId="136BC072">
                  <w:pPr>
                    <w:keepNext w:val="0"/>
                    <w:keepLines w:val="0"/>
                    <w:pageBreakBefore w:val="0"/>
                    <w:widowControl/>
                    <w:suppressLineNumbers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16000</w:t>
                  </w:r>
                </w:p>
              </w:tc>
            </w:tr>
            <w:tr w14:paraId="4C9FAA6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998" w:type="pct"/>
                  <w:noWrap w:val="0"/>
                  <w:vAlign w:val="center"/>
                </w:tcPr>
                <w:p w14:paraId="61708206">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1001" w:type="pct"/>
                  <w:noWrap w:val="0"/>
                  <w:vAlign w:val="center"/>
                </w:tcPr>
                <w:p w14:paraId="0D3716D0">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2000" w:type="pct"/>
                  <w:gridSpan w:val="2"/>
                  <w:noWrap w:val="0"/>
                  <w:vAlign w:val="center"/>
                </w:tcPr>
                <w:p w14:paraId="2404D307">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糠粕</w:t>
                  </w:r>
                </w:p>
              </w:tc>
              <w:tc>
                <w:tcPr>
                  <w:tcW w:w="999" w:type="pct"/>
                  <w:noWrap w:val="0"/>
                  <w:vAlign w:val="center"/>
                </w:tcPr>
                <w:p w14:paraId="248EF82F">
                  <w:pPr>
                    <w:keepNext w:val="0"/>
                    <w:keepLines w:val="0"/>
                    <w:pageBreakBefore w:val="0"/>
                    <w:widowControl/>
                    <w:suppressLineNumbers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80000</w:t>
                  </w:r>
                </w:p>
              </w:tc>
            </w:tr>
            <w:tr w14:paraId="7CB2FB5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998" w:type="pct"/>
                  <w:noWrap w:val="0"/>
                  <w:vAlign w:val="center"/>
                </w:tcPr>
                <w:p w14:paraId="654B2274">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1001" w:type="pct"/>
                  <w:noWrap w:val="0"/>
                  <w:vAlign w:val="center"/>
                </w:tcPr>
                <w:p w14:paraId="5B130A52">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2000" w:type="pct"/>
                  <w:gridSpan w:val="2"/>
                  <w:noWrap w:val="0"/>
                  <w:vAlign w:val="center"/>
                </w:tcPr>
                <w:p w14:paraId="6E951EE4">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回收正己烷</w:t>
                  </w:r>
                </w:p>
              </w:tc>
              <w:tc>
                <w:tcPr>
                  <w:tcW w:w="999" w:type="pct"/>
                  <w:noWrap w:val="0"/>
                  <w:vAlign w:val="center"/>
                </w:tcPr>
                <w:p w14:paraId="2C776ED5">
                  <w:pPr>
                    <w:keepNext w:val="0"/>
                    <w:keepLines w:val="0"/>
                    <w:pageBreakBefore w:val="0"/>
                    <w:widowControl/>
                    <w:suppressLineNumbers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122.877</w:t>
                  </w:r>
                </w:p>
              </w:tc>
            </w:tr>
            <w:tr w14:paraId="32825D9E">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998" w:type="pct"/>
                  <w:noWrap w:val="0"/>
                  <w:vAlign w:val="center"/>
                </w:tcPr>
                <w:p w14:paraId="74F89579">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1001" w:type="pct"/>
                  <w:noWrap w:val="0"/>
                  <w:vAlign w:val="center"/>
                </w:tcPr>
                <w:p w14:paraId="7432AC6A">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2000" w:type="pct"/>
                  <w:gridSpan w:val="2"/>
                  <w:noWrap w:val="0"/>
                  <w:vAlign w:val="center"/>
                </w:tcPr>
                <w:p w14:paraId="09EE7E8E">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杂质</w:t>
                  </w:r>
                </w:p>
              </w:tc>
              <w:tc>
                <w:tcPr>
                  <w:tcW w:w="999" w:type="pct"/>
                  <w:noWrap w:val="0"/>
                  <w:vAlign w:val="center"/>
                </w:tcPr>
                <w:p w14:paraId="3B3F1E24">
                  <w:pPr>
                    <w:keepNext w:val="0"/>
                    <w:keepLines w:val="0"/>
                    <w:pageBreakBefore w:val="0"/>
                    <w:widowControl/>
                    <w:suppressLineNumbers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69.8</w:t>
                  </w:r>
                </w:p>
              </w:tc>
            </w:tr>
            <w:tr w14:paraId="21D9951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998" w:type="pct"/>
                  <w:noWrap w:val="0"/>
                  <w:vAlign w:val="center"/>
                </w:tcPr>
                <w:p w14:paraId="3BC8840F">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1001" w:type="pct"/>
                  <w:noWrap w:val="0"/>
                  <w:vAlign w:val="center"/>
                </w:tcPr>
                <w:p w14:paraId="07DEE822">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2000" w:type="pct"/>
                  <w:gridSpan w:val="2"/>
                  <w:noWrap w:val="0"/>
                  <w:vAlign w:val="center"/>
                </w:tcPr>
                <w:p w14:paraId="1B1FD28F">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损失水分</w:t>
                  </w:r>
                </w:p>
              </w:tc>
              <w:tc>
                <w:tcPr>
                  <w:tcW w:w="999" w:type="pct"/>
                  <w:noWrap w:val="0"/>
                  <w:vAlign w:val="center"/>
                </w:tcPr>
                <w:p w14:paraId="5EC89F6A">
                  <w:pPr>
                    <w:keepNext w:val="0"/>
                    <w:keepLines w:val="0"/>
                    <w:pageBreakBefore w:val="0"/>
                    <w:widowControl/>
                    <w:suppressLineNumbers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14610</w:t>
                  </w:r>
                </w:p>
              </w:tc>
            </w:tr>
            <w:tr w14:paraId="4745100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998" w:type="pct"/>
                  <w:noWrap w:val="0"/>
                  <w:vAlign w:val="center"/>
                </w:tcPr>
                <w:p w14:paraId="18FE5EB1">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合计</w:t>
                  </w:r>
                </w:p>
              </w:tc>
              <w:tc>
                <w:tcPr>
                  <w:tcW w:w="1001" w:type="pct"/>
                  <w:noWrap w:val="0"/>
                  <w:vAlign w:val="center"/>
                </w:tcPr>
                <w:p w14:paraId="2A751264">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kern w:val="0"/>
                      <w:position w:val="0"/>
                      <w:szCs w:val="21"/>
                      <w:highlight w:val="none"/>
                      <w:lang w:val="en-US" w:eastAsia="zh-CN" w:bidi="ar"/>
                    </w:rPr>
                    <w:t>226123</w:t>
                  </w:r>
                </w:p>
              </w:tc>
              <w:tc>
                <w:tcPr>
                  <w:tcW w:w="2000" w:type="pct"/>
                  <w:gridSpan w:val="2"/>
                  <w:noWrap w:val="0"/>
                  <w:vAlign w:val="center"/>
                </w:tcPr>
                <w:p w14:paraId="3FF17078">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999" w:type="pct"/>
                  <w:noWrap w:val="0"/>
                  <w:vAlign w:val="center"/>
                </w:tcPr>
                <w:p w14:paraId="28EE34C3">
                  <w:pPr>
                    <w:keepNext w:val="0"/>
                    <w:keepLines w:val="0"/>
                    <w:pageBreakBefore w:val="0"/>
                    <w:widowControl/>
                    <w:suppressLineNumbers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226123</w:t>
                  </w:r>
                </w:p>
              </w:tc>
            </w:tr>
            <w:bookmarkEnd w:id="6"/>
          </w:tbl>
          <w:p w14:paraId="5031C993">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b/>
                <w:color w:val="auto"/>
                <w:spacing w:val="0"/>
                <w:position w:val="0"/>
                <w:sz w:val="24"/>
                <w:szCs w:val="24"/>
                <w:highlight w:val="none"/>
                <w:lang w:val="en-US" w:eastAsia="zh-CN"/>
              </w:rPr>
              <w:t>表</w:t>
            </w:r>
            <w:r>
              <w:rPr>
                <w:rFonts w:hint="default" w:ascii="Times New Roman" w:hAnsi="Times New Roman" w:eastAsia="宋体" w:cs="Times New Roman"/>
                <w:b/>
                <w:color w:val="auto"/>
                <w:spacing w:val="0"/>
                <w:position w:val="0"/>
                <w:sz w:val="24"/>
                <w:szCs w:val="24"/>
                <w:highlight w:val="none"/>
              </w:rPr>
              <w:t>2-</w:t>
            </w:r>
            <w:r>
              <w:rPr>
                <w:rFonts w:hint="default" w:ascii="Times New Roman" w:hAnsi="Times New Roman" w:cs="Times New Roman"/>
                <w:b/>
                <w:color w:val="auto"/>
                <w:spacing w:val="0"/>
                <w:position w:val="0"/>
                <w:sz w:val="24"/>
                <w:szCs w:val="24"/>
                <w:highlight w:val="none"/>
                <w:lang w:val="en-US" w:eastAsia="zh-CN"/>
              </w:rPr>
              <w:t>6</w:t>
            </w:r>
            <w:r>
              <w:rPr>
                <w:rFonts w:hint="default" w:ascii="Times New Roman" w:hAnsi="Times New Roman" w:eastAsia="宋体" w:cs="Times New Roman"/>
                <w:b/>
                <w:color w:val="auto"/>
                <w:spacing w:val="0"/>
                <w:position w:val="0"/>
                <w:sz w:val="24"/>
                <w:szCs w:val="24"/>
                <w:highlight w:val="none"/>
              </w:rPr>
              <w:t xml:space="preserve"> </w:t>
            </w:r>
            <w:r>
              <w:rPr>
                <w:rFonts w:hint="default" w:ascii="Times New Roman" w:hAnsi="Times New Roman" w:cs="Times New Roman"/>
                <w:b/>
                <w:color w:val="auto"/>
                <w:spacing w:val="0"/>
                <w:position w:val="0"/>
                <w:sz w:val="24"/>
                <w:szCs w:val="24"/>
                <w:highlight w:val="none"/>
                <w:lang w:val="en-US" w:eastAsia="zh-CN"/>
              </w:rPr>
              <w:t>大豆油物料平衡表</w:t>
            </w:r>
          </w:p>
          <w:tbl>
            <w:tblPr>
              <w:tblStyle w:val="29"/>
              <w:tblW w:w="4998" w:type="pct"/>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autofit"/>
              <w:tblCellMar>
                <w:top w:w="0" w:type="dxa"/>
                <w:left w:w="108" w:type="dxa"/>
                <w:bottom w:w="0" w:type="dxa"/>
                <w:right w:w="108" w:type="dxa"/>
              </w:tblCellMar>
            </w:tblPr>
            <w:tblGrid>
              <w:gridCol w:w="1679"/>
              <w:gridCol w:w="1689"/>
              <w:gridCol w:w="1682"/>
              <w:gridCol w:w="1687"/>
              <w:gridCol w:w="1687"/>
            </w:tblGrid>
            <w:tr w14:paraId="74AAD1D3">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999" w:type="pct"/>
                  <w:gridSpan w:val="2"/>
                  <w:noWrap w:val="0"/>
                  <w:vAlign w:val="center"/>
                </w:tcPr>
                <w:p w14:paraId="5065CA37">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输入</w:t>
                  </w:r>
                </w:p>
              </w:tc>
              <w:tc>
                <w:tcPr>
                  <w:tcW w:w="3000" w:type="pct"/>
                  <w:gridSpan w:val="3"/>
                  <w:noWrap w:val="0"/>
                  <w:vAlign w:val="center"/>
                </w:tcPr>
                <w:p w14:paraId="2373A280">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输出</w:t>
                  </w:r>
                </w:p>
              </w:tc>
            </w:tr>
            <w:tr w14:paraId="679A0E92">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997" w:type="pct"/>
                  <w:noWrap w:val="0"/>
                  <w:vAlign w:val="center"/>
                </w:tcPr>
                <w:p w14:paraId="3BEFC31F">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物料名称</w:t>
                  </w:r>
                </w:p>
              </w:tc>
              <w:tc>
                <w:tcPr>
                  <w:tcW w:w="1001" w:type="pct"/>
                  <w:noWrap w:val="0"/>
                  <w:vAlign w:val="center"/>
                </w:tcPr>
                <w:p w14:paraId="44D99A42">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数量（t/</w:t>
                  </w:r>
                  <w:r>
                    <w:rPr>
                      <w:rFonts w:hint="default" w:ascii="Times New Roman" w:hAnsi="Times New Roman" w:cs="Times New Roman"/>
                      <w:color w:val="auto"/>
                      <w:spacing w:val="0"/>
                      <w:kern w:val="0"/>
                      <w:position w:val="0"/>
                      <w:szCs w:val="21"/>
                      <w:highlight w:val="none"/>
                      <w:lang w:val="en-US" w:eastAsia="zh-CN" w:bidi="ar"/>
                    </w:rPr>
                    <w:t>a</w:t>
                  </w:r>
                  <w:r>
                    <w:rPr>
                      <w:rFonts w:hint="default" w:ascii="Times New Roman" w:hAnsi="Times New Roman" w:eastAsia="宋体" w:cs="Times New Roman"/>
                      <w:color w:val="auto"/>
                      <w:spacing w:val="0"/>
                      <w:kern w:val="0"/>
                      <w:position w:val="0"/>
                      <w:szCs w:val="21"/>
                      <w:highlight w:val="none"/>
                      <w:lang w:bidi="ar"/>
                    </w:rPr>
                    <w:t>）</w:t>
                  </w:r>
                </w:p>
              </w:tc>
              <w:tc>
                <w:tcPr>
                  <w:tcW w:w="1999" w:type="pct"/>
                  <w:gridSpan w:val="2"/>
                  <w:noWrap w:val="0"/>
                  <w:vAlign w:val="center"/>
                </w:tcPr>
                <w:p w14:paraId="57FD9CD5">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物料名称</w:t>
                  </w:r>
                </w:p>
              </w:tc>
              <w:tc>
                <w:tcPr>
                  <w:tcW w:w="1000" w:type="pct"/>
                  <w:noWrap w:val="0"/>
                  <w:vAlign w:val="center"/>
                </w:tcPr>
                <w:p w14:paraId="428AD2AB">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数量（t/</w:t>
                  </w:r>
                  <w:r>
                    <w:rPr>
                      <w:rFonts w:hint="default" w:ascii="Times New Roman" w:hAnsi="Times New Roman" w:cs="Times New Roman"/>
                      <w:color w:val="auto"/>
                      <w:spacing w:val="0"/>
                      <w:kern w:val="0"/>
                      <w:position w:val="0"/>
                      <w:szCs w:val="21"/>
                      <w:highlight w:val="none"/>
                      <w:lang w:val="en-US" w:eastAsia="zh-CN" w:bidi="ar"/>
                    </w:rPr>
                    <w:t>a</w:t>
                  </w:r>
                  <w:r>
                    <w:rPr>
                      <w:rFonts w:hint="default" w:ascii="Times New Roman" w:hAnsi="Times New Roman" w:eastAsia="宋体" w:cs="Times New Roman"/>
                      <w:color w:val="auto"/>
                      <w:spacing w:val="0"/>
                      <w:kern w:val="0"/>
                      <w:position w:val="0"/>
                      <w:szCs w:val="21"/>
                      <w:highlight w:val="none"/>
                      <w:lang w:bidi="ar"/>
                    </w:rPr>
                    <w:t>）</w:t>
                  </w:r>
                </w:p>
              </w:tc>
            </w:tr>
            <w:tr w14:paraId="67FCC915">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997" w:type="pct"/>
                  <w:noWrap w:val="0"/>
                  <w:vAlign w:val="center"/>
                </w:tcPr>
                <w:p w14:paraId="6D6D73F2">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大豆</w:t>
                  </w:r>
                </w:p>
              </w:tc>
              <w:tc>
                <w:tcPr>
                  <w:tcW w:w="1001" w:type="pct"/>
                  <w:noWrap w:val="0"/>
                  <w:vAlign w:val="center"/>
                </w:tcPr>
                <w:p w14:paraId="385015C8">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30000</w:t>
                  </w:r>
                </w:p>
              </w:tc>
              <w:tc>
                <w:tcPr>
                  <w:tcW w:w="998" w:type="pct"/>
                  <w:vMerge w:val="restart"/>
                  <w:noWrap w:val="0"/>
                  <w:vAlign w:val="center"/>
                </w:tcPr>
                <w:p w14:paraId="5B3B1409">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废气</w:t>
                  </w:r>
                </w:p>
              </w:tc>
              <w:tc>
                <w:tcPr>
                  <w:tcW w:w="1000" w:type="pct"/>
                  <w:noWrap w:val="0"/>
                  <w:vAlign w:val="center"/>
                </w:tcPr>
                <w:p w14:paraId="776F4662">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粉尘</w:t>
                  </w:r>
                </w:p>
              </w:tc>
              <w:tc>
                <w:tcPr>
                  <w:tcW w:w="1000" w:type="pct"/>
                  <w:noWrap w:val="0"/>
                  <w:vAlign w:val="center"/>
                </w:tcPr>
                <w:p w14:paraId="5FB0B0D3">
                  <w:pPr>
                    <w:keepNext w:val="0"/>
                    <w:keepLines w:val="0"/>
                    <w:pageBreakBefore w:val="0"/>
                    <w:widowControl/>
                    <w:suppressLineNumbers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0.3</w:t>
                  </w:r>
                </w:p>
              </w:tc>
            </w:tr>
            <w:tr w14:paraId="6F4DE3B4">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997" w:type="pct"/>
                  <w:noWrap w:val="0"/>
                  <w:vAlign w:val="center"/>
                </w:tcPr>
                <w:p w14:paraId="47DE9417">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水</w:t>
                  </w:r>
                </w:p>
              </w:tc>
              <w:tc>
                <w:tcPr>
                  <w:tcW w:w="1001" w:type="pct"/>
                  <w:noWrap w:val="0"/>
                  <w:vAlign w:val="center"/>
                </w:tcPr>
                <w:p w14:paraId="194ABE86">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1008</w:t>
                  </w:r>
                </w:p>
              </w:tc>
              <w:tc>
                <w:tcPr>
                  <w:tcW w:w="998" w:type="pct"/>
                  <w:vMerge w:val="continue"/>
                  <w:noWrap w:val="0"/>
                  <w:vAlign w:val="center"/>
                </w:tcPr>
                <w:p w14:paraId="531461E8">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1000" w:type="pct"/>
                  <w:noWrap w:val="0"/>
                  <w:vAlign w:val="center"/>
                </w:tcPr>
                <w:p w14:paraId="068E26D8">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非甲烷总烃</w:t>
                  </w:r>
                </w:p>
              </w:tc>
              <w:tc>
                <w:tcPr>
                  <w:tcW w:w="1000" w:type="pct"/>
                  <w:noWrap w:val="0"/>
                  <w:vAlign w:val="center"/>
                </w:tcPr>
                <w:p w14:paraId="399DA00F">
                  <w:pPr>
                    <w:keepNext w:val="0"/>
                    <w:keepLines w:val="0"/>
                    <w:pageBreakBefore w:val="0"/>
                    <w:widowControl/>
                    <w:suppressLineNumbers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0.18</w:t>
                  </w:r>
                </w:p>
              </w:tc>
            </w:tr>
            <w:tr w14:paraId="6F697309">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997" w:type="pct"/>
                  <w:noWrap w:val="0"/>
                  <w:vAlign w:val="center"/>
                </w:tcPr>
                <w:p w14:paraId="27EE33BF">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氢氧化钠</w:t>
                  </w:r>
                </w:p>
              </w:tc>
              <w:tc>
                <w:tcPr>
                  <w:tcW w:w="1001" w:type="pct"/>
                  <w:noWrap w:val="0"/>
                  <w:vAlign w:val="center"/>
                </w:tcPr>
                <w:p w14:paraId="541D554C">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4.5</w:t>
                  </w:r>
                </w:p>
              </w:tc>
              <w:tc>
                <w:tcPr>
                  <w:tcW w:w="1999" w:type="pct"/>
                  <w:gridSpan w:val="2"/>
                  <w:noWrap w:val="0"/>
                  <w:vAlign w:val="center"/>
                </w:tcPr>
                <w:p w14:paraId="3EB3401D">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废水</w:t>
                  </w:r>
                </w:p>
              </w:tc>
              <w:tc>
                <w:tcPr>
                  <w:tcW w:w="1000" w:type="pct"/>
                  <w:noWrap w:val="0"/>
                  <w:vAlign w:val="center"/>
                </w:tcPr>
                <w:p w14:paraId="7697609A">
                  <w:pPr>
                    <w:keepNext w:val="0"/>
                    <w:keepLines w:val="0"/>
                    <w:pageBreakBefore w:val="0"/>
                    <w:widowControl/>
                    <w:suppressLineNumbers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720</w:t>
                  </w:r>
                </w:p>
              </w:tc>
            </w:tr>
            <w:tr w14:paraId="0CCE564F">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997" w:type="pct"/>
                  <w:noWrap w:val="0"/>
                  <w:vAlign w:val="center"/>
                </w:tcPr>
                <w:p w14:paraId="25966E0D">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磷酸</w:t>
                  </w:r>
                </w:p>
              </w:tc>
              <w:tc>
                <w:tcPr>
                  <w:tcW w:w="1001" w:type="pct"/>
                  <w:noWrap w:val="0"/>
                  <w:vAlign w:val="center"/>
                </w:tcPr>
                <w:p w14:paraId="2F069F91">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6</w:t>
                  </w:r>
                </w:p>
              </w:tc>
              <w:tc>
                <w:tcPr>
                  <w:tcW w:w="1999" w:type="pct"/>
                  <w:gridSpan w:val="2"/>
                  <w:shd w:val="clear" w:color="auto" w:fill="auto"/>
                  <w:noWrap w:val="0"/>
                  <w:vAlign w:val="center"/>
                </w:tcPr>
                <w:p w14:paraId="72DEB627">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大豆油</w:t>
                  </w:r>
                </w:p>
              </w:tc>
              <w:tc>
                <w:tcPr>
                  <w:tcW w:w="1000" w:type="pct"/>
                  <w:noWrap w:val="0"/>
                  <w:vAlign w:val="center"/>
                </w:tcPr>
                <w:p w14:paraId="64BAEF3D">
                  <w:pPr>
                    <w:keepNext w:val="0"/>
                    <w:keepLines w:val="0"/>
                    <w:pageBreakBefore w:val="0"/>
                    <w:widowControl/>
                    <w:suppressLineNumbers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4320</w:t>
                  </w:r>
                </w:p>
              </w:tc>
            </w:tr>
            <w:tr w14:paraId="65165CD5">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997" w:type="pct"/>
                  <w:noWrap w:val="0"/>
                  <w:vAlign w:val="center"/>
                </w:tcPr>
                <w:p w14:paraId="67EC115D">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白土</w:t>
                  </w:r>
                </w:p>
              </w:tc>
              <w:tc>
                <w:tcPr>
                  <w:tcW w:w="1001" w:type="pct"/>
                  <w:noWrap w:val="0"/>
                  <w:vAlign w:val="center"/>
                </w:tcPr>
                <w:p w14:paraId="76E026EB">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135</w:t>
                  </w:r>
                </w:p>
              </w:tc>
              <w:tc>
                <w:tcPr>
                  <w:tcW w:w="1999" w:type="pct"/>
                  <w:gridSpan w:val="2"/>
                  <w:shd w:val="clear" w:color="auto" w:fill="auto"/>
                  <w:noWrap w:val="0"/>
                  <w:vAlign w:val="center"/>
                </w:tcPr>
                <w:p w14:paraId="116B2BED">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豆粕</w:t>
                  </w:r>
                </w:p>
              </w:tc>
              <w:tc>
                <w:tcPr>
                  <w:tcW w:w="1000" w:type="pct"/>
                  <w:noWrap w:val="0"/>
                  <w:vAlign w:val="center"/>
                </w:tcPr>
                <w:p w14:paraId="727C3F0B">
                  <w:pPr>
                    <w:keepNext w:val="0"/>
                    <w:keepLines w:val="0"/>
                    <w:pageBreakBefore w:val="0"/>
                    <w:widowControl/>
                    <w:suppressLineNumbers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25000</w:t>
                  </w:r>
                </w:p>
              </w:tc>
            </w:tr>
            <w:tr w14:paraId="65FA9675">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997" w:type="pct"/>
                  <w:noWrap w:val="0"/>
                  <w:vAlign w:val="center"/>
                </w:tcPr>
                <w:p w14:paraId="2C2741E4">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1001" w:type="pct"/>
                  <w:noWrap w:val="0"/>
                  <w:vAlign w:val="center"/>
                </w:tcPr>
                <w:p w14:paraId="5E381ADF">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1999" w:type="pct"/>
                  <w:gridSpan w:val="2"/>
                  <w:shd w:val="clear" w:color="auto" w:fill="auto"/>
                  <w:noWrap w:val="0"/>
                  <w:vAlign w:val="center"/>
                </w:tcPr>
                <w:p w14:paraId="11AC6EC3">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油角</w:t>
                  </w:r>
                </w:p>
              </w:tc>
              <w:tc>
                <w:tcPr>
                  <w:tcW w:w="1000" w:type="pct"/>
                  <w:noWrap w:val="0"/>
                  <w:vAlign w:val="center"/>
                </w:tcPr>
                <w:p w14:paraId="4945A7EF">
                  <w:pPr>
                    <w:keepNext w:val="0"/>
                    <w:keepLines w:val="0"/>
                    <w:pageBreakBefore w:val="0"/>
                    <w:widowControl/>
                    <w:suppressLineNumbers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72.18</w:t>
                  </w:r>
                </w:p>
              </w:tc>
            </w:tr>
            <w:tr w14:paraId="31BA42CB">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997" w:type="pct"/>
                  <w:noWrap w:val="0"/>
                  <w:vAlign w:val="center"/>
                </w:tcPr>
                <w:p w14:paraId="7514C3F4">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1001" w:type="pct"/>
                  <w:noWrap w:val="0"/>
                  <w:vAlign w:val="center"/>
                </w:tcPr>
                <w:p w14:paraId="61C15125">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1999" w:type="pct"/>
                  <w:gridSpan w:val="2"/>
                  <w:shd w:val="clear" w:color="auto" w:fill="auto"/>
                  <w:noWrap w:val="0"/>
                  <w:vAlign w:val="center"/>
                </w:tcPr>
                <w:p w14:paraId="3201496F">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脂肪酸</w:t>
                  </w:r>
                </w:p>
              </w:tc>
              <w:tc>
                <w:tcPr>
                  <w:tcW w:w="1000" w:type="pct"/>
                  <w:noWrap w:val="0"/>
                  <w:vAlign w:val="center"/>
                </w:tcPr>
                <w:p w14:paraId="4C25C4AD">
                  <w:pPr>
                    <w:keepNext w:val="0"/>
                    <w:keepLines w:val="0"/>
                    <w:pageBreakBefore w:val="0"/>
                    <w:widowControl/>
                    <w:suppressLineNumbers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17.82</w:t>
                  </w:r>
                </w:p>
              </w:tc>
            </w:tr>
            <w:tr w14:paraId="0DD51873">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997" w:type="pct"/>
                  <w:noWrap w:val="0"/>
                  <w:vAlign w:val="center"/>
                </w:tcPr>
                <w:p w14:paraId="70AAF858">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1001" w:type="pct"/>
                  <w:noWrap w:val="0"/>
                  <w:vAlign w:val="center"/>
                </w:tcPr>
                <w:p w14:paraId="1376CD12">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1999" w:type="pct"/>
                  <w:gridSpan w:val="2"/>
                  <w:shd w:val="clear" w:color="auto" w:fill="auto"/>
                  <w:noWrap w:val="0"/>
                  <w:vAlign w:val="center"/>
                </w:tcPr>
                <w:p w14:paraId="080FFC5A">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废白土</w:t>
                  </w:r>
                </w:p>
              </w:tc>
              <w:tc>
                <w:tcPr>
                  <w:tcW w:w="1000" w:type="pct"/>
                  <w:noWrap w:val="0"/>
                  <w:vAlign w:val="center"/>
                </w:tcPr>
                <w:p w14:paraId="19EDA08E">
                  <w:pPr>
                    <w:keepNext w:val="0"/>
                    <w:keepLines w:val="0"/>
                    <w:pageBreakBefore w:val="0"/>
                    <w:widowControl/>
                    <w:suppressLineNumbers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225</w:t>
                  </w:r>
                </w:p>
              </w:tc>
            </w:tr>
            <w:tr w14:paraId="480B1DC1">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997" w:type="pct"/>
                  <w:noWrap w:val="0"/>
                  <w:vAlign w:val="center"/>
                </w:tcPr>
                <w:p w14:paraId="228E0BE6">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1001" w:type="pct"/>
                  <w:noWrap w:val="0"/>
                  <w:vAlign w:val="center"/>
                </w:tcPr>
                <w:p w14:paraId="023E26FB">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1999" w:type="pct"/>
                  <w:gridSpan w:val="2"/>
                  <w:shd w:val="clear" w:color="auto" w:fill="auto"/>
                  <w:noWrap w:val="0"/>
                  <w:vAlign w:val="center"/>
                </w:tcPr>
                <w:p w14:paraId="75A7F02D">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杂质</w:t>
                  </w:r>
                </w:p>
              </w:tc>
              <w:tc>
                <w:tcPr>
                  <w:tcW w:w="1000" w:type="pct"/>
                  <w:noWrap w:val="0"/>
                  <w:vAlign w:val="center"/>
                </w:tcPr>
                <w:p w14:paraId="50675D51">
                  <w:pPr>
                    <w:keepNext w:val="0"/>
                    <w:keepLines w:val="0"/>
                    <w:pageBreakBefore w:val="0"/>
                    <w:widowControl/>
                    <w:suppressLineNumbers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17.7</w:t>
                  </w:r>
                </w:p>
              </w:tc>
            </w:tr>
            <w:tr w14:paraId="776775D6">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997" w:type="pct"/>
                  <w:noWrap w:val="0"/>
                  <w:vAlign w:val="center"/>
                </w:tcPr>
                <w:p w14:paraId="58DC921A">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1001" w:type="pct"/>
                  <w:noWrap w:val="0"/>
                  <w:vAlign w:val="center"/>
                </w:tcPr>
                <w:p w14:paraId="51F31DAD">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1999" w:type="pct"/>
                  <w:gridSpan w:val="2"/>
                  <w:shd w:val="clear" w:color="auto" w:fill="auto"/>
                  <w:noWrap w:val="0"/>
                  <w:vAlign w:val="center"/>
                </w:tcPr>
                <w:p w14:paraId="0D99F79E">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损失水分</w:t>
                  </w:r>
                </w:p>
              </w:tc>
              <w:tc>
                <w:tcPr>
                  <w:tcW w:w="1000" w:type="pct"/>
                  <w:noWrap w:val="0"/>
                  <w:vAlign w:val="center"/>
                </w:tcPr>
                <w:p w14:paraId="1BB76005">
                  <w:pPr>
                    <w:keepNext w:val="0"/>
                    <w:keepLines w:val="0"/>
                    <w:pageBreakBefore w:val="0"/>
                    <w:widowControl/>
                    <w:suppressLineNumbers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780.32</w:t>
                  </w:r>
                </w:p>
              </w:tc>
            </w:tr>
            <w:tr w14:paraId="5F1BEF98">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997" w:type="pct"/>
                  <w:noWrap w:val="0"/>
                  <w:vAlign w:val="center"/>
                </w:tcPr>
                <w:p w14:paraId="37B81CD1">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0"/>
                      <w:position w:val="0"/>
                      <w:szCs w:val="21"/>
                      <w:highlight w:val="none"/>
                      <w:lang w:bidi="ar"/>
                    </w:rPr>
                    <w:t>合计</w:t>
                  </w:r>
                </w:p>
              </w:tc>
              <w:tc>
                <w:tcPr>
                  <w:tcW w:w="1001" w:type="pct"/>
                  <w:noWrap w:val="0"/>
                  <w:vAlign w:val="center"/>
                </w:tcPr>
                <w:p w14:paraId="7BB3D239">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kern w:val="0"/>
                      <w:position w:val="0"/>
                      <w:szCs w:val="21"/>
                      <w:highlight w:val="none"/>
                      <w:lang w:val="en-US" w:eastAsia="zh-CN" w:bidi="ar"/>
                    </w:rPr>
                    <w:t>31153.5</w:t>
                  </w:r>
                </w:p>
              </w:tc>
              <w:tc>
                <w:tcPr>
                  <w:tcW w:w="1999" w:type="pct"/>
                  <w:gridSpan w:val="2"/>
                  <w:noWrap w:val="0"/>
                  <w:vAlign w:val="center"/>
                </w:tcPr>
                <w:p w14:paraId="487E16A1">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1000" w:type="pct"/>
                  <w:noWrap w:val="0"/>
                  <w:vAlign w:val="center"/>
                </w:tcPr>
                <w:p w14:paraId="40481EE0">
                  <w:pPr>
                    <w:keepNext w:val="0"/>
                    <w:keepLines w:val="0"/>
                    <w:pageBreakBefore w:val="0"/>
                    <w:widowControl/>
                    <w:suppressLineNumbers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lang w:val="en-US"/>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31153.5</w:t>
                  </w:r>
                </w:p>
              </w:tc>
            </w:tr>
          </w:tbl>
          <w:p w14:paraId="6C74608B">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（五）公用工程</w:t>
            </w:r>
          </w:p>
          <w:p w14:paraId="7FEA2878">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1、给水</w:t>
            </w:r>
          </w:p>
          <w:p w14:paraId="5FF43825">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（1）生活用水</w:t>
            </w:r>
          </w:p>
          <w:p w14:paraId="090060FA">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本项目建成后工作人员共2</w:t>
            </w:r>
            <w:r>
              <w:rPr>
                <w:rFonts w:hint="default" w:ascii="Times New Roman" w:hAnsi="Times New Roman" w:cs="Times New Roman"/>
                <w:color w:val="auto"/>
                <w:spacing w:val="0"/>
                <w:position w:val="0"/>
                <w:sz w:val="24"/>
                <w:szCs w:val="24"/>
                <w:highlight w:val="none"/>
                <w:lang w:val="en-US" w:eastAsia="zh-CN"/>
              </w:rPr>
              <w:t>0</w:t>
            </w:r>
            <w:r>
              <w:rPr>
                <w:rFonts w:hint="default" w:ascii="Times New Roman" w:hAnsi="Times New Roman" w:eastAsia="宋体" w:cs="Times New Roman"/>
                <w:color w:val="auto"/>
                <w:spacing w:val="0"/>
                <w:position w:val="0"/>
                <w:sz w:val="24"/>
                <w:szCs w:val="24"/>
                <w:highlight w:val="none"/>
              </w:rPr>
              <w:t>人，年工作</w:t>
            </w:r>
            <w:r>
              <w:rPr>
                <w:rFonts w:hint="default" w:ascii="Times New Roman" w:hAnsi="Times New Roman" w:cs="Times New Roman"/>
                <w:color w:val="auto"/>
                <w:spacing w:val="0"/>
                <w:position w:val="0"/>
                <w:sz w:val="24"/>
                <w:szCs w:val="24"/>
                <w:highlight w:val="none"/>
                <w:lang w:val="en-US" w:eastAsia="zh-CN"/>
              </w:rPr>
              <w:t>35</w:t>
            </w:r>
            <w:r>
              <w:rPr>
                <w:rFonts w:hint="default" w:ascii="Times New Roman" w:hAnsi="Times New Roman" w:eastAsia="宋体" w:cs="Times New Roman"/>
                <w:color w:val="auto"/>
                <w:spacing w:val="0"/>
                <w:position w:val="0"/>
                <w:sz w:val="24"/>
                <w:szCs w:val="24"/>
                <w:highlight w:val="none"/>
              </w:rPr>
              <w:t>0d，参照黑龙江省《用水定额》（DB23/T 727-2025）工作人员生活用水量按80L/人•d计，生活用水量为</w:t>
            </w:r>
            <w:r>
              <w:rPr>
                <w:rFonts w:hint="default" w:ascii="Times New Roman" w:hAnsi="Times New Roman" w:cs="Times New Roman"/>
                <w:color w:val="auto"/>
                <w:spacing w:val="0"/>
                <w:position w:val="0"/>
                <w:sz w:val="24"/>
                <w:szCs w:val="24"/>
                <w:highlight w:val="none"/>
                <w:lang w:val="en-US" w:eastAsia="zh-CN"/>
              </w:rPr>
              <w:t>1.6</w:t>
            </w:r>
            <w:r>
              <w:rPr>
                <w:rFonts w:hint="default" w:ascii="Times New Roman" w:hAnsi="Times New Roman" w:eastAsia="宋体" w:cs="Times New Roman"/>
                <w:color w:val="auto"/>
                <w:spacing w:val="0"/>
                <w:position w:val="0"/>
                <w:sz w:val="24"/>
                <w:szCs w:val="24"/>
                <w:highlight w:val="none"/>
              </w:rPr>
              <w:t>m</w:t>
            </w:r>
            <w:r>
              <w:rPr>
                <w:rFonts w:hint="default" w:ascii="Times New Roman" w:hAnsi="Times New Roman" w:eastAsia="宋体" w:cs="Times New Roman"/>
                <w:color w:val="auto"/>
                <w:spacing w:val="0"/>
                <w:position w:val="0"/>
                <w:sz w:val="24"/>
                <w:szCs w:val="24"/>
                <w:highlight w:val="none"/>
                <w:vertAlign w:val="superscript"/>
              </w:rPr>
              <w:t>3</w:t>
            </w:r>
            <w:r>
              <w:rPr>
                <w:rFonts w:hint="default" w:ascii="Times New Roman" w:hAnsi="Times New Roman" w:eastAsia="宋体" w:cs="Times New Roman"/>
                <w:color w:val="auto"/>
                <w:spacing w:val="0"/>
                <w:position w:val="0"/>
                <w:sz w:val="24"/>
                <w:szCs w:val="24"/>
                <w:highlight w:val="none"/>
              </w:rPr>
              <w:t>/d，</w:t>
            </w:r>
            <w:r>
              <w:rPr>
                <w:rFonts w:hint="default" w:ascii="Times New Roman" w:hAnsi="Times New Roman" w:cs="Times New Roman"/>
                <w:color w:val="auto"/>
                <w:spacing w:val="0"/>
                <w:position w:val="0"/>
                <w:sz w:val="24"/>
                <w:szCs w:val="24"/>
                <w:highlight w:val="none"/>
                <w:lang w:val="en-US" w:eastAsia="zh-CN"/>
              </w:rPr>
              <w:t>560</w:t>
            </w:r>
            <w:r>
              <w:rPr>
                <w:rFonts w:hint="default" w:ascii="Times New Roman" w:hAnsi="Times New Roman" w:eastAsia="宋体" w:cs="Times New Roman"/>
                <w:color w:val="auto"/>
                <w:spacing w:val="0"/>
                <w:position w:val="0"/>
                <w:sz w:val="24"/>
                <w:szCs w:val="24"/>
                <w:highlight w:val="none"/>
              </w:rPr>
              <w:t>t/a。</w:t>
            </w:r>
          </w:p>
          <w:p w14:paraId="3606F59D">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（2）生产用水</w:t>
            </w:r>
          </w:p>
          <w:p w14:paraId="60FC64C4">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fldChar w:fldCharType="begin"/>
            </w:r>
            <w:r>
              <w:rPr>
                <w:rFonts w:hint="default" w:ascii="Times New Roman" w:hAnsi="Times New Roman" w:eastAsia="宋体" w:cs="Times New Roman"/>
                <w:color w:val="auto"/>
                <w:spacing w:val="0"/>
                <w:position w:val="0"/>
                <w:sz w:val="24"/>
                <w:szCs w:val="24"/>
                <w:highlight w:val="none"/>
              </w:rPr>
              <w:instrText xml:space="preserve"> = 1 \* GB3 \* MERGEFORMAT </w:instrText>
            </w:r>
            <w:r>
              <w:rPr>
                <w:rFonts w:hint="default" w:ascii="Times New Roman" w:hAnsi="Times New Roman" w:eastAsia="宋体" w:cs="Times New Roman"/>
                <w:color w:val="auto"/>
                <w:spacing w:val="0"/>
                <w:position w:val="0"/>
                <w:sz w:val="24"/>
                <w:szCs w:val="24"/>
                <w:highlight w:val="none"/>
              </w:rPr>
              <w:fldChar w:fldCharType="separate"/>
            </w:r>
            <w:r>
              <w:rPr>
                <w:rFonts w:hint="default" w:ascii="Times New Roman" w:hAnsi="Times New Roman" w:eastAsia="宋体" w:cs="Times New Roman"/>
                <w:color w:val="auto"/>
                <w:spacing w:val="0"/>
                <w:position w:val="0"/>
                <w:sz w:val="24"/>
                <w:szCs w:val="32"/>
                <w:highlight w:val="none"/>
              </w:rPr>
              <w:t>①</w:t>
            </w:r>
            <w:r>
              <w:rPr>
                <w:rFonts w:hint="default" w:ascii="Times New Roman" w:hAnsi="Times New Roman" w:eastAsia="宋体" w:cs="Times New Roman"/>
                <w:color w:val="auto"/>
                <w:spacing w:val="0"/>
                <w:position w:val="0"/>
                <w:sz w:val="24"/>
                <w:szCs w:val="24"/>
                <w:highlight w:val="none"/>
              </w:rPr>
              <w:fldChar w:fldCharType="end"/>
            </w:r>
            <w:r>
              <w:rPr>
                <w:rFonts w:hint="default" w:ascii="Times New Roman" w:hAnsi="Times New Roman" w:cs="Times New Roman"/>
                <w:color w:val="auto"/>
                <w:spacing w:val="0"/>
                <w:position w:val="0"/>
                <w:sz w:val="24"/>
                <w:szCs w:val="24"/>
                <w:highlight w:val="none"/>
                <w:lang w:val="en-US" w:eastAsia="zh-CN"/>
              </w:rPr>
              <w:t>车间生产</w:t>
            </w:r>
            <w:r>
              <w:rPr>
                <w:rFonts w:hint="default" w:ascii="Times New Roman" w:hAnsi="Times New Roman" w:eastAsia="宋体" w:cs="Times New Roman"/>
                <w:color w:val="auto"/>
                <w:spacing w:val="0"/>
                <w:position w:val="0"/>
                <w:sz w:val="24"/>
                <w:szCs w:val="24"/>
                <w:highlight w:val="none"/>
              </w:rPr>
              <w:t>用水</w:t>
            </w:r>
          </w:p>
          <w:p w14:paraId="34C5E28F">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24"/>
                <w:highlight w:val="none"/>
              </w:rPr>
              <w:t>本项目膨化、浸出、蒸脱</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水化碱炼</w:t>
            </w:r>
            <w:r>
              <w:rPr>
                <w:rFonts w:hint="default" w:ascii="Times New Roman" w:hAnsi="Times New Roman" w:eastAsia="宋体" w:cs="Times New Roman"/>
                <w:color w:val="auto"/>
                <w:spacing w:val="0"/>
                <w:position w:val="0"/>
                <w:sz w:val="24"/>
                <w:szCs w:val="24"/>
                <w:highlight w:val="none"/>
              </w:rPr>
              <w:t>等工艺环节所用蒸汽由厂内1</w:t>
            </w:r>
            <w:r>
              <w:rPr>
                <w:rFonts w:hint="default" w:ascii="Times New Roman" w:hAnsi="Times New Roman" w:cs="Times New Roman"/>
                <w:color w:val="auto"/>
                <w:spacing w:val="0"/>
                <w:position w:val="0"/>
                <w:sz w:val="24"/>
                <w:szCs w:val="24"/>
                <w:highlight w:val="none"/>
                <w:lang w:val="en-US" w:eastAsia="zh-CN"/>
              </w:rPr>
              <w:t>5</w:t>
            </w:r>
            <w:r>
              <w:rPr>
                <w:rFonts w:hint="default" w:ascii="Times New Roman" w:hAnsi="Times New Roman" w:eastAsia="宋体" w:cs="Times New Roman"/>
                <w:color w:val="auto"/>
                <w:spacing w:val="0"/>
                <w:position w:val="0"/>
                <w:sz w:val="24"/>
                <w:szCs w:val="24"/>
                <w:highlight w:val="none"/>
              </w:rPr>
              <w:t>t/h生物质锅炉提供，总用蒸汽量按1</w:t>
            </w:r>
            <w:r>
              <w:rPr>
                <w:rFonts w:hint="default" w:ascii="Times New Roman" w:hAnsi="Times New Roman" w:cs="Times New Roman"/>
                <w:color w:val="auto"/>
                <w:spacing w:val="0"/>
                <w:position w:val="0"/>
                <w:sz w:val="24"/>
                <w:szCs w:val="24"/>
                <w:highlight w:val="none"/>
                <w:lang w:val="en-US" w:eastAsia="zh-CN"/>
              </w:rPr>
              <w:t>5</w:t>
            </w:r>
            <w:r>
              <w:rPr>
                <w:rFonts w:hint="default" w:ascii="Times New Roman" w:hAnsi="Times New Roman" w:eastAsia="宋体" w:cs="Times New Roman"/>
                <w:color w:val="auto"/>
                <w:spacing w:val="0"/>
                <w:position w:val="0"/>
                <w:sz w:val="24"/>
                <w:szCs w:val="24"/>
                <w:highlight w:val="none"/>
              </w:rPr>
              <w:t>t/h（</w:t>
            </w:r>
            <w:r>
              <w:rPr>
                <w:rFonts w:hint="default" w:ascii="Times New Roman" w:hAnsi="Times New Roman" w:cs="Times New Roman"/>
                <w:color w:val="auto"/>
                <w:spacing w:val="0"/>
                <w:position w:val="0"/>
                <w:sz w:val="24"/>
                <w:szCs w:val="24"/>
                <w:highlight w:val="none"/>
                <w:lang w:val="en-US" w:eastAsia="zh-CN"/>
              </w:rPr>
              <w:t>36</w:t>
            </w:r>
            <w:r>
              <w:rPr>
                <w:rFonts w:hint="default" w:ascii="Times New Roman" w:hAnsi="Times New Roman" w:eastAsia="宋体" w:cs="Times New Roman"/>
                <w:color w:val="auto"/>
                <w:spacing w:val="0"/>
                <w:position w:val="0"/>
                <w:sz w:val="24"/>
                <w:szCs w:val="24"/>
                <w:highlight w:val="none"/>
              </w:rPr>
              <w:t>0t/d）计，其中</w:t>
            </w:r>
            <w:r>
              <w:rPr>
                <w:rFonts w:hint="default" w:ascii="Times New Roman" w:hAnsi="Times New Roman" w:cs="Times New Roman"/>
                <w:color w:val="auto"/>
                <w:spacing w:val="0"/>
                <w:position w:val="0"/>
                <w:sz w:val="24"/>
                <w:szCs w:val="24"/>
                <w:highlight w:val="none"/>
                <w:lang w:val="en-US" w:eastAsia="zh-CN"/>
              </w:rPr>
              <w:t>12.3</w:t>
            </w:r>
            <w:r>
              <w:rPr>
                <w:rFonts w:hint="default" w:ascii="Times New Roman" w:hAnsi="Times New Roman" w:eastAsia="宋体" w:cs="Times New Roman"/>
                <w:color w:val="auto"/>
                <w:spacing w:val="0"/>
                <w:position w:val="0"/>
                <w:sz w:val="24"/>
                <w:szCs w:val="24"/>
                <w:highlight w:val="none"/>
              </w:rPr>
              <w:t>t/h（</w:t>
            </w:r>
            <w:r>
              <w:rPr>
                <w:rFonts w:hint="default" w:ascii="Times New Roman" w:hAnsi="Times New Roman" w:cs="Times New Roman"/>
                <w:color w:val="auto"/>
                <w:spacing w:val="0"/>
                <w:position w:val="0"/>
                <w:sz w:val="24"/>
                <w:szCs w:val="24"/>
                <w:highlight w:val="none"/>
                <w:lang w:val="en-US" w:eastAsia="zh-CN"/>
              </w:rPr>
              <w:t>295.2</w:t>
            </w:r>
            <w:r>
              <w:rPr>
                <w:rFonts w:hint="default" w:ascii="Times New Roman" w:hAnsi="Times New Roman" w:eastAsia="宋体" w:cs="Times New Roman"/>
                <w:color w:val="auto"/>
                <w:spacing w:val="0"/>
                <w:position w:val="0"/>
                <w:sz w:val="24"/>
                <w:szCs w:val="24"/>
                <w:highlight w:val="none"/>
              </w:rPr>
              <w:t>t/d）可回用，锅炉在运行过程中定期向外排放污水，以保证锅炉运行安全，锅炉污水排放量按蒸发量的3%计算，本项目锅炉蒸发量为1</w:t>
            </w:r>
            <w:r>
              <w:rPr>
                <w:rFonts w:hint="default" w:ascii="Times New Roman" w:hAnsi="Times New Roman" w:cs="Times New Roman"/>
                <w:color w:val="auto"/>
                <w:spacing w:val="0"/>
                <w:position w:val="0"/>
                <w:sz w:val="24"/>
                <w:szCs w:val="24"/>
                <w:highlight w:val="none"/>
                <w:lang w:val="en-US" w:eastAsia="zh-CN"/>
              </w:rPr>
              <w:t>5</w:t>
            </w:r>
            <w:r>
              <w:rPr>
                <w:rFonts w:hint="default" w:ascii="Times New Roman" w:hAnsi="Times New Roman" w:eastAsia="宋体" w:cs="Times New Roman"/>
                <w:color w:val="auto"/>
                <w:spacing w:val="0"/>
                <w:position w:val="0"/>
                <w:sz w:val="24"/>
                <w:szCs w:val="24"/>
                <w:highlight w:val="none"/>
              </w:rPr>
              <w:t>t/h，锅炉污水排放量为0.</w:t>
            </w:r>
            <w:r>
              <w:rPr>
                <w:rFonts w:hint="default" w:ascii="Times New Roman" w:hAnsi="Times New Roman" w:cs="Times New Roman"/>
                <w:color w:val="auto"/>
                <w:spacing w:val="0"/>
                <w:position w:val="0"/>
                <w:sz w:val="24"/>
                <w:szCs w:val="24"/>
                <w:highlight w:val="none"/>
                <w:lang w:val="en-US" w:eastAsia="zh-CN"/>
              </w:rPr>
              <w:t>45</w:t>
            </w:r>
            <w:r>
              <w:rPr>
                <w:rFonts w:hint="default" w:ascii="Times New Roman" w:hAnsi="Times New Roman" w:eastAsia="宋体" w:cs="Times New Roman"/>
                <w:color w:val="auto"/>
                <w:spacing w:val="0"/>
                <w:position w:val="0"/>
                <w:sz w:val="24"/>
                <w:szCs w:val="32"/>
                <w:highlight w:val="none"/>
              </w:rPr>
              <w:t>t</w:t>
            </w:r>
            <w:r>
              <w:rPr>
                <w:rFonts w:hint="default" w:ascii="Times New Roman" w:hAnsi="Times New Roman" w:eastAsia="宋体" w:cs="Times New Roman"/>
                <w:color w:val="auto"/>
                <w:spacing w:val="0"/>
                <w:position w:val="0"/>
                <w:sz w:val="24"/>
                <w:szCs w:val="24"/>
                <w:highlight w:val="none"/>
              </w:rPr>
              <w:t>/h（</w:t>
            </w:r>
            <w:r>
              <w:rPr>
                <w:rFonts w:hint="default" w:ascii="Times New Roman" w:hAnsi="Times New Roman" w:cs="Times New Roman"/>
                <w:color w:val="auto"/>
                <w:spacing w:val="0"/>
                <w:position w:val="0"/>
                <w:sz w:val="24"/>
                <w:szCs w:val="24"/>
                <w:highlight w:val="none"/>
                <w:lang w:val="en-US" w:eastAsia="zh-CN"/>
              </w:rPr>
              <w:t>10.8</w:t>
            </w:r>
            <w:r>
              <w:rPr>
                <w:rFonts w:hint="default" w:ascii="Times New Roman" w:hAnsi="Times New Roman" w:eastAsia="宋体" w:cs="Times New Roman"/>
                <w:color w:val="auto"/>
                <w:spacing w:val="0"/>
                <w:position w:val="0"/>
                <w:sz w:val="24"/>
                <w:szCs w:val="32"/>
                <w:highlight w:val="none"/>
              </w:rPr>
              <w:t>t</w:t>
            </w:r>
            <w:r>
              <w:rPr>
                <w:rFonts w:hint="default" w:ascii="Times New Roman" w:hAnsi="Times New Roman" w:eastAsia="宋体" w:cs="Times New Roman"/>
                <w:color w:val="auto"/>
                <w:spacing w:val="0"/>
                <w:position w:val="0"/>
                <w:sz w:val="24"/>
                <w:szCs w:val="24"/>
                <w:highlight w:val="none"/>
              </w:rPr>
              <w:t>/d）。共需补水量为</w:t>
            </w:r>
            <w:r>
              <w:rPr>
                <w:rFonts w:hint="default" w:ascii="Times New Roman" w:hAnsi="Times New Roman" w:cs="Times New Roman"/>
                <w:color w:val="auto"/>
                <w:spacing w:val="0"/>
                <w:position w:val="0"/>
                <w:sz w:val="24"/>
                <w:szCs w:val="24"/>
                <w:highlight w:val="none"/>
                <w:lang w:val="en-US" w:eastAsia="zh-CN"/>
              </w:rPr>
              <w:t>3.15</w:t>
            </w:r>
            <w:r>
              <w:rPr>
                <w:rFonts w:hint="default" w:ascii="Times New Roman" w:hAnsi="Times New Roman" w:eastAsia="宋体" w:cs="Times New Roman"/>
                <w:color w:val="auto"/>
                <w:spacing w:val="0"/>
                <w:position w:val="0"/>
                <w:sz w:val="24"/>
                <w:szCs w:val="32"/>
                <w:highlight w:val="none"/>
              </w:rPr>
              <w:t>t</w:t>
            </w:r>
            <w:r>
              <w:rPr>
                <w:rFonts w:hint="default" w:ascii="Times New Roman" w:hAnsi="Times New Roman" w:eastAsia="宋体" w:cs="Times New Roman"/>
                <w:color w:val="auto"/>
                <w:spacing w:val="0"/>
                <w:position w:val="0"/>
                <w:sz w:val="24"/>
                <w:szCs w:val="24"/>
                <w:highlight w:val="none"/>
              </w:rPr>
              <w:t>/h（</w:t>
            </w:r>
            <w:r>
              <w:rPr>
                <w:rFonts w:hint="default" w:ascii="Times New Roman" w:hAnsi="Times New Roman" w:cs="Times New Roman"/>
                <w:color w:val="auto"/>
                <w:spacing w:val="0"/>
                <w:position w:val="0"/>
                <w:sz w:val="24"/>
                <w:szCs w:val="24"/>
                <w:highlight w:val="none"/>
                <w:lang w:val="en-US" w:eastAsia="zh-CN"/>
              </w:rPr>
              <w:t>75.6</w:t>
            </w:r>
            <w:r>
              <w:rPr>
                <w:rFonts w:hint="default" w:ascii="Times New Roman" w:hAnsi="Times New Roman" w:eastAsia="宋体" w:cs="Times New Roman"/>
                <w:color w:val="auto"/>
                <w:spacing w:val="0"/>
                <w:position w:val="0"/>
                <w:sz w:val="24"/>
                <w:szCs w:val="32"/>
                <w:highlight w:val="none"/>
              </w:rPr>
              <w:t>t</w:t>
            </w:r>
            <w:r>
              <w:rPr>
                <w:rFonts w:hint="default" w:ascii="Times New Roman" w:hAnsi="Times New Roman" w:eastAsia="宋体" w:cs="Times New Roman"/>
                <w:color w:val="auto"/>
                <w:spacing w:val="0"/>
                <w:position w:val="0"/>
                <w:sz w:val="24"/>
                <w:szCs w:val="24"/>
                <w:highlight w:val="none"/>
              </w:rPr>
              <w:t>/d）。此部分用水均计入锅炉用水，锅炉用水需制备纯水，</w:t>
            </w:r>
            <w:r>
              <w:rPr>
                <w:rFonts w:hint="default" w:ascii="Times New Roman" w:hAnsi="Times New Roman" w:eastAsia="宋体" w:cs="Times New Roman"/>
                <w:color w:val="auto"/>
                <w:spacing w:val="0"/>
                <w:position w:val="0"/>
                <w:sz w:val="24"/>
                <w:szCs w:val="32"/>
                <w:highlight w:val="none"/>
              </w:rPr>
              <w:t>纯水设备出水率75%，则此部分需用新鲜水量为</w:t>
            </w:r>
            <w:r>
              <w:rPr>
                <w:rFonts w:hint="default" w:ascii="Times New Roman" w:hAnsi="Times New Roman" w:cs="Times New Roman"/>
                <w:color w:val="auto"/>
                <w:spacing w:val="0"/>
                <w:position w:val="0"/>
                <w:sz w:val="24"/>
                <w:szCs w:val="32"/>
                <w:highlight w:val="none"/>
                <w:lang w:val="en-US" w:eastAsia="zh-CN"/>
              </w:rPr>
              <w:t>4.2</w:t>
            </w:r>
            <w:r>
              <w:rPr>
                <w:rFonts w:hint="default" w:ascii="Times New Roman" w:hAnsi="Times New Roman" w:eastAsia="宋体" w:cs="Times New Roman"/>
                <w:color w:val="auto"/>
                <w:spacing w:val="0"/>
                <w:position w:val="0"/>
                <w:sz w:val="24"/>
                <w:szCs w:val="32"/>
                <w:highlight w:val="none"/>
              </w:rPr>
              <w:t>t</w:t>
            </w:r>
            <w:r>
              <w:rPr>
                <w:rFonts w:hint="default" w:ascii="Times New Roman" w:hAnsi="Times New Roman" w:eastAsia="宋体" w:cs="Times New Roman"/>
                <w:color w:val="auto"/>
                <w:spacing w:val="0"/>
                <w:position w:val="0"/>
                <w:sz w:val="24"/>
                <w:szCs w:val="24"/>
                <w:highlight w:val="none"/>
              </w:rPr>
              <w:t>/h</w:t>
            </w:r>
            <w:r>
              <w:rPr>
                <w:rFonts w:hint="default" w:ascii="Times New Roman" w:hAnsi="Times New Roman" w:eastAsia="宋体" w:cs="Times New Roman"/>
                <w:color w:val="auto"/>
                <w:spacing w:val="0"/>
                <w:position w:val="0"/>
                <w:sz w:val="24"/>
                <w:szCs w:val="32"/>
                <w:highlight w:val="none"/>
              </w:rPr>
              <w:t>（</w:t>
            </w:r>
            <w:r>
              <w:rPr>
                <w:rFonts w:hint="default" w:ascii="Times New Roman" w:hAnsi="Times New Roman" w:cs="Times New Roman"/>
                <w:color w:val="auto"/>
                <w:spacing w:val="0"/>
                <w:position w:val="0"/>
                <w:sz w:val="24"/>
                <w:szCs w:val="32"/>
                <w:highlight w:val="none"/>
                <w:lang w:val="en-US" w:eastAsia="zh-CN"/>
              </w:rPr>
              <w:t>100.8</w:t>
            </w:r>
            <w:r>
              <w:rPr>
                <w:rFonts w:hint="default" w:ascii="Times New Roman" w:hAnsi="Times New Roman" w:eastAsia="宋体" w:cs="Times New Roman"/>
                <w:color w:val="auto"/>
                <w:spacing w:val="0"/>
                <w:position w:val="0"/>
                <w:sz w:val="24"/>
                <w:szCs w:val="32"/>
                <w:highlight w:val="none"/>
              </w:rPr>
              <w:t>t/d，</w:t>
            </w:r>
            <w:r>
              <w:rPr>
                <w:rFonts w:hint="default" w:ascii="Times New Roman" w:hAnsi="Times New Roman" w:cs="Times New Roman"/>
                <w:color w:val="auto"/>
                <w:spacing w:val="0"/>
                <w:position w:val="0"/>
                <w:sz w:val="24"/>
                <w:szCs w:val="32"/>
                <w:highlight w:val="none"/>
                <w:lang w:val="en-US" w:eastAsia="zh-CN"/>
              </w:rPr>
              <w:t>35280</w:t>
            </w:r>
            <w:r>
              <w:rPr>
                <w:rFonts w:hint="default" w:ascii="Times New Roman" w:hAnsi="Times New Roman" w:eastAsia="宋体" w:cs="Times New Roman"/>
                <w:color w:val="auto"/>
                <w:spacing w:val="0"/>
                <w:position w:val="0"/>
                <w:sz w:val="24"/>
                <w:szCs w:val="32"/>
                <w:highlight w:val="none"/>
              </w:rPr>
              <w:t>t/a）。</w:t>
            </w:r>
          </w:p>
          <w:p w14:paraId="2F3C5EDA">
            <w:pPr>
              <w:keepNext w:val="0"/>
              <w:keepLines w:val="0"/>
              <w:pageBreakBefore w:val="0"/>
              <w:kinsoku/>
              <w:wordWrap/>
              <w:overflowPunct/>
              <w:topLinePunct w:val="0"/>
              <w:autoSpaceDE w:val="0"/>
              <w:autoSpaceDN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32"/>
                <w:highlight w:val="none"/>
                <w:lang w:val="en-US" w:eastAsia="zh-CN"/>
              </w:rPr>
            </w:pPr>
            <w:r>
              <w:rPr>
                <w:rFonts w:hint="default" w:ascii="Times New Roman" w:hAnsi="Times New Roman" w:eastAsia="宋体" w:cs="Times New Roman"/>
                <w:color w:val="auto"/>
                <w:spacing w:val="0"/>
                <w:position w:val="0"/>
                <w:sz w:val="24"/>
                <w:szCs w:val="32"/>
                <w:highlight w:val="none"/>
              </w:rPr>
              <w:fldChar w:fldCharType="begin"/>
            </w:r>
            <w:r>
              <w:rPr>
                <w:rFonts w:hint="default" w:ascii="Times New Roman" w:hAnsi="Times New Roman" w:eastAsia="宋体" w:cs="Times New Roman"/>
                <w:color w:val="auto"/>
                <w:spacing w:val="0"/>
                <w:position w:val="0"/>
                <w:sz w:val="24"/>
                <w:szCs w:val="32"/>
                <w:highlight w:val="none"/>
              </w:rPr>
              <w:instrText xml:space="preserve"> = 2 \* GB3 \* MERGEFORMAT </w:instrText>
            </w:r>
            <w:r>
              <w:rPr>
                <w:rFonts w:hint="default" w:ascii="Times New Roman" w:hAnsi="Times New Roman" w:eastAsia="宋体" w:cs="Times New Roman"/>
                <w:color w:val="auto"/>
                <w:spacing w:val="0"/>
                <w:position w:val="0"/>
                <w:sz w:val="24"/>
                <w:szCs w:val="32"/>
                <w:highlight w:val="none"/>
              </w:rPr>
              <w:fldChar w:fldCharType="separate"/>
            </w:r>
            <w:r>
              <w:rPr>
                <w:rFonts w:hint="default" w:ascii="Times New Roman" w:hAnsi="Times New Roman" w:eastAsia="宋体" w:cs="Times New Roman"/>
                <w:color w:val="auto"/>
                <w:spacing w:val="0"/>
                <w:position w:val="0"/>
                <w:sz w:val="24"/>
                <w:szCs w:val="32"/>
                <w:highlight w:val="none"/>
              </w:rPr>
              <w:t>②</w:t>
            </w:r>
            <w:r>
              <w:rPr>
                <w:rFonts w:hint="default" w:ascii="Times New Roman" w:hAnsi="Times New Roman" w:eastAsia="宋体" w:cs="Times New Roman"/>
                <w:color w:val="auto"/>
                <w:spacing w:val="0"/>
                <w:position w:val="0"/>
                <w:sz w:val="24"/>
                <w:szCs w:val="32"/>
                <w:highlight w:val="none"/>
              </w:rPr>
              <w:fldChar w:fldCharType="end"/>
            </w:r>
            <w:r>
              <w:rPr>
                <w:rFonts w:hint="default" w:ascii="Times New Roman" w:hAnsi="Times New Roman" w:cs="Times New Roman"/>
                <w:color w:val="auto"/>
                <w:spacing w:val="0"/>
                <w:position w:val="0"/>
                <w:sz w:val="24"/>
                <w:szCs w:val="32"/>
                <w:highlight w:val="none"/>
                <w:lang w:val="en-US" w:eastAsia="zh-CN"/>
              </w:rPr>
              <w:t>水化碱炼用水</w:t>
            </w:r>
          </w:p>
          <w:p w14:paraId="38735C40">
            <w:pPr>
              <w:keepNext w:val="0"/>
              <w:keepLines w:val="0"/>
              <w:pageBreakBefore w:val="0"/>
              <w:kinsoku/>
              <w:wordWrap/>
              <w:overflowPunct/>
              <w:topLinePunct w:val="0"/>
              <w:autoSpaceDE w:val="0"/>
              <w:autoSpaceDN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32"/>
                <w:highlight w:val="none"/>
                <w:lang w:val="en-US" w:eastAsia="zh-CN"/>
              </w:rPr>
            </w:pPr>
            <w:r>
              <w:rPr>
                <w:rFonts w:hint="default" w:ascii="Times New Roman" w:hAnsi="Times New Roman" w:cs="Times New Roman"/>
                <w:color w:val="auto"/>
                <w:spacing w:val="0"/>
                <w:position w:val="0"/>
                <w:sz w:val="24"/>
                <w:szCs w:val="32"/>
                <w:highlight w:val="none"/>
                <w:lang w:val="en-US" w:eastAsia="zh-CN"/>
              </w:rPr>
              <w:t>本项目大豆油精炼过程需要将一定的热水加入毛油中进行水化碱炼，此部分用水量为</w:t>
            </w:r>
            <w:r>
              <w:rPr>
                <w:rFonts w:hint="default" w:ascii="Times New Roman" w:hAnsi="Times New Roman" w:cs="Times New Roman"/>
                <w:color w:val="auto"/>
                <w:spacing w:val="0"/>
                <w:position w:val="0"/>
                <w:sz w:val="24"/>
                <w:szCs w:val="24"/>
                <w:highlight w:val="none"/>
                <w:lang w:val="en-US" w:eastAsia="zh-CN"/>
              </w:rPr>
              <w:t>0.09</w:t>
            </w:r>
            <w:r>
              <w:rPr>
                <w:rFonts w:hint="default" w:ascii="Times New Roman" w:hAnsi="Times New Roman" w:eastAsia="宋体" w:cs="Times New Roman"/>
                <w:color w:val="auto"/>
                <w:spacing w:val="0"/>
                <w:position w:val="0"/>
                <w:sz w:val="24"/>
                <w:szCs w:val="32"/>
                <w:highlight w:val="none"/>
              </w:rPr>
              <w:t>t</w:t>
            </w:r>
            <w:r>
              <w:rPr>
                <w:rFonts w:hint="default" w:ascii="Times New Roman" w:hAnsi="Times New Roman" w:eastAsia="宋体" w:cs="Times New Roman"/>
                <w:color w:val="auto"/>
                <w:spacing w:val="0"/>
                <w:position w:val="0"/>
                <w:sz w:val="24"/>
                <w:szCs w:val="24"/>
                <w:highlight w:val="none"/>
              </w:rPr>
              <w:t>/h（</w:t>
            </w:r>
            <w:r>
              <w:rPr>
                <w:rFonts w:hint="default" w:ascii="Times New Roman" w:hAnsi="Times New Roman" w:cs="Times New Roman"/>
                <w:color w:val="auto"/>
                <w:spacing w:val="0"/>
                <w:position w:val="0"/>
                <w:sz w:val="24"/>
                <w:szCs w:val="32"/>
                <w:highlight w:val="none"/>
                <w:lang w:val="en-US" w:eastAsia="zh-CN"/>
              </w:rPr>
              <w:t>2.16t/d</w:t>
            </w:r>
            <w:r>
              <w:rPr>
                <w:rFonts w:hint="default" w:ascii="Times New Roman" w:hAnsi="Times New Roman" w:eastAsia="宋体" w:cs="Times New Roman"/>
                <w:color w:val="auto"/>
                <w:spacing w:val="0"/>
                <w:position w:val="0"/>
                <w:sz w:val="24"/>
                <w:szCs w:val="24"/>
                <w:highlight w:val="none"/>
              </w:rPr>
              <w:t>）</w:t>
            </w:r>
            <w:r>
              <w:rPr>
                <w:rFonts w:hint="default" w:ascii="Times New Roman" w:hAnsi="Times New Roman" w:cs="Times New Roman"/>
                <w:color w:val="auto"/>
                <w:spacing w:val="0"/>
                <w:position w:val="0"/>
                <w:sz w:val="24"/>
                <w:szCs w:val="32"/>
                <w:highlight w:val="none"/>
                <w:lang w:val="en-US" w:eastAsia="zh-CN"/>
              </w:rPr>
              <w:t>，水化碱炼用水需用纯水，则此部分需用新鲜水量为0.12</w:t>
            </w:r>
            <w:r>
              <w:rPr>
                <w:rFonts w:hint="default" w:ascii="Times New Roman" w:hAnsi="Times New Roman" w:eastAsia="宋体" w:cs="Times New Roman"/>
                <w:color w:val="auto"/>
                <w:spacing w:val="0"/>
                <w:position w:val="0"/>
                <w:sz w:val="24"/>
                <w:szCs w:val="32"/>
                <w:highlight w:val="none"/>
              </w:rPr>
              <w:t>t</w:t>
            </w:r>
            <w:r>
              <w:rPr>
                <w:rFonts w:hint="default" w:ascii="Times New Roman" w:hAnsi="Times New Roman" w:eastAsia="宋体" w:cs="Times New Roman"/>
                <w:color w:val="auto"/>
                <w:spacing w:val="0"/>
                <w:position w:val="0"/>
                <w:sz w:val="24"/>
                <w:szCs w:val="24"/>
                <w:highlight w:val="none"/>
              </w:rPr>
              <w:t>/h</w:t>
            </w:r>
            <w:r>
              <w:rPr>
                <w:rFonts w:hint="default" w:ascii="Times New Roman" w:hAnsi="Times New Roman" w:cs="Times New Roman"/>
                <w:color w:val="auto"/>
                <w:spacing w:val="0"/>
                <w:position w:val="0"/>
                <w:sz w:val="24"/>
                <w:szCs w:val="32"/>
                <w:highlight w:val="none"/>
                <w:lang w:val="en-US" w:eastAsia="zh-CN"/>
              </w:rPr>
              <w:t>（2.88t/d，1008t/a）。</w:t>
            </w:r>
          </w:p>
          <w:p w14:paraId="0D165EB3">
            <w:pPr>
              <w:keepNext w:val="0"/>
              <w:keepLines w:val="0"/>
              <w:pageBreakBefore w:val="0"/>
              <w:kinsoku/>
              <w:wordWrap/>
              <w:overflowPunct/>
              <w:topLinePunct w:val="0"/>
              <w:autoSpaceDE w:val="0"/>
              <w:autoSpaceDN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cs="Times New Roman"/>
                <w:color w:val="auto"/>
                <w:spacing w:val="0"/>
                <w:position w:val="0"/>
                <w:sz w:val="24"/>
                <w:szCs w:val="32"/>
                <w:highlight w:val="none"/>
                <w:lang w:val="en-US" w:eastAsia="zh-CN"/>
              </w:rPr>
              <w:t>③</w:t>
            </w:r>
            <w:r>
              <w:rPr>
                <w:rFonts w:hint="default" w:ascii="Times New Roman" w:hAnsi="Times New Roman" w:eastAsia="宋体" w:cs="Times New Roman"/>
                <w:color w:val="auto"/>
                <w:spacing w:val="0"/>
                <w:position w:val="0"/>
                <w:sz w:val="24"/>
                <w:szCs w:val="32"/>
                <w:highlight w:val="none"/>
              </w:rPr>
              <w:t>冷却塔补水</w:t>
            </w:r>
            <w:r>
              <w:rPr>
                <w:rFonts w:hint="default" w:ascii="Times New Roman" w:hAnsi="Times New Roman" w:eastAsia="宋体" w:cs="Times New Roman"/>
                <w:color w:val="auto"/>
                <w:spacing w:val="0"/>
                <w:position w:val="0"/>
                <w:sz w:val="24"/>
                <w:szCs w:val="32"/>
                <w:highlight w:val="none"/>
              </w:rPr>
              <w:br w:type="textWrapping"/>
            </w:r>
            <w:r>
              <w:rPr>
                <w:rFonts w:hint="default" w:ascii="Times New Roman" w:hAnsi="Times New Roman" w:eastAsia="宋体" w:cs="Times New Roman"/>
                <w:color w:val="auto"/>
                <w:spacing w:val="0"/>
                <w:position w:val="0"/>
                <w:sz w:val="24"/>
                <w:szCs w:val="32"/>
                <w:highlight w:val="none"/>
              </w:rPr>
              <w:t xml:space="preserve">    项目浸出车间生产设</w:t>
            </w:r>
            <w:r>
              <w:rPr>
                <w:rFonts w:hint="default" w:ascii="Times New Roman" w:hAnsi="Times New Roman" w:cs="Times New Roman"/>
                <w:color w:val="auto"/>
                <w:spacing w:val="0"/>
                <w:position w:val="0"/>
                <w:sz w:val="24"/>
                <w:szCs w:val="32"/>
                <w:highlight w:val="none"/>
                <w:lang w:val="en-US" w:eastAsia="zh-CN"/>
              </w:rPr>
              <w:t>2</w:t>
            </w:r>
            <w:r>
              <w:rPr>
                <w:rFonts w:hint="default" w:ascii="Times New Roman" w:hAnsi="Times New Roman" w:eastAsia="宋体" w:cs="Times New Roman"/>
                <w:color w:val="auto"/>
                <w:spacing w:val="0"/>
                <w:position w:val="0"/>
                <w:sz w:val="24"/>
                <w:szCs w:val="32"/>
                <w:highlight w:val="none"/>
              </w:rPr>
              <w:t>套冷却塔，循环最大水量为</w:t>
            </w:r>
            <w:r>
              <w:rPr>
                <w:rFonts w:hint="default" w:ascii="Times New Roman" w:hAnsi="Times New Roman" w:cs="Times New Roman"/>
                <w:color w:val="auto"/>
                <w:spacing w:val="0"/>
                <w:position w:val="0"/>
                <w:sz w:val="24"/>
                <w:szCs w:val="32"/>
                <w:highlight w:val="none"/>
                <w:lang w:val="en-US" w:eastAsia="zh-CN"/>
              </w:rPr>
              <w:t>10</w:t>
            </w:r>
            <w:r>
              <w:rPr>
                <w:rFonts w:hint="default" w:ascii="Times New Roman" w:hAnsi="Times New Roman" w:eastAsia="宋体" w:cs="Times New Roman"/>
                <w:color w:val="auto"/>
                <w:spacing w:val="0"/>
                <w:position w:val="0"/>
                <w:sz w:val="24"/>
                <w:szCs w:val="32"/>
                <w:highlight w:val="none"/>
              </w:rPr>
              <w:t>00t/h，水由循环水泵自冷却塔塔下水池吸水加压后进入循环冷却给水管，用于工艺的间接冷却。循环冷却回水则通过循环冷却回水管返回循环水站，经冷却水塔的配水系统均匀分布后，在冷却塔内自上而下进行汽水换热降温，冷却后进入塔下水池，再经循环水泵加压供出。如此循环往复。</w:t>
            </w:r>
          </w:p>
          <w:p w14:paraId="1D4CAC3F">
            <w:pPr>
              <w:keepNext w:val="0"/>
              <w:keepLines w:val="0"/>
              <w:pageBreakBefore w:val="0"/>
              <w:kinsoku/>
              <w:wordWrap/>
              <w:overflowPunct/>
              <w:topLinePunct w:val="0"/>
              <w:autoSpaceDE w:val="0"/>
              <w:autoSpaceDN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32"/>
                <w:highlight w:val="none"/>
              </w:rPr>
              <w:t>循环过程中由于蒸发过程不断进行，使循环水中的含盐量越来越高，必须排掉一部分含盐高的水，补充低含盐量的新鲜水，以维持循环水的水质稳定。参考《循环冷却水的浓缩倍数》（赵薇，曹培华）中给出的损耗水量、排污水量系数，再结合浸出车间冷冻机用冷却水回水水温相对较低，本项目损耗水量按循环水量的0.9%计算，则项目损耗水量为</w:t>
            </w:r>
            <w:r>
              <w:rPr>
                <w:rFonts w:hint="default" w:ascii="Times New Roman" w:hAnsi="Times New Roman" w:cs="Times New Roman"/>
                <w:color w:val="auto"/>
                <w:spacing w:val="0"/>
                <w:position w:val="0"/>
                <w:sz w:val="24"/>
                <w:szCs w:val="32"/>
                <w:highlight w:val="none"/>
                <w:lang w:val="en-US" w:eastAsia="zh-CN"/>
              </w:rPr>
              <w:t>9</w:t>
            </w:r>
            <w:r>
              <w:rPr>
                <w:rFonts w:hint="default" w:ascii="Times New Roman" w:hAnsi="Times New Roman" w:eastAsia="宋体" w:cs="Times New Roman"/>
                <w:color w:val="auto"/>
                <w:spacing w:val="0"/>
                <w:position w:val="0"/>
                <w:sz w:val="24"/>
                <w:szCs w:val="32"/>
                <w:highlight w:val="none"/>
              </w:rPr>
              <w:t>t/h（</w:t>
            </w:r>
            <w:r>
              <w:rPr>
                <w:rFonts w:hint="default" w:ascii="Times New Roman" w:hAnsi="Times New Roman" w:cs="Times New Roman"/>
                <w:color w:val="auto"/>
                <w:spacing w:val="0"/>
                <w:position w:val="0"/>
                <w:sz w:val="24"/>
                <w:szCs w:val="32"/>
                <w:highlight w:val="none"/>
                <w:lang w:val="en-US" w:eastAsia="zh-CN"/>
              </w:rPr>
              <w:t>216</w:t>
            </w:r>
            <w:r>
              <w:rPr>
                <w:rFonts w:hint="default" w:ascii="Times New Roman" w:hAnsi="Times New Roman" w:eastAsia="宋体" w:cs="Times New Roman"/>
                <w:color w:val="auto"/>
                <w:spacing w:val="0"/>
                <w:position w:val="0"/>
                <w:sz w:val="24"/>
                <w:szCs w:val="32"/>
                <w:highlight w:val="none"/>
              </w:rPr>
              <w:t>t/d）；排污水量按循环水量的0.15%计算，则项目外排冷却水产生量约为</w:t>
            </w:r>
            <w:r>
              <w:rPr>
                <w:rFonts w:hint="default" w:ascii="Times New Roman" w:hAnsi="Times New Roman" w:cs="Times New Roman"/>
                <w:color w:val="auto"/>
                <w:spacing w:val="0"/>
                <w:position w:val="0"/>
                <w:sz w:val="24"/>
                <w:szCs w:val="32"/>
                <w:highlight w:val="none"/>
                <w:lang w:val="en-US" w:eastAsia="zh-CN"/>
              </w:rPr>
              <w:t>1.5</w:t>
            </w:r>
            <w:r>
              <w:rPr>
                <w:rFonts w:hint="default" w:ascii="Times New Roman" w:hAnsi="Times New Roman" w:eastAsia="宋体" w:cs="Times New Roman"/>
                <w:color w:val="auto"/>
                <w:spacing w:val="0"/>
                <w:position w:val="0"/>
                <w:sz w:val="24"/>
                <w:szCs w:val="32"/>
                <w:highlight w:val="none"/>
              </w:rPr>
              <w:t>t/h（</w:t>
            </w:r>
            <w:r>
              <w:rPr>
                <w:rFonts w:hint="default" w:ascii="Times New Roman" w:hAnsi="Times New Roman" w:cs="Times New Roman"/>
                <w:color w:val="auto"/>
                <w:spacing w:val="0"/>
                <w:position w:val="0"/>
                <w:sz w:val="24"/>
                <w:szCs w:val="32"/>
                <w:highlight w:val="none"/>
                <w:lang w:val="en-US" w:eastAsia="zh-CN"/>
              </w:rPr>
              <w:t>36</w:t>
            </w:r>
            <w:r>
              <w:rPr>
                <w:rFonts w:hint="default" w:ascii="Times New Roman" w:hAnsi="Times New Roman" w:eastAsia="宋体" w:cs="Times New Roman"/>
                <w:color w:val="auto"/>
                <w:spacing w:val="0"/>
                <w:position w:val="0"/>
                <w:sz w:val="24"/>
                <w:szCs w:val="32"/>
                <w:highlight w:val="none"/>
              </w:rPr>
              <w:t>t/d），则项目冷却塔补充水量为</w:t>
            </w:r>
            <w:r>
              <w:rPr>
                <w:rFonts w:hint="default" w:ascii="Times New Roman" w:hAnsi="Times New Roman" w:cs="Times New Roman"/>
                <w:color w:val="auto"/>
                <w:spacing w:val="0"/>
                <w:position w:val="0"/>
                <w:sz w:val="24"/>
                <w:szCs w:val="32"/>
                <w:highlight w:val="none"/>
                <w:lang w:val="en-US" w:eastAsia="zh-CN"/>
              </w:rPr>
              <w:t>10.5</w:t>
            </w:r>
            <w:r>
              <w:rPr>
                <w:rFonts w:hint="default" w:ascii="Times New Roman" w:hAnsi="Times New Roman" w:eastAsia="宋体" w:cs="Times New Roman"/>
                <w:color w:val="auto"/>
                <w:spacing w:val="0"/>
                <w:position w:val="0"/>
                <w:sz w:val="24"/>
                <w:szCs w:val="32"/>
                <w:highlight w:val="none"/>
              </w:rPr>
              <w:t>t/h（</w:t>
            </w:r>
            <w:r>
              <w:rPr>
                <w:rFonts w:hint="default" w:ascii="Times New Roman" w:hAnsi="Times New Roman" w:cs="Times New Roman"/>
                <w:color w:val="auto"/>
                <w:spacing w:val="0"/>
                <w:position w:val="0"/>
                <w:sz w:val="24"/>
                <w:szCs w:val="32"/>
                <w:highlight w:val="none"/>
                <w:lang w:val="en-US" w:eastAsia="zh-CN"/>
              </w:rPr>
              <w:t>252</w:t>
            </w:r>
            <w:r>
              <w:rPr>
                <w:rFonts w:hint="default" w:ascii="Times New Roman" w:hAnsi="Times New Roman" w:eastAsia="宋体" w:cs="Times New Roman"/>
                <w:color w:val="auto"/>
                <w:spacing w:val="0"/>
                <w:position w:val="0"/>
                <w:sz w:val="24"/>
                <w:szCs w:val="32"/>
                <w:highlight w:val="none"/>
              </w:rPr>
              <w:t>t/d，</w:t>
            </w:r>
            <w:r>
              <w:rPr>
                <w:rFonts w:hint="default" w:ascii="Times New Roman" w:hAnsi="Times New Roman" w:cs="Times New Roman"/>
                <w:color w:val="auto"/>
                <w:spacing w:val="0"/>
                <w:position w:val="0"/>
                <w:sz w:val="24"/>
                <w:szCs w:val="32"/>
                <w:highlight w:val="none"/>
                <w:lang w:val="en-US" w:eastAsia="zh-CN"/>
              </w:rPr>
              <w:t>88200</w:t>
            </w:r>
            <w:r>
              <w:rPr>
                <w:rFonts w:hint="default" w:ascii="Times New Roman" w:hAnsi="Times New Roman" w:eastAsia="宋体" w:cs="Times New Roman"/>
                <w:color w:val="auto"/>
                <w:spacing w:val="0"/>
                <w:position w:val="0"/>
                <w:sz w:val="24"/>
                <w:szCs w:val="32"/>
                <w:highlight w:val="none"/>
              </w:rPr>
              <w:t>t/a）。</w:t>
            </w:r>
          </w:p>
          <w:p w14:paraId="521B4690">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720" w:firstLineChars="3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2、排水</w:t>
            </w:r>
          </w:p>
          <w:p w14:paraId="1B2E0FD8">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1</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生活污水</w:t>
            </w:r>
          </w:p>
          <w:p w14:paraId="0A29B609">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生活污水排水量按照用水量的80%计算，则污水排水量为</w:t>
            </w:r>
            <w:r>
              <w:rPr>
                <w:rFonts w:hint="default" w:ascii="Times New Roman" w:hAnsi="Times New Roman" w:cs="Times New Roman"/>
                <w:color w:val="auto"/>
                <w:spacing w:val="0"/>
                <w:position w:val="0"/>
                <w:sz w:val="24"/>
                <w:szCs w:val="24"/>
                <w:highlight w:val="none"/>
                <w:lang w:val="en-US" w:eastAsia="zh-CN"/>
              </w:rPr>
              <w:t>1.28</w:t>
            </w:r>
            <w:r>
              <w:rPr>
                <w:rFonts w:hint="default" w:ascii="Times New Roman" w:hAnsi="Times New Roman" w:eastAsia="宋体" w:cs="Times New Roman"/>
                <w:color w:val="auto"/>
                <w:spacing w:val="0"/>
                <w:position w:val="0"/>
                <w:sz w:val="24"/>
                <w:szCs w:val="24"/>
                <w:highlight w:val="none"/>
              </w:rPr>
              <w:t>t/d，</w:t>
            </w:r>
            <w:r>
              <w:rPr>
                <w:rFonts w:hint="default" w:ascii="Times New Roman" w:hAnsi="Times New Roman" w:cs="Times New Roman"/>
                <w:color w:val="auto"/>
                <w:spacing w:val="0"/>
                <w:position w:val="0"/>
                <w:sz w:val="24"/>
                <w:szCs w:val="24"/>
                <w:highlight w:val="none"/>
                <w:lang w:val="en-US" w:eastAsia="zh-CN"/>
              </w:rPr>
              <w:t>448</w:t>
            </w:r>
            <w:r>
              <w:rPr>
                <w:rFonts w:hint="default" w:ascii="Times New Roman" w:hAnsi="Times New Roman" w:eastAsia="宋体" w:cs="Times New Roman"/>
                <w:color w:val="auto"/>
                <w:spacing w:val="0"/>
                <w:position w:val="0"/>
                <w:sz w:val="24"/>
                <w:szCs w:val="24"/>
                <w:highlight w:val="none"/>
              </w:rPr>
              <w:t>t/a。生活污水经市政管网排入</w:t>
            </w:r>
            <w:r>
              <w:rPr>
                <w:rFonts w:hint="default" w:ascii="Times New Roman" w:hAnsi="Times New Roman" w:cs="Times New Roman"/>
                <w:color w:val="auto"/>
                <w:spacing w:val="0"/>
                <w:position w:val="0"/>
                <w:sz w:val="24"/>
                <w:szCs w:val="24"/>
                <w:highlight w:val="none"/>
                <w:lang w:eastAsia="zh-CN"/>
              </w:rPr>
              <w:t>桦川县污水处理厂</w:t>
            </w:r>
            <w:r>
              <w:rPr>
                <w:rFonts w:hint="default" w:ascii="Times New Roman" w:hAnsi="Times New Roman" w:eastAsia="宋体" w:cs="Times New Roman"/>
                <w:color w:val="auto"/>
                <w:spacing w:val="0"/>
                <w:position w:val="0"/>
                <w:sz w:val="24"/>
                <w:szCs w:val="24"/>
                <w:highlight w:val="none"/>
              </w:rPr>
              <w:t>处理。</w:t>
            </w:r>
          </w:p>
          <w:p w14:paraId="430620EE">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2</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生产废水</w:t>
            </w:r>
          </w:p>
          <w:p w14:paraId="1F4C795E">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①</w:t>
            </w:r>
            <w:r>
              <w:rPr>
                <w:rFonts w:hint="default" w:ascii="Times New Roman" w:hAnsi="Times New Roman" w:eastAsia="宋体" w:cs="Times New Roman"/>
                <w:color w:val="auto"/>
                <w:spacing w:val="0"/>
                <w:position w:val="0"/>
                <w:sz w:val="24"/>
                <w:szCs w:val="24"/>
                <w:highlight w:val="none"/>
              </w:rPr>
              <w:t>浸出车间废水</w:t>
            </w:r>
          </w:p>
          <w:p w14:paraId="1132EA34">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浸出车间废水产生量根据《排放源统计调查产排污核算方法和系数手册》中1331食用植物油加工行业系数表（续7），大豆浸出工艺，规模等级所有规模，工业废水量产污系数0.12吨/吨-原料，本项目年用米糠100000t，则浸出车间废水量为34.286t/d，12000t/a。</w:t>
            </w:r>
          </w:p>
          <w:p w14:paraId="14156FB3">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②精炼车间废水</w:t>
            </w:r>
          </w:p>
          <w:p w14:paraId="1E98E999">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精炼车间废水产生量根据《排放源统计调查产排污核算方法和系数手册》中1331食用植物油加工行业系数表（续6），毛油精炼工艺，规模等级&lt;500吨-原料/天，工业废水量产污系数0.16吨/吨-原料，本项目年用大豆毛油4500t，则精炼车间废水量为2.057t/d，720t/a。</w:t>
            </w:r>
          </w:p>
          <w:p w14:paraId="6D1EA15F">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③</w:t>
            </w:r>
            <w:r>
              <w:rPr>
                <w:rFonts w:hint="default" w:ascii="Times New Roman" w:hAnsi="Times New Roman" w:eastAsia="宋体" w:cs="Times New Roman"/>
                <w:color w:val="auto"/>
                <w:spacing w:val="0"/>
                <w:position w:val="0"/>
                <w:sz w:val="24"/>
                <w:szCs w:val="24"/>
                <w:highlight w:val="none"/>
              </w:rPr>
              <w:t>纯水制备产生浓水</w:t>
            </w:r>
          </w:p>
          <w:p w14:paraId="0E846DBA">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val="en-US" w:eastAsia="zh-CN"/>
              </w:rPr>
              <w:t>项目配置一台10t/h的纯水制备机，纯水制备工艺为</w:t>
            </w:r>
            <w:r>
              <w:rPr>
                <w:rFonts w:hint="default" w:ascii="Times New Roman" w:hAnsi="Times New Roman" w:eastAsia="宋体" w:cs="Times New Roman"/>
                <w:i w:val="0"/>
                <w:iCs w:val="0"/>
                <w:caps w:val="0"/>
                <w:color w:val="auto"/>
                <w:spacing w:val="0"/>
                <w:position w:val="0"/>
                <w:sz w:val="24"/>
                <w:szCs w:val="24"/>
                <w:highlight w:val="none"/>
                <w:shd w:val="clear" w:color="auto" w:fill="FFFFFF"/>
              </w:rPr>
              <w:t>离子交换法</w:t>
            </w:r>
            <w:r>
              <w:rPr>
                <w:rFonts w:hint="default" w:ascii="Times New Roman" w:hAnsi="Times New Roman" w:eastAsia="宋体" w:cs="Times New Roman"/>
                <w:i w:val="0"/>
                <w:iCs w:val="0"/>
                <w:caps w:val="0"/>
                <w:color w:val="auto"/>
                <w:spacing w:val="0"/>
                <w:position w:val="0"/>
                <w:sz w:val="24"/>
                <w:szCs w:val="24"/>
                <w:highlight w:val="none"/>
                <w:shd w:val="clear" w:color="auto" w:fill="FFFFFF"/>
                <w:lang w:eastAsia="zh-CN"/>
              </w:rPr>
              <w:t>。</w:t>
            </w:r>
            <w:r>
              <w:rPr>
                <w:rFonts w:hint="default" w:ascii="Times New Roman" w:hAnsi="Times New Roman" w:eastAsia="宋体" w:cs="Times New Roman"/>
                <w:color w:val="auto"/>
                <w:spacing w:val="0"/>
                <w:position w:val="0"/>
                <w:sz w:val="24"/>
                <w:szCs w:val="24"/>
                <w:highlight w:val="none"/>
              </w:rPr>
              <w:t>本项目纯水制备系统排水量</w:t>
            </w:r>
            <w:r>
              <w:rPr>
                <w:rFonts w:hint="default" w:ascii="Times New Roman" w:hAnsi="Times New Roman" w:cs="Times New Roman"/>
                <w:color w:val="auto"/>
                <w:spacing w:val="0"/>
                <w:position w:val="0"/>
                <w:sz w:val="24"/>
                <w:szCs w:val="24"/>
                <w:highlight w:val="none"/>
                <w:lang w:val="en-US" w:eastAsia="zh-CN"/>
              </w:rPr>
              <w:t>1.08</w:t>
            </w:r>
            <w:r>
              <w:rPr>
                <w:rFonts w:hint="default" w:ascii="Times New Roman" w:hAnsi="Times New Roman" w:eastAsia="宋体" w:cs="Times New Roman"/>
                <w:color w:val="auto"/>
                <w:spacing w:val="0"/>
                <w:position w:val="0"/>
                <w:sz w:val="24"/>
                <w:szCs w:val="24"/>
                <w:highlight w:val="none"/>
              </w:rPr>
              <w:t>t/h（2</w:t>
            </w:r>
            <w:r>
              <w:rPr>
                <w:rFonts w:hint="default" w:ascii="Times New Roman" w:hAnsi="Times New Roman" w:cs="Times New Roman"/>
                <w:color w:val="auto"/>
                <w:spacing w:val="0"/>
                <w:position w:val="0"/>
                <w:sz w:val="24"/>
                <w:szCs w:val="24"/>
                <w:highlight w:val="none"/>
                <w:lang w:val="en-US" w:eastAsia="zh-CN"/>
              </w:rPr>
              <w:t>5.92</w:t>
            </w:r>
            <w:r>
              <w:rPr>
                <w:rFonts w:hint="default" w:ascii="Times New Roman" w:hAnsi="Times New Roman" w:eastAsia="宋体" w:cs="Times New Roman"/>
                <w:color w:val="auto"/>
                <w:spacing w:val="0"/>
                <w:position w:val="0"/>
                <w:sz w:val="24"/>
                <w:szCs w:val="24"/>
                <w:highlight w:val="none"/>
              </w:rPr>
              <w:t>t/d，</w:t>
            </w:r>
            <w:r>
              <w:rPr>
                <w:rFonts w:hint="default" w:ascii="Times New Roman" w:hAnsi="Times New Roman" w:cs="Times New Roman"/>
                <w:color w:val="auto"/>
                <w:spacing w:val="0"/>
                <w:position w:val="0"/>
                <w:sz w:val="24"/>
                <w:szCs w:val="24"/>
                <w:highlight w:val="none"/>
                <w:lang w:val="en-US" w:eastAsia="zh-CN"/>
              </w:rPr>
              <w:t>9072</w:t>
            </w:r>
            <w:r>
              <w:rPr>
                <w:rFonts w:hint="default" w:ascii="Times New Roman" w:hAnsi="Times New Roman" w:eastAsia="宋体" w:cs="Times New Roman"/>
                <w:color w:val="auto"/>
                <w:spacing w:val="0"/>
                <w:position w:val="0"/>
                <w:sz w:val="24"/>
                <w:szCs w:val="24"/>
                <w:highlight w:val="none"/>
              </w:rPr>
              <w:t>t/a），此部分废水经市政管网排入</w:t>
            </w:r>
            <w:r>
              <w:rPr>
                <w:rFonts w:hint="default" w:ascii="Times New Roman" w:hAnsi="Times New Roman" w:cs="Times New Roman"/>
                <w:color w:val="auto"/>
                <w:spacing w:val="0"/>
                <w:position w:val="0"/>
                <w:sz w:val="24"/>
                <w:szCs w:val="24"/>
                <w:highlight w:val="none"/>
                <w:lang w:eastAsia="zh-CN"/>
              </w:rPr>
              <w:t>桦川县污水处理厂</w:t>
            </w:r>
            <w:r>
              <w:rPr>
                <w:rFonts w:hint="default" w:ascii="Times New Roman" w:hAnsi="Times New Roman" w:eastAsia="宋体" w:cs="Times New Roman"/>
                <w:color w:val="auto"/>
                <w:spacing w:val="0"/>
                <w:position w:val="0"/>
                <w:sz w:val="24"/>
                <w:szCs w:val="24"/>
                <w:highlight w:val="none"/>
              </w:rPr>
              <w:t>处理。</w:t>
            </w:r>
          </w:p>
          <w:p w14:paraId="36BD371C">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④</w:t>
            </w:r>
            <w:r>
              <w:rPr>
                <w:rFonts w:hint="default" w:ascii="Times New Roman" w:hAnsi="Times New Roman" w:eastAsia="宋体" w:cs="Times New Roman"/>
                <w:color w:val="auto"/>
                <w:spacing w:val="0"/>
                <w:position w:val="0"/>
                <w:sz w:val="24"/>
                <w:szCs w:val="24"/>
                <w:highlight w:val="none"/>
              </w:rPr>
              <w:t>锅炉定排污水</w:t>
            </w:r>
          </w:p>
          <w:p w14:paraId="529E8377">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本项目锅炉污水排放量为0.</w:t>
            </w:r>
            <w:r>
              <w:rPr>
                <w:rFonts w:hint="default" w:ascii="Times New Roman" w:hAnsi="Times New Roman" w:cs="Times New Roman"/>
                <w:color w:val="auto"/>
                <w:spacing w:val="0"/>
                <w:position w:val="0"/>
                <w:sz w:val="24"/>
                <w:szCs w:val="24"/>
                <w:highlight w:val="none"/>
                <w:lang w:val="en-US" w:eastAsia="zh-CN"/>
              </w:rPr>
              <w:t>45</w:t>
            </w:r>
            <w:r>
              <w:rPr>
                <w:rFonts w:hint="default" w:ascii="Times New Roman" w:hAnsi="Times New Roman" w:eastAsia="宋体" w:cs="Times New Roman"/>
                <w:color w:val="auto"/>
                <w:spacing w:val="0"/>
                <w:position w:val="0"/>
                <w:sz w:val="24"/>
                <w:szCs w:val="32"/>
                <w:highlight w:val="none"/>
              </w:rPr>
              <w:t>t</w:t>
            </w:r>
            <w:r>
              <w:rPr>
                <w:rFonts w:hint="default" w:ascii="Times New Roman" w:hAnsi="Times New Roman" w:eastAsia="宋体" w:cs="Times New Roman"/>
                <w:color w:val="auto"/>
                <w:spacing w:val="0"/>
                <w:position w:val="0"/>
                <w:sz w:val="24"/>
                <w:szCs w:val="24"/>
                <w:highlight w:val="none"/>
              </w:rPr>
              <w:t>/h（</w:t>
            </w:r>
            <w:r>
              <w:rPr>
                <w:rFonts w:hint="default" w:ascii="Times New Roman" w:hAnsi="Times New Roman" w:cs="Times New Roman"/>
                <w:color w:val="auto"/>
                <w:spacing w:val="0"/>
                <w:position w:val="0"/>
                <w:sz w:val="24"/>
                <w:szCs w:val="24"/>
                <w:highlight w:val="none"/>
                <w:lang w:val="en-US" w:eastAsia="zh-CN"/>
              </w:rPr>
              <w:t>10.8</w:t>
            </w:r>
            <w:r>
              <w:rPr>
                <w:rFonts w:hint="default" w:ascii="Times New Roman" w:hAnsi="Times New Roman" w:eastAsia="宋体" w:cs="Times New Roman"/>
                <w:color w:val="auto"/>
                <w:spacing w:val="0"/>
                <w:position w:val="0"/>
                <w:sz w:val="24"/>
                <w:szCs w:val="32"/>
                <w:highlight w:val="none"/>
              </w:rPr>
              <w:t>t</w:t>
            </w:r>
            <w:r>
              <w:rPr>
                <w:rFonts w:hint="default" w:ascii="Times New Roman" w:hAnsi="Times New Roman" w:eastAsia="宋体" w:cs="Times New Roman"/>
                <w:color w:val="auto"/>
                <w:spacing w:val="0"/>
                <w:position w:val="0"/>
                <w:sz w:val="24"/>
                <w:szCs w:val="24"/>
                <w:highlight w:val="none"/>
              </w:rPr>
              <w:t>/d，</w:t>
            </w:r>
            <w:r>
              <w:rPr>
                <w:rFonts w:hint="default" w:ascii="Times New Roman" w:hAnsi="Times New Roman" w:cs="Times New Roman"/>
                <w:color w:val="auto"/>
                <w:spacing w:val="0"/>
                <w:position w:val="0"/>
                <w:sz w:val="24"/>
                <w:szCs w:val="24"/>
                <w:highlight w:val="none"/>
                <w:lang w:val="en-US" w:eastAsia="zh-CN"/>
              </w:rPr>
              <w:t>3780</w:t>
            </w:r>
            <w:r>
              <w:rPr>
                <w:rFonts w:hint="default" w:ascii="Times New Roman" w:hAnsi="Times New Roman" w:eastAsia="宋体" w:cs="Times New Roman"/>
                <w:color w:val="auto"/>
                <w:spacing w:val="0"/>
                <w:position w:val="0"/>
                <w:sz w:val="24"/>
                <w:szCs w:val="32"/>
                <w:highlight w:val="none"/>
              </w:rPr>
              <w:t>t</w:t>
            </w:r>
            <w:r>
              <w:rPr>
                <w:rFonts w:hint="default" w:ascii="Times New Roman" w:hAnsi="Times New Roman" w:eastAsia="宋体" w:cs="Times New Roman"/>
                <w:color w:val="auto"/>
                <w:spacing w:val="0"/>
                <w:position w:val="0"/>
                <w:sz w:val="24"/>
                <w:szCs w:val="24"/>
                <w:highlight w:val="none"/>
              </w:rPr>
              <w:t>/a），此部分废水经市政管网排入</w:t>
            </w:r>
            <w:r>
              <w:rPr>
                <w:rFonts w:hint="default" w:ascii="Times New Roman" w:hAnsi="Times New Roman" w:cs="Times New Roman"/>
                <w:color w:val="auto"/>
                <w:spacing w:val="0"/>
                <w:position w:val="0"/>
                <w:sz w:val="24"/>
                <w:szCs w:val="24"/>
                <w:highlight w:val="none"/>
                <w:lang w:eastAsia="zh-CN"/>
              </w:rPr>
              <w:t>桦川县污水处理厂</w:t>
            </w:r>
            <w:r>
              <w:rPr>
                <w:rFonts w:hint="default" w:ascii="Times New Roman" w:hAnsi="Times New Roman" w:eastAsia="宋体" w:cs="Times New Roman"/>
                <w:color w:val="auto"/>
                <w:spacing w:val="0"/>
                <w:position w:val="0"/>
                <w:sz w:val="24"/>
                <w:szCs w:val="24"/>
                <w:highlight w:val="none"/>
              </w:rPr>
              <w:t>处理。</w:t>
            </w:r>
          </w:p>
          <w:p w14:paraId="6E51D8F1">
            <w:pPr>
              <w:keepNext w:val="0"/>
              <w:keepLines w:val="0"/>
              <w:pageBreakBefore w:val="0"/>
              <w:kinsoku/>
              <w:wordWrap/>
              <w:overflowPunct/>
              <w:topLinePunct w:val="0"/>
              <w:autoSpaceDE w:val="0"/>
              <w:autoSpaceDN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⑤</w:t>
            </w:r>
            <w:r>
              <w:rPr>
                <w:rFonts w:hint="default" w:ascii="Times New Roman" w:hAnsi="Times New Roman" w:eastAsia="宋体" w:cs="Times New Roman"/>
                <w:color w:val="auto"/>
                <w:spacing w:val="0"/>
                <w:position w:val="0"/>
                <w:sz w:val="24"/>
                <w:szCs w:val="24"/>
                <w:highlight w:val="none"/>
              </w:rPr>
              <w:t>冷却塔排污水</w:t>
            </w:r>
          </w:p>
          <w:p w14:paraId="0234F143">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排污水量按循环水量的0.15%计算，本项目外排冷却水产生量约为</w:t>
            </w:r>
            <w:r>
              <w:rPr>
                <w:rFonts w:hint="default" w:ascii="Times New Roman" w:hAnsi="Times New Roman" w:cs="Times New Roman"/>
                <w:color w:val="auto"/>
                <w:spacing w:val="0"/>
                <w:position w:val="0"/>
                <w:sz w:val="24"/>
                <w:szCs w:val="32"/>
                <w:highlight w:val="none"/>
                <w:lang w:val="en-US" w:eastAsia="zh-CN"/>
              </w:rPr>
              <w:t>1.5</w:t>
            </w:r>
            <w:r>
              <w:rPr>
                <w:rFonts w:hint="default" w:ascii="Times New Roman" w:hAnsi="Times New Roman" w:eastAsia="宋体" w:cs="Times New Roman"/>
                <w:color w:val="auto"/>
                <w:spacing w:val="0"/>
                <w:position w:val="0"/>
                <w:sz w:val="24"/>
                <w:szCs w:val="32"/>
                <w:highlight w:val="none"/>
              </w:rPr>
              <w:t>t/h</w:t>
            </w:r>
            <w:r>
              <w:rPr>
                <w:rFonts w:hint="default" w:ascii="Times New Roman" w:hAnsi="Times New Roman" w:eastAsia="宋体" w:cs="Times New Roman"/>
                <w:color w:val="auto"/>
                <w:spacing w:val="0"/>
                <w:position w:val="0"/>
                <w:sz w:val="24"/>
                <w:szCs w:val="24"/>
                <w:highlight w:val="none"/>
              </w:rPr>
              <w:t>（</w:t>
            </w:r>
            <w:r>
              <w:rPr>
                <w:rFonts w:hint="default" w:ascii="Times New Roman" w:hAnsi="Times New Roman" w:cs="Times New Roman"/>
                <w:color w:val="auto"/>
                <w:spacing w:val="0"/>
                <w:position w:val="0"/>
                <w:sz w:val="24"/>
                <w:szCs w:val="24"/>
                <w:highlight w:val="none"/>
                <w:lang w:val="en-US" w:eastAsia="zh-CN"/>
              </w:rPr>
              <w:t>36</w:t>
            </w:r>
            <w:r>
              <w:rPr>
                <w:rFonts w:hint="default" w:ascii="Times New Roman" w:hAnsi="Times New Roman" w:eastAsia="宋体" w:cs="Times New Roman"/>
                <w:color w:val="auto"/>
                <w:spacing w:val="0"/>
                <w:position w:val="0"/>
                <w:sz w:val="24"/>
                <w:szCs w:val="32"/>
                <w:highlight w:val="none"/>
              </w:rPr>
              <w:t>t</w:t>
            </w:r>
            <w:r>
              <w:rPr>
                <w:rFonts w:hint="default" w:ascii="Times New Roman" w:hAnsi="Times New Roman" w:eastAsia="宋体" w:cs="Times New Roman"/>
                <w:color w:val="auto"/>
                <w:spacing w:val="0"/>
                <w:position w:val="0"/>
                <w:sz w:val="24"/>
                <w:szCs w:val="24"/>
                <w:highlight w:val="none"/>
              </w:rPr>
              <w:t>/d，1</w:t>
            </w:r>
            <w:r>
              <w:rPr>
                <w:rFonts w:hint="default" w:ascii="Times New Roman" w:hAnsi="Times New Roman" w:cs="Times New Roman"/>
                <w:color w:val="auto"/>
                <w:spacing w:val="0"/>
                <w:position w:val="0"/>
                <w:sz w:val="24"/>
                <w:szCs w:val="24"/>
                <w:highlight w:val="none"/>
                <w:lang w:val="en-US" w:eastAsia="zh-CN"/>
              </w:rPr>
              <w:t>2600</w:t>
            </w:r>
            <w:r>
              <w:rPr>
                <w:rFonts w:hint="default" w:ascii="Times New Roman" w:hAnsi="Times New Roman" w:eastAsia="宋体" w:cs="Times New Roman"/>
                <w:color w:val="auto"/>
                <w:spacing w:val="0"/>
                <w:position w:val="0"/>
                <w:sz w:val="24"/>
                <w:szCs w:val="32"/>
                <w:highlight w:val="none"/>
              </w:rPr>
              <w:t>t</w:t>
            </w:r>
            <w:r>
              <w:rPr>
                <w:rFonts w:hint="default" w:ascii="Times New Roman" w:hAnsi="Times New Roman" w:eastAsia="宋体" w:cs="Times New Roman"/>
                <w:color w:val="auto"/>
                <w:spacing w:val="0"/>
                <w:position w:val="0"/>
                <w:sz w:val="24"/>
                <w:szCs w:val="24"/>
                <w:highlight w:val="none"/>
              </w:rPr>
              <w:t>/a），此部分废水经市政管网排入</w:t>
            </w:r>
            <w:r>
              <w:rPr>
                <w:rFonts w:hint="default" w:ascii="Times New Roman" w:hAnsi="Times New Roman" w:cs="Times New Roman"/>
                <w:color w:val="auto"/>
                <w:spacing w:val="0"/>
                <w:position w:val="0"/>
                <w:sz w:val="24"/>
                <w:szCs w:val="24"/>
                <w:highlight w:val="none"/>
                <w:lang w:eastAsia="zh-CN"/>
              </w:rPr>
              <w:t>桦川县污水处理厂</w:t>
            </w:r>
            <w:r>
              <w:rPr>
                <w:rFonts w:hint="default" w:ascii="Times New Roman" w:hAnsi="Times New Roman" w:eastAsia="宋体" w:cs="Times New Roman"/>
                <w:color w:val="auto"/>
                <w:spacing w:val="0"/>
                <w:position w:val="0"/>
                <w:sz w:val="24"/>
                <w:szCs w:val="24"/>
                <w:highlight w:val="none"/>
              </w:rPr>
              <w:t>处理。</w:t>
            </w:r>
          </w:p>
          <w:p w14:paraId="09E30E6C">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综上，本项目新鲜水用量为</w:t>
            </w:r>
            <w:r>
              <w:rPr>
                <w:rFonts w:hint="default" w:ascii="Times New Roman" w:hAnsi="Times New Roman" w:cs="Times New Roman"/>
                <w:color w:val="auto"/>
                <w:spacing w:val="0"/>
                <w:position w:val="0"/>
                <w:sz w:val="24"/>
                <w:szCs w:val="24"/>
                <w:highlight w:val="none"/>
                <w:lang w:val="en-US" w:eastAsia="zh-CN"/>
              </w:rPr>
              <w:t>125048</w:t>
            </w:r>
            <w:r>
              <w:rPr>
                <w:rFonts w:hint="default" w:ascii="Times New Roman" w:hAnsi="Times New Roman" w:eastAsia="宋体" w:cs="Times New Roman"/>
                <w:color w:val="auto"/>
                <w:spacing w:val="0"/>
                <w:position w:val="0"/>
                <w:sz w:val="24"/>
                <w:szCs w:val="24"/>
                <w:highlight w:val="none"/>
              </w:rPr>
              <w:t>t/a，污水排放量为</w:t>
            </w:r>
            <w:r>
              <w:rPr>
                <w:rFonts w:hint="default" w:ascii="Times New Roman" w:hAnsi="Times New Roman" w:cs="Times New Roman"/>
                <w:color w:val="auto"/>
                <w:spacing w:val="0"/>
                <w:position w:val="0"/>
                <w:sz w:val="24"/>
                <w:szCs w:val="24"/>
                <w:highlight w:val="none"/>
                <w:lang w:val="en-US" w:eastAsia="zh-CN"/>
              </w:rPr>
              <w:t>38620</w:t>
            </w:r>
            <w:r>
              <w:rPr>
                <w:rFonts w:hint="default" w:ascii="Times New Roman" w:hAnsi="Times New Roman" w:eastAsia="宋体" w:cs="Times New Roman"/>
                <w:color w:val="auto"/>
                <w:spacing w:val="0"/>
                <w:position w:val="0"/>
                <w:sz w:val="24"/>
                <w:szCs w:val="24"/>
                <w:highlight w:val="none"/>
              </w:rPr>
              <w:t>t/a。</w:t>
            </w:r>
          </w:p>
          <w:p w14:paraId="392176F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highlight w:val="none"/>
                <w:lang w:eastAsia="zh-CN"/>
              </w:rPr>
            </w:pPr>
            <w:r>
              <w:rPr>
                <w:rFonts w:hint="default" w:ascii="Times New Roman" w:hAnsi="Times New Roman" w:eastAsia="宋体" w:cs="Times New Roman"/>
                <w:color w:val="auto"/>
                <w:spacing w:val="0"/>
                <w:position w:val="0"/>
                <w:highlight w:val="none"/>
                <w:lang w:eastAsia="zh-CN"/>
              </w:rPr>
              <w:drawing>
                <wp:inline distT="0" distB="0" distL="114300" distR="114300">
                  <wp:extent cx="5330190" cy="2360295"/>
                  <wp:effectExtent l="0" t="0" r="3810" b="1905"/>
                  <wp:docPr id="60" name="图片 60" descr="龙粮油脂水平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龙粮油脂水平衡"/>
                          <pic:cNvPicPr>
                            <a:picLocks noChangeAspect="1"/>
                          </pic:cNvPicPr>
                        </pic:nvPicPr>
                        <pic:blipFill>
                          <a:blip r:embed="rId21"/>
                          <a:stretch>
                            <a:fillRect/>
                          </a:stretch>
                        </pic:blipFill>
                        <pic:spPr>
                          <a:xfrm>
                            <a:off x="0" y="0"/>
                            <a:ext cx="5330190" cy="2360295"/>
                          </a:xfrm>
                          <a:prstGeom prst="rect">
                            <a:avLst/>
                          </a:prstGeom>
                        </pic:spPr>
                      </pic:pic>
                    </a:graphicData>
                  </a:graphic>
                </wp:inline>
              </w:drawing>
            </w:r>
          </w:p>
          <w:p w14:paraId="1F9EAEBD">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b/>
                <w:color w:val="auto"/>
                <w:spacing w:val="0"/>
                <w:position w:val="0"/>
                <w:sz w:val="24"/>
                <w:szCs w:val="24"/>
                <w:highlight w:val="none"/>
              </w:rPr>
              <w:t>图2-</w:t>
            </w:r>
            <w:r>
              <w:rPr>
                <w:rFonts w:hint="default" w:ascii="Times New Roman" w:hAnsi="Times New Roman" w:cs="Times New Roman"/>
                <w:b/>
                <w:color w:val="auto"/>
                <w:spacing w:val="0"/>
                <w:position w:val="0"/>
                <w:sz w:val="24"/>
                <w:szCs w:val="24"/>
                <w:highlight w:val="none"/>
                <w:lang w:val="en-US" w:eastAsia="zh-CN"/>
              </w:rPr>
              <w:t>1</w:t>
            </w:r>
            <w:r>
              <w:rPr>
                <w:rFonts w:hint="default" w:ascii="Times New Roman" w:hAnsi="Times New Roman" w:eastAsia="宋体" w:cs="Times New Roman"/>
                <w:b/>
                <w:color w:val="auto"/>
                <w:spacing w:val="0"/>
                <w:position w:val="0"/>
                <w:sz w:val="24"/>
                <w:szCs w:val="24"/>
                <w:highlight w:val="none"/>
              </w:rPr>
              <w:t xml:space="preserve"> </w:t>
            </w:r>
            <w:r>
              <w:rPr>
                <w:rFonts w:hint="default" w:ascii="Times New Roman" w:hAnsi="Times New Roman" w:cs="Times New Roman"/>
                <w:b/>
                <w:color w:val="auto"/>
                <w:spacing w:val="0"/>
                <w:position w:val="0"/>
                <w:sz w:val="24"/>
                <w:szCs w:val="24"/>
                <w:highlight w:val="none"/>
                <w:lang w:val="en-US" w:eastAsia="zh-CN"/>
              </w:rPr>
              <w:t>本</w:t>
            </w:r>
            <w:r>
              <w:rPr>
                <w:rFonts w:hint="default" w:ascii="Times New Roman" w:hAnsi="Times New Roman" w:eastAsia="宋体" w:cs="Times New Roman"/>
                <w:b/>
                <w:color w:val="auto"/>
                <w:spacing w:val="0"/>
                <w:position w:val="0"/>
                <w:sz w:val="24"/>
                <w:szCs w:val="24"/>
                <w:highlight w:val="none"/>
              </w:rPr>
              <w:t>项目水平衡图（t/</w:t>
            </w:r>
            <w:r>
              <w:rPr>
                <w:rFonts w:hint="default" w:ascii="Times New Roman" w:hAnsi="Times New Roman" w:cs="Times New Roman"/>
                <w:b/>
                <w:color w:val="auto"/>
                <w:spacing w:val="0"/>
                <w:position w:val="0"/>
                <w:sz w:val="24"/>
                <w:szCs w:val="24"/>
                <w:highlight w:val="none"/>
                <w:lang w:val="en-US" w:eastAsia="zh-CN"/>
              </w:rPr>
              <w:t>d</w:t>
            </w:r>
            <w:r>
              <w:rPr>
                <w:rFonts w:hint="default" w:ascii="Times New Roman" w:hAnsi="Times New Roman" w:eastAsia="宋体" w:cs="Times New Roman"/>
                <w:b/>
                <w:color w:val="auto"/>
                <w:spacing w:val="0"/>
                <w:position w:val="0"/>
                <w:sz w:val="24"/>
                <w:szCs w:val="24"/>
                <w:highlight w:val="none"/>
              </w:rPr>
              <w:t>）</w:t>
            </w:r>
          </w:p>
          <w:p w14:paraId="50911A33">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3、供电</w:t>
            </w:r>
          </w:p>
          <w:p w14:paraId="1F98C53C">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供电电源由当地市政电网供应，输电线路可满足本项目建设期及运营期的需要。</w:t>
            </w:r>
          </w:p>
          <w:p w14:paraId="7FEFCD76">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4、供热工程</w:t>
            </w:r>
          </w:p>
          <w:p w14:paraId="5F89DB26">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rPr>
              <w:t>本项目冬季生活供热</w:t>
            </w:r>
            <w:r>
              <w:rPr>
                <w:rFonts w:hint="default" w:ascii="Times New Roman" w:hAnsi="Times New Roman" w:cs="Times New Roman"/>
                <w:color w:val="auto"/>
                <w:spacing w:val="0"/>
                <w:position w:val="0"/>
                <w:sz w:val="24"/>
                <w:szCs w:val="24"/>
                <w:highlight w:val="none"/>
                <w:lang w:val="en-US" w:eastAsia="zh-CN"/>
              </w:rPr>
              <w:t>依托集中供热</w:t>
            </w:r>
            <w:r>
              <w:rPr>
                <w:rFonts w:hint="default" w:ascii="Times New Roman" w:hAnsi="Times New Roman" w:eastAsia="宋体" w:cs="Times New Roman"/>
                <w:color w:val="auto"/>
                <w:spacing w:val="0"/>
                <w:position w:val="0"/>
                <w:sz w:val="24"/>
                <w:szCs w:val="24"/>
                <w:highlight w:val="none"/>
              </w:rPr>
              <w:t>，生产用热由厂内</w:t>
            </w:r>
            <w:r>
              <w:rPr>
                <w:rFonts w:hint="default" w:ascii="Times New Roman" w:hAnsi="Times New Roman" w:cs="Times New Roman"/>
                <w:color w:val="auto"/>
                <w:spacing w:val="0"/>
                <w:position w:val="0"/>
                <w:sz w:val="24"/>
                <w:szCs w:val="24"/>
                <w:highlight w:val="none"/>
                <w:lang w:val="en-US" w:eastAsia="zh-CN"/>
              </w:rPr>
              <w:t>10t</w:t>
            </w:r>
            <w:r>
              <w:rPr>
                <w:rFonts w:hint="default" w:ascii="Times New Roman" w:hAnsi="Times New Roman" w:eastAsia="宋体" w:cs="Times New Roman"/>
                <w:color w:val="auto"/>
                <w:spacing w:val="0"/>
                <w:position w:val="0"/>
                <w:sz w:val="24"/>
                <w:szCs w:val="24"/>
                <w:highlight w:val="none"/>
              </w:rPr>
              <w:t>/h生物质锅炉提供。</w:t>
            </w:r>
            <w:r>
              <w:rPr>
                <w:rFonts w:hint="default" w:ascii="Times New Roman" w:hAnsi="Times New Roman" w:eastAsia="宋体" w:cs="Times New Roman"/>
                <w:color w:val="auto"/>
                <w:spacing w:val="0"/>
                <w:position w:val="0"/>
                <w:sz w:val="24"/>
                <w:szCs w:val="24"/>
                <w:highlight w:val="none"/>
              </w:rPr>
              <w:br w:type="textWrapping"/>
            </w:r>
            <w:r>
              <w:rPr>
                <w:rFonts w:hint="default" w:ascii="Times New Roman" w:hAnsi="Times New Roman" w:eastAsia="宋体" w:cs="Times New Roman"/>
                <w:color w:val="auto"/>
                <w:spacing w:val="0"/>
                <w:position w:val="0"/>
                <w:sz w:val="24"/>
                <w:szCs w:val="24"/>
                <w:highlight w:val="none"/>
              </w:rPr>
              <w:t xml:space="preserve">    （六）劳动定员和工作制度</w:t>
            </w:r>
          </w:p>
          <w:p w14:paraId="034E6235">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本项目</w:t>
            </w:r>
            <w:r>
              <w:rPr>
                <w:rFonts w:hint="default" w:ascii="Times New Roman" w:hAnsi="Times New Roman" w:eastAsia="宋体" w:cs="Times New Roman"/>
                <w:color w:val="auto"/>
                <w:spacing w:val="0"/>
                <w:position w:val="0"/>
                <w:sz w:val="24"/>
                <w:szCs w:val="24"/>
                <w:highlight w:val="none"/>
              </w:rPr>
              <w:t>不新增工作人员</w:t>
            </w:r>
            <w:r>
              <w:rPr>
                <w:rFonts w:hint="default" w:ascii="Times New Roman" w:hAnsi="Times New Roman" w:eastAsia="宋体" w:cs="Times New Roman"/>
                <w:color w:val="auto"/>
                <w:spacing w:val="0"/>
                <w:position w:val="0"/>
                <w:sz w:val="24"/>
                <w:szCs w:val="24"/>
                <w:highlight w:val="none"/>
                <w:lang w:val="en-GB"/>
              </w:rPr>
              <w:t>，</w:t>
            </w:r>
            <w:r>
              <w:rPr>
                <w:rFonts w:hint="default" w:ascii="Times New Roman" w:hAnsi="Times New Roman" w:eastAsia="宋体" w:cs="Times New Roman"/>
                <w:bCs/>
                <w:color w:val="auto"/>
                <w:spacing w:val="0"/>
                <w:position w:val="0"/>
                <w:sz w:val="24"/>
                <w:szCs w:val="24"/>
                <w:highlight w:val="none"/>
              </w:rPr>
              <w:t>年运行时间</w:t>
            </w:r>
            <w:r>
              <w:rPr>
                <w:rFonts w:hint="default" w:ascii="Times New Roman" w:hAnsi="Times New Roman" w:cs="Times New Roman"/>
                <w:bCs/>
                <w:color w:val="auto"/>
                <w:spacing w:val="0"/>
                <w:position w:val="0"/>
                <w:sz w:val="24"/>
                <w:szCs w:val="24"/>
                <w:highlight w:val="none"/>
                <w:lang w:val="en-US" w:eastAsia="zh-CN"/>
              </w:rPr>
              <w:t>35</w:t>
            </w:r>
            <w:r>
              <w:rPr>
                <w:rFonts w:hint="default" w:ascii="Times New Roman" w:hAnsi="Times New Roman" w:eastAsia="宋体" w:cs="Times New Roman"/>
                <w:bCs/>
                <w:color w:val="auto"/>
                <w:spacing w:val="0"/>
                <w:position w:val="0"/>
                <w:sz w:val="24"/>
                <w:szCs w:val="24"/>
                <w:highlight w:val="none"/>
              </w:rPr>
              <w:t>0d，24 h连续运行</w:t>
            </w:r>
            <w:r>
              <w:rPr>
                <w:rFonts w:hint="default" w:ascii="Times New Roman" w:hAnsi="Times New Roman" w:eastAsia="宋体" w:cs="Times New Roman"/>
                <w:color w:val="auto"/>
                <w:spacing w:val="0"/>
                <w:position w:val="0"/>
                <w:sz w:val="24"/>
                <w:szCs w:val="24"/>
                <w:highlight w:val="none"/>
                <w:lang w:val="en-GB"/>
              </w:rPr>
              <w:t>，年工作小时数</w:t>
            </w:r>
            <w:r>
              <w:rPr>
                <w:rFonts w:hint="default" w:ascii="Times New Roman" w:hAnsi="Times New Roman" w:cs="Times New Roman"/>
                <w:color w:val="auto"/>
                <w:spacing w:val="0"/>
                <w:position w:val="0"/>
                <w:sz w:val="24"/>
                <w:szCs w:val="24"/>
                <w:highlight w:val="none"/>
                <w:lang w:val="en-US" w:eastAsia="zh-CN"/>
              </w:rPr>
              <w:t>8400</w:t>
            </w:r>
            <w:r>
              <w:rPr>
                <w:rFonts w:hint="default" w:ascii="Times New Roman" w:hAnsi="Times New Roman" w:eastAsia="宋体" w:cs="Times New Roman"/>
                <w:color w:val="auto"/>
                <w:spacing w:val="0"/>
                <w:position w:val="0"/>
                <w:sz w:val="24"/>
                <w:szCs w:val="24"/>
                <w:highlight w:val="none"/>
              </w:rPr>
              <w:t>h</w:t>
            </w:r>
            <w:r>
              <w:rPr>
                <w:rFonts w:hint="default" w:ascii="Times New Roman" w:hAnsi="Times New Roman" w:eastAsia="宋体" w:cs="Times New Roman"/>
                <w:color w:val="auto"/>
                <w:spacing w:val="0"/>
                <w:position w:val="0"/>
                <w:sz w:val="24"/>
                <w:szCs w:val="24"/>
                <w:highlight w:val="none"/>
                <w:lang w:val="en-GB"/>
              </w:rPr>
              <w:t>。</w:t>
            </w:r>
          </w:p>
          <w:p w14:paraId="243BB665">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（七）工程进度</w:t>
            </w:r>
          </w:p>
          <w:p w14:paraId="1141E8D3">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本项目建设期为1个月，从2022年11月至2022年12月。</w:t>
            </w:r>
          </w:p>
          <w:p w14:paraId="12D7E905">
            <w:pPr>
              <w:pStyle w:val="93"/>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（八）总平面布置</w:t>
            </w:r>
          </w:p>
          <w:p w14:paraId="672E5A66">
            <w:pPr>
              <w:pStyle w:val="93"/>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bCs/>
                <w:color w:val="auto"/>
                <w:spacing w:val="0"/>
                <w:position w:val="0"/>
                <w:szCs w:val="21"/>
                <w:highlight w:val="none"/>
              </w:rPr>
            </w:pPr>
            <w:r>
              <w:rPr>
                <w:rFonts w:hint="default" w:ascii="Times New Roman" w:hAnsi="Times New Roman" w:eastAsia="宋体" w:cs="Times New Roman"/>
                <w:color w:val="auto"/>
                <w:spacing w:val="0"/>
                <w:position w:val="0"/>
                <w:sz w:val="24"/>
                <w:szCs w:val="24"/>
                <w:highlight w:val="none"/>
                <w:lang w:val="en-GB"/>
              </w:rPr>
              <w:t>从项目总图布置可知，本项目</w:t>
            </w:r>
            <w:r>
              <w:rPr>
                <w:rFonts w:hint="default" w:ascii="Times New Roman" w:hAnsi="Times New Roman" w:eastAsia="宋体" w:cs="Times New Roman"/>
                <w:color w:val="auto"/>
                <w:spacing w:val="0"/>
                <w:position w:val="0"/>
                <w:sz w:val="24"/>
                <w:szCs w:val="24"/>
                <w:highlight w:val="none"/>
              </w:rPr>
              <w:t>在厂区内进行</w:t>
            </w:r>
            <w:r>
              <w:rPr>
                <w:rFonts w:hint="default" w:ascii="Times New Roman" w:hAnsi="Times New Roman" w:cs="Times New Roman"/>
                <w:color w:val="auto"/>
                <w:spacing w:val="0"/>
                <w:position w:val="0"/>
                <w:sz w:val="24"/>
                <w:szCs w:val="24"/>
                <w:highlight w:val="none"/>
                <w:lang w:val="en-US" w:eastAsia="zh-CN"/>
              </w:rPr>
              <w:t>建设</w:t>
            </w:r>
            <w:r>
              <w:rPr>
                <w:rFonts w:hint="default" w:ascii="Times New Roman" w:hAnsi="Times New Roman" w:eastAsia="宋体" w:cs="Times New Roman"/>
                <w:color w:val="auto"/>
                <w:spacing w:val="0"/>
                <w:position w:val="0"/>
                <w:sz w:val="24"/>
                <w:szCs w:val="24"/>
                <w:highlight w:val="none"/>
                <w:lang w:val="en-GB"/>
              </w:rPr>
              <w:t>。项目各功能分区明确、间距合理，在生产厂房内部布局时满足工艺流程，也满足功能分区及运输作业要求。项目平面布置合理、可行。</w:t>
            </w:r>
          </w:p>
        </w:tc>
      </w:tr>
      <w:tr w14:paraId="15AA84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16" w:hRule="atLeast"/>
          <w:jc w:val="center"/>
        </w:trPr>
        <w:tc>
          <w:tcPr>
            <w:tcW w:w="245" w:type="pct"/>
            <w:noWrap w:val="0"/>
            <w:vAlign w:val="center"/>
          </w:tcPr>
          <w:p w14:paraId="23FD4165">
            <w:pPr>
              <w:pStyle w:val="23"/>
              <w:keepNext w:val="0"/>
              <w:keepLines w:val="0"/>
              <w:pageBreakBefore w:val="0"/>
              <w:kinsoku/>
              <w:wordWrap/>
              <w:overflowPunct/>
              <w:topLinePunct w:val="0"/>
              <w:bidi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工艺流程和产排污环节</w:t>
            </w:r>
          </w:p>
        </w:tc>
        <w:tc>
          <w:tcPr>
            <w:tcW w:w="4754" w:type="pct"/>
            <w:noWrap w:val="0"/>
            <w:vAlign w:val="top"/>
          </w:tcPr>
          <w:p w14:paraId="15D06FB9">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cs="Times New Roman"/>
                <w:color w:val="auto"/>
                <w:spacing w:val="0"/>
                <w:position w:val="0"/>
                <w:sz w:val="24"/>
                <w:szCs w:val="24"/>
                <w:highlight w:val="none"/>
                <w:lang w:val="en-US" w:eastAsia="zh-CN"/>
              </w:rPr>
              <w:t>一、</w:t>
            </w:r>
            <w:r>
              <w:rPr>
                <w:rFonts w:hint="default" w:ascii="Times New Roman" w:hAnsi="Times New Roman" w:eastAsia="宋体" w:cs="Times New Roman"/>
                <w:color w:val="auto"/>
                <w:spacing w:val="0"/>
                <w:position w:val="0"/>
                <w:sz w:val="24"/>
                <w:szCs w:val="24"/>
                <w:highlight w:val="none"/>
                <w:lang w:val="en-GB"/>
              </w:rPr>
              <w:t>施工期工艺流程及产排污环节</w:t>
            </w:r>
          </w:p>
          <w:p w14:paraId="6319FE05">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本项目利用现有建筑建设，不涉及土建施工，施工期主要为设备安装，以及室内简单装修，主要为噪声，随着施工结束，影响随之消失。</w:t>
            </w:r>
          </w:p>
          <w:p w14:paraId="44DC4F08">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cs="Times New Roman"/>
                <w:color w:val="auto"/>
                <w:spacing w:val="0"/>
                <w:position w:val="0"/>
                <w:sz w:val="24"/>
                <w:szCs w:val="24"/>
                <w:highlight w:val="none"/>
                <w:lang w:val="en-US" w:eastAsia="zh-CN"/>
              </w:rPr>
              <w:t>二、</w:t>
            </w:r>
            <w:r>
              <w:rPr>
                <w:rFonts w:hint="default" w:ascii="Times New Roman" w:hAnsi="Times New Roman" w:eastAsia="宋体" w:cs="Times New Roman"/>
                <w:color w:val="auto"/>
                <w:spacing w:val="0"/>
                <w:position w:val="0"/>
                <w:sz w:val="24"/>
                <w:szCs w:val="24"/>
                <w:highlight w:val="none"/>
                <w:lang w:val="en-GB"/>
              </w:rPr>
              <w:t>营运期工艺流程</w:t>
            </w:r>
            <w:r>
              <w:rPr>
                <w:rFonts w:hint="default" w:ascii="Times New Roman" w:hAnsi="Times New Roman" w:cs="Times New Roman"/>
                <w:color w:val="auto"/>
                <w:spacing w:val="0"/>
                <w:position w:val="0"/>
                <w:sz w:val="24"/>
                <w:szCs w:val="24"/>
                <w:highlight w:val="none"/>
                <w:lang w:val="en-US" w:eastAsia="zh-CN"/>
              </w:rPr>
              <w:t>及产排污环节</w:t>
            </w:r>
          </w:p>
          <w:p w14:paraId="3541D116">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1、米糠油加工</w:t>
            </w:r>
          </w:p>
          <w:p w14:paraId="395B7FAA">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（1）生产工艺：</w:t>
            </w:r>
          </w:p>
          <w:p w14:paraId="0D3BB51A">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①清理、投料</w:t>
            </w:r>
          </w:p>
          <w:p w14:paraId="7F80E006">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米糠中的油脂中含油量约为15%，含水率10%，经清理分出杂质去除石子等杂物，后进入膨化系统。米糠通过进料刮板机经变频控制，均匀控制进料的速度，通过分料刮板机进行分料，分料至暂存仓内，暂存仓内的米糠原料，通过出料提升刮板机，向</w:t>
            </w:r>
            <w:r>
              <w:rPr>
                <w:rFonts w:hint="default" w:ascii="Times New Roman" w:hAnsi="Times New Roman" w:cs="Times New Roman"/>
                <w:color w:val="auto"/>
                <w:spacing w:val="0"/>
                <w:position w:val="0"/>
                <w:sz w:val="24"/>
                <w:szCs w:val="24"/>
                <w:highlight w:val="none"/>
                <w:lang w:val="en-GB" w:eastAsia="zh-CN"/>
              </w:rPr>
              <w:t>计量秤</w:t>
            </w:r>
            <w:r>
              <w:rPr>
                <w:rFonts w:hint="default" w:ascii="Times New Roman" w:hAnsi="Times New Roman" w:eastAsia="宋体" w:cs="Times New Roman"/>
                <w:color w:val="auto"/>
                <w:spacing w:val="0"/>
                <w:position w:val="0"/>
                <w:sz w:val="24"/>
                <w:szCs w:val="24"/>
                <w:highlight w:val="none"/>
                <w:lang w:val="en-GB"/>
              </w:rPr>
              <w:t>进行供料，该刮板机变频控制，控制均匀</w:t>
            </w:r>
            <w:r>
              <w:rPr>
                <w:rFonts w:hint="default" w:ascii="Times New Roman" w:hAnsi="Times New Roman" w:cs="Times New Roman"/>
                <w:color w:val="auto"/>
                <w:spacing w:val="0"/>
                <w:position w:val="0"/>
                <w:sz w:val="24"/>
                <w:szCs w:val="24"/>
                <w:highlight w:val="none"/>
                <w:lang w:val="en-GB" w:eastAsia="zh-CN"/>
              </w:rPr>
              <w:t>地</w:t>
            </w:r>
            <w:r>
              <w:rPr>
                <w:rFonts w:hint="default" w:ascii="Times New Roman" w:hAnsi="Times New Roman" w:eastAsia="宋体" w:cs="Times New Roman"/>
                <w:color w:val="auto"/>
                <w:spacing w:val="0"/>
                <w:position w:val="0"/>
                <w:sz w:val="24"/>
                <w:szCs w:val="24"/>
                <w:highlight w:val="none"/>
                <w:lang w:val="en-GB"/>
              </w:rPr>
              <w:t>向车间进料。</w:t>
            </w:r>
          </w:p>
          <w:p w14:paraId="3C0DC79C">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该工序产生的主要污染物为初清粉尘（G1）、清理杂质（S1）以及设备噪声（N）。</w:t>
            </w:r>
          </w:p>
          <w:p w14:paraId="631F342E">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②膨化预处理</w:t>
            </w:r>
          </w:p>
          <w:p w14:paraId="52BD9992">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米糠在膨化机中进行膨化处理，项目膨化主要为向米糠中通入蒸汽，蒸汽直接与米糠接触，高温蒸汽使米糠软化蓬松，同时膨化机将蓬松的米糠直接制成米糠颗粒，便于后续浸出处理。由于蒸汽直接与米糠接触，膨化后的米糠中带有一定量水汽，膨化后米糠含水率在14%左右。此部分蒸汽用量为12t/a（2520t/a）。膨化后米糠因</w:t>
            </w:r>
            <w:r>
              <w:rPr>
                <w:rFonts w:hint="default" w:ascii="Times New Roman" w:hAnsi="Times New Roman" w:cs="Times New Roman"/>
                <w:color w:val="auto"/>
                <w:spacing w:val="0"/>
                <w:position w:val="0"/>
                <w:sz w:val="24"/>
                <w:szCs w:val="24"/>
                <w:highlight w:val="none"/>
                <w:lang w:val="en-GB" w:eastAsia="zh-CN"/>
              </w:rPr>
              <w:t>水分含量</w:t>
            </w:r>
            <w:r>
              <w:rPr>
                <w:rFonts w:hint="default" w:ascii="Times New Roman" w:hAnsi="Times New Roman" w:eastAsia="宋体" w:cs="Times New Roman"/>
                <w:color w:val="auto"/>
                <w:spacing w:val="0"/>
                <w:position w:val="0"/>
                <w:sz w:val="24"/>
                <w:szCs w:val="24"/>
                <w:highlight w:val="none"/>
                <w:lang w:val="en-GB"/>
              </w:rPr>
              <w:t>较高，经皮带输送机送至平板烘干机，由蒸汽烘干后再经提升机送至输送刮板去浸出车间。烘干机采用蒸汽进行间接加热，烘干温度控制在80-100℃，烘干30min，烘干工序主要将油料从14%的含水率降到8%，便于后续浸出。</w:t>
            </w:r>
          </w:p>
          <w:p w14:paraId="782BCCA2">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此工序中仅为设备运行产生的噪声及散逸的水蒸气，无废气、固废产生。</w:t>
            </w:r>
          </w:p>
          <w:p w14:paraId="33775E10">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③浸出</w:t>
            </w:r>
          </w:p>
          <w:p w14:paraId="1CA0391A">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膨化米糠经进料绞龙，由浸出器料位箱进入浸出器，进入浸出器的流量由浸出器根据料位箱存料高度来控制，物料在浸出器中由进料口到出料口环行一圈，经有浓度梯度的混合油逆向喷淋和沥干，最后用新鲜溶剂喷淋浸出，再经过沥干后被连续地送入湿粕刮板。最浓的混合油从第一道粗过滤器挡住大的杂质后用混合油泵打入第二道旋液分离器分离杂质后进入混合油罐待蒸发。浸出时间控制在100min，本项目采用连续式油脂浸出车间的工艺，主要浸出设备采用浸出器，浸出溶剂为溶剂油（其主要成分为正己烷）。</w:t>
            </w:r>
          </w:p>
          <w:p w14:paraId="283D61F6">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该工序会产生正己烷挥发气体（G2）。</w:t>
            </w:r>
          </w:p>
          <w:p w14:paraId="00987F54">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④脱溶、干燥、冷却</w:t>
            </w:r>
          </w:p>
          <w:p w14:paraId="4DA0DA6C">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浸出器出来含溶湿粕由湿粕刮板经关风器送入蒸脱机的二层预脱层，经间接蒸汽加热物料进行预蒸脱后进入带加热和通汽孔的混合汽逆流脱溶层，利用底部上来直接蒸汽与下降的湿粕进行逆流接触脱溶，经三次重复后将</w:t>
            </w:r>
            <w:r>
              <w:rPr>
                <w:rFonts w:hint="default" w:ascii="Times New Roman" w:hAnsi="Times New Roman" w:cs="Times New Roman"/>
                <w:color w:val="auto"/>
                <w:spacing w:val="0"/>
                <w:position w:val="0"/>
                <w:sz w:val="24"/>
                <w:szCs w:val="24"/>
                <w:highlight w:val="none"/>
                <w:lang w:val="en-GB" w:eastAsia="zh-CN"/>
              </w:rPr>
              <w:t>大部分</w:t>
            </w:r>
            <w:r>
              <w:rPr>
                <w:rFonts w:hint="default" w:ascii="Times New Roman" w:hAnsi="Times New Roman" w:eastAsia="宋体" w:cs="Times New Roman"/>
                <w:color w:val="auto"/>
                <w:spacing w:val="0"/>
                <w:position w:val="0"/>
                <w:sz w:val="24"/>
                <w:szCs w:val="24"/>
                <w:highlight w:val="none"/>
                <w:lang w:val="en-GB"/>
              </w:rPr>
              <w:t>溶剂脱除，再进入直接蒸汽脱溶层基本脱除粕中全部溶剂。在直接汽最后脱溶过程中会有部分蒸汽凝结在粕中，粕的水分会有所升高。</w:t>
            </w:r>
            <w:r>
              <w:rPr>
                <w:rFonts w:hint="default" w:ascii="Times New Roman" w:hAnsi="Times New Roman" w:cs="Times New Roman"/>
                <w:color w:val="auto"/>
                <w:spacing w:val="0"/>
                <w:position w:val="0"/>
                <w:sz w:val="24"/>
                <w:szCs w:val="24"/>
                <w:highlight w:val="none"/>
                <w:lang w:val="en-GB" w:eastAsia="zh-CN"/>
              </w:rPr>
              <w:t>高水分</w:t>
            </w:r>
            <w:r>
              <w:rPr>
                <w:rFonts w:hint="default" w:ascii="Times New Roman" w:hAnsi="Times New Roman" w:eastAsia="宋体" w:cs="Times New Roman"/>
                <w:color w:val="auto"/>
                <w:spacing w:val="0"/>
                <w:position w:val="0"/>
                <w:sz w:val="24"/>
                <w:szCs w:val="24"/>
                <w:highlight w:val="none"/>
                <w:lang w:val="en-GB"/>
              </w:rPr>
              <w:t>粕由自控下料器送入到热风烘干层烘干，再通过自控料门</w:t>
            </w:r>
            <w:r>
              <w:rPr>
                <w:rFonts w:hint="default" w:ascii="Times New Roman" w:hAnsi="Times New Roman" w:cs="Times New Roman"/>
                <w:color w:val="auto"/>
                <w:spacing w:val="0"/>
                <w:position w:val="0"/>
                <w:sz w:val="24"/>
                <w:szCs w:val="24"/>
                <w:highlight w:val="none"/>
                <w:lang w:val="en-GB" w:eastAsia="zh-CN"/>
              </w:rPr>
              <w:t>进入</w:t>
            </w:r>
            <w:r>
              <w:rPr>
                <w:rFonts w:hint="default" w:ascii="Times New Roman" w:hAnsi="Times New Roman" w:eastAsia="宋体" w:cs="Times New Roman"/>
                <w:color w:val="auto"/>
                <w:spacing w:val="0"/>
                <w:position w:val="0"/>
                <w:sz w:val="24"/>
                <w:szCs w:val="24"/>
                <w:highlight w:val="none"/>
                <w:lang w:val="en-GB"/>
              </w:rPr>
              <w:t>冷风层冷却，最后由自动料门控制出料，经埋刮板提升后，经出粕水平刮板送入粕库。</w:t>
            </w:r>
          </w:p>
          <w:p w14:paraId="73D9D9E4">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该工序会产生不凝汽（G3），主要成分为正己烷，豆粕蒸脱工序会产生粉尘（G4）。</w:t>
            </w:r>
          </w:p>
          <w:p w14:paraId="7FEB545E">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⑤蒸发</w:t>
            </w:r>
          </w:p>
          <w:p w14:paraId="13D7D6F8">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混合油在混合油罐进行沉淀后，由一蒸喂料泵送入第一长管蒸发器管程（脱溶机的混合汽为一蒸的加热介质）。经升膜蒸发在负压状态下将溶剂与混合油在分离器内进行分离，</w:t>
            </w:r>
            <w:r>
              <w:rPr>
                <w:rFonts w:hint="default" w:ascii="Times New Roman" w:hAnsi="Times New Roman" w:cs="Times New Roman"/>
                <w:color w:val="auto"/>
                <w:spacing w:val="0"/>
                <w:position w:val="0"/>
                <w:sz w:val="24"/>
                <w:szCs w:val="24"/>
                <w:highlight w:val="none"/>
                <w:lang w:val="en-GB" w:eastAsia="zh-CN"/>
              </w:rPr>
              <w:t>气体</w:t>
            </w:r>
            <w:r>
              <w:rPr>
                <w:rFonts w:hint="default" w:ascii="Times New Roman" w:hAnsi="Times New Roman" w:eastAsia="宋体" w:cs="Times New Roman"/>
                <w:color w:val="auto"/>
                <w:spacing w:val="0"/>
                <w:position w:val="0"/>
                <w:sz w:val="24"/>
                <w:szCs w:val="24"/>
                <w:highlight w:val="none"/>
                <w:lang w:val="en-GB"/>
              </w:rPr>
              <w:t>进入卧式真空冷凝器；从一蒸浓缩后的混合油经换热器进入第二长管蒸发器蒸发。二蒸也为负压蒸发，用间接蒸汽加热，蒸发的溶剂汽经分离器进入卧式真空冷凝器，分离出的混合油进入分离器下部保持液封，由汽提塔喂料泵将油送入汽提段。</w:t>
            </w:r>
          </w:p>
          <w:p w14:paraId="463A76E7">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该工序会产生不凝汽（G5），主要成分为正己烷。</w:t>
            </w:r>
          </w:p>
          <w:p w14:paraId="0A53D719">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⑥汽提</w:t>
            </w:r>
          </w:p>
          <w:p w14:paraId="20543751">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混合油从汽提塔顶部进到塔内的分油碟盘内，均匀分布向下溢流使毛油在真空状态下进行脱溶，同时底部喷入后道真空脱溶器真空泵抽出的混合气体来汽提脱溶。顶部出口接卧式真空冷凝器，由高真空喷射泵保持汽提塔在负压下工作，汽提塔底部毛油再由泵抽出输入毛油加热器调整温度后至毛油真空脱溶器脱除残留溶剂，最后毛油换热降温后输出浸出车间。</w:t>
            </w:r>
          </w:p>
          <w:p w14:paraId="69FABC71">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该工序会产生不凝汽（G6），主要成分为正己烷。</w:t>
            </w:r>
          </w:p>
          <w:p w14:paraId="4EB89502">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⑦溶剂冷凝</w:t>
            </w:r>
          </w:p>
          <w:p w14:paraId="71EBBDD0">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汽提冷凝器未凝</w:t>
            </w:r>
            <w:r>
              <w:rPr>
                <w:rFonts w:hint="default" w:ascii="Times New Roman" w:hAnsi="Times New Roman" w:cs="Times New Roman"/>
                <w:color w:val="auto"/>
                <w:spacing w:val="0"/>
                <w:position w:val="0"/>
                <w:sz w:val="24"/>
                <w:szCs w:val="24"/>
                <w:highlight w:val="none"/>
                <w:lang w:val="en-GB" w:eastAsia="zh-CN"/>
              </w:rPr>
              <w:t>气体</w:t>
            </w:r>
            <w:r>
              <w:rPr>
                <w:rFonts w:hint="default" w:ascii="Times New Roman" w:hAnsi="Times New Roman" w:eastAsia="宋体" w:cs="Times New Roman"/>
                <w:color w:val="auto"/>
                <w:spacing w:val="0"/>
                <w:position w:val="0"/>
                <w:sz w:val="24"/>
                <w:szCs w:val="24"/>
                <w:highlight w:val="none"/>
                <w:lang w:val="en-GB"/>
              </w:rPr>
              <w:t>由高真空喷射泵抽入真空冷凝器。真空冷凝器未凝</w:t>
            </w:r>
            <w:r>
              <w:rPr>
                <w:rFonts w:hint="default" w:ascii="Times New Roman" w:hAnsi="Times New Roman" w:cs="Times New Roman"/>
                <w:color w:val="auto"/>
                <w:spacing w:val="0"/>
                <w:position w:val="0"/>
                <w:sz w:val="24"/>
                <w:szCs w:val="24"/>
                <w:highlight w:val="none"/>
                <w:lang w:val="en-GB" w:eastAsia="zh-CN"/>
              </w:rPr>
              <w:t>气体</w:t>
            </w:r>
            <w:r>
              <w:rPr>
                <w:rFonts w:hint="default" w:ascii="Times New Roman" w:hAnsi="Times New Roman" w:eastAsia="宋体" w:cs="Times New Roman"/>
                <w:color w:val="auto"/>
                <w:spacing w:val="0"/>
                <w:position w:val="0"/>
                <w:sz w:val="24"/>
                <w:szCs w:val="24"/>
                <w:highlight w:val="none"/>
                <w:lang w:val="en-GB"/>
              </w:rPr>
              <w:t>由低真空喷射泵抽入第一长管蒸发器壳程。第一长管蒸发器壳程未凝</w:t>
            </w:r>
            <w:r>
              <w:rPr>
                <w:rFonts w:hint="default" w:ascii="Times New Roman" w:hAnsi="Times New Roman" w:cs="Times New Roman"/>
                <w:color w:val="auto"/>
                <w:spacing w:val="0"/>
                <w:position w:val="0"/>
                <w:sz w:val="24"/>
                <w:szCs w:val="24"/>
                <w:highlight w:val="none"/>
                <w:lang w:val="en-GB" w:eastAsia="zh-CN"/>
              </w:rPr>
              <w:t>气体</w:t>
            </w:r>
            <w:r>
              <w:rPr>
                <w:rFonts w:hint="default" w:ascii="Times New Roman" w:hAnsi="Times New Roman" w:eastAsia="宋体" w:cs="Times New Roman"/>
                <w:color w:val="auto"/>
                <w:spacing w:val="0"/>
                <w:position w:val="0"/>
                <w:sz w:val="24"/>
                <w:szCs w:val="24"/>
                <w:highlight w:val="none"/>
                <w:lang w:val="en-GB"/>
              </w:rPr>
              <w:t>进入节能器下部。汽提冷凝器和真空冷凝器的冷凝液分别进入集液罐，由真空冷凝液泵打入节能器顶部喷下与热汽体进行热交换后，冷凝液由底部自流入分水器。浸出器自由</w:t>
            </w:r>
            <w:r>
              <w:rPr>
                <w:rFonts w:hint="default" w:ascii="Times New Roman" w:hAnsi="Times New Roman" w:cs="Times New Roman"/>
                <w:color w:val="auto"/>
                <w:spacing w:val="0"/>
                <w:position w:val="0"/>
                <w:sz w:val="24"/>
                <w:szCs w:val="24"/>
                <w:highlight w:val="none"/>
                <w:lang w:val="en-GB" w:eastAsia="zh-CN"/>
              </w:rPr>
              <w:t>气体</w:t>
            </w:r>
            <w:r>
              <w:rPr>
                <w:rFonts w:hint="default" w:ascii="Times New Roman" w:hAnsi="Times New Roman" w:eastAsia="宋体" w:cs="Times New Roman"/>
                <w:color w:val="auto"/>
                <w:spacing w:val="0"/>
                <w:position w:val="0"/>
                <w:sz w:val="24"/>
                <w:szCs w:val="24"/>
                <w:highlight w:val="none"/>
                <w:lang w:val="en-GB"/>
              </w:rPr>
              <w:t>、分水器及溶剂库自由汽体、节能器未凝汽、解析塔</w:t>
            </w:r>
            <w:r>
              <w:rPr>
                <w:rFonts w:hint="default" w:ascii="Times New Roman" w:hAnsi="Times New Roman" w:cs="Times New Roman"/>
                <w:color w:val="auto"/>
                <w:spacing w:val="0"/>
                <w:position w:val="0"/>
                <w:sz w:val="24"/>
                <w:szCs w:val="24"/>
                <w:highlight w:val="none"/>
                <w:lang w:val="en-GB" w:eastAsia="zh-CN"/>
              </w:rPr>
              <w:t>气体</w:t>
            </w:r>
            <w:r>
              <w:rPr>
                <w:rFonts w:hint="default" w:ascii="Times New Roman" w:hAnsi="Times New Roman" w:eastAsia="宋体" w:cs="Times New Roman"/>
                <w:color w:val="auto"/>
                <w:spacing w:val="0"/>
                <w:position w:val="0"/>
                <w:sz w:val="24"/>
                <w:szCs w:val="24"/>
                <w:highlight w:val="none"/>
                <w:lang w:val="en-GB"/>
              </w:rPr>
              <w:t>、蒸煮罐汽体等进入平衡罐然后进入节能冷凝器。经</w:t>
            </w:r>
            <w:r>
              <w:rPr>
                <w:rFonts w:hint="default" w:ascii="Times New Roman" w:hAnsi="Times New Roman" w:cs="Times New Roman"/>
                <w:color w:val="auto"/>
                <w:spacing w:val="0"/>
                <w:position w:val="0"/>
                <w:sz w:val="24"/>
                <w:szCs w:val="24"/>
                <w:highlight w:val="none"/>
                <w:lang w:val="en-GB" w:eastAsia="zh-CN"/>
              </w:rPr>
              <w:t>分</w:t>
            </w:r>
            <w:r>
              <w:rPr>
                <w:rFonts w:hint="default" w:ascii="Times New Roman" w:hAnsi="Times New Roman" w:eastAsia="宋体" w:cs="Times New Roman"/>
                <w:color w:val="auto"/>
                <w:spacing w:val="0"/>
                <w:position w:val="0"/>
                <w:sz w:val="24"/>
                <w:szCs w:val="24"/>
                <w:highlight w:val="none"/>
                <w:lang w:val="en-GB"/>
              </w:rPr>
              <w:t>流后，溶剂进入溶剂库，由新鲜溶剂泵经溶剂预热器预热后打入浸出器循环使用。在分水器中，上层是溶剂油，可以进行回收后继续循环使用；而下层则主要为废水，该废水经蒸发分馏回收所含残余正己烷后，废水排入市政管网，最终进入</w:t>
            </w:r>
            <w:r>
              <w:rPr>
                <w:rFonts w:hint="default" w:ascii="Times New Roman" w:hAnsi="Times New Roman" w:cs="Times New Roman"/>
                <w:color w:val="auto"/>
                <w:spacing w:val="0"/>
                <w:position w:val="0"/>
                <w:sz w:val="24"/>
                <w:szCs w:val="24"/>
                <w:highlight w:val="none"/>
                <w:lang w:val="en-GB" w:eastAsia="zh-CN"/>
              </w:rPr>
              <w:t>桦川县污水处理厂</w:t>
            </w:r>
            <w:r>
              <w:rPr>
                <w:rFonts w:hint="default" w:ascii="Times New Roman" w:hAnsi="Times New Roman" w:eastAsia="宋体" w:cs="Times New Roman"/>
                <w:color w:val="auto"/>
                <w:spacing w:val="0"/>
                <w:position w:val="0"/>
                <w:sz w:val="24"/>
                <w:szCs w:val="24"/>
                <w:highlight w:val="none"/>
                <w:lang w:val="en-GB"/>
              </w:rPr>
              <w:t>。</w:t>
            </w:r>
          </w:p>
          <w:p w14:paraId="0B8CBCD8">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该工序会产生不凝汽（G7），主要成分为正己烷。</w:t>
            </w:r>
          </w:p>
          <w:p w14:paraId="7B6AB683">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⑧尾气吸收工序</w:t>
            </w:r>
          </w:p>
          <w:p w14:paraId="0066CCD5">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jc w:val="left"/>
              <w:textAlignment w:val="auto"/>
              <w:rPr>
                <w:rFonts w:hint="default" w:ascii="Times New Roman" w:hAnsi="Times New Roman" w:eastAsia="宋体" w:cs="Times New Roman"/>
                <w:color w:val="auto"/>
                <w:spacing w:val="0"/>
                <w:position w:val="0"/>
                <w:sz w:val="24"/>
                <w:szCs w:val="24"/>
                <w:highlight w:val="none"/>
                <w:lang w:val="en-GB"/>
              </w:rPr>
            </w:pPr>
            <w:r>
              <w:rPr>
                <w:rFonts w:hint="default" w:ascii="Times New Roman" w:hAnsi="Times New Roman" w:eastAsia="宋体" w:cs="Times New Roman"/>
                <w:color w:val="auto"/>
                <w:spacing w:val="0"/>
                <w:position w:val="0"/>
                <w:sz w:val="24"/>
                <w:szCs w:val="24"/>
                <w:highlight w:val="none"/>
                <w:lang w:val="en-GB"/>
              </w:rPr>
              <w:t>节能冷凝器自由汽体进入最后冷凝器回收溶剂，从最后冷凝器出来的未凝汽体从吸收塔底部进入吸收塔，贫油（贫含溶剂的低温石蜡（小于 35℃））从塔上部喷入，穿过填料层与尾气逆流接触吸收溶剂，吸收后的尾气由尾气风机从吸收塔顶部经阻火器排入大气。吸收了溶剂的富油，由富油泵打入贫富油热交换器、富油加热器，加热后富油由解析塔上部进入塔中，解析塔底部通入直接蒸汽进行解析，解析后的气体进入平衡罐。贫油经冷却器冷却后由贫油泵打入贫富油热交换器、贫油经冷却器冷却，冷却后的贫油从吸收塔上部喷入塔中循环使用。尾气回收部分设解吸塔液位自动控制，以保持两塔的流量和液位的平衡。富油加热器</w:t>
            </w:r>
            <w:r>
              <w:rPr>
                <w:rFonts w:hint="default" w:ascii="Times New Roman" w:hAnsi="Times New Roman" w:cs="Times New Roman"/>
                <w:color w:val="auto"/>
                <w:spacing w:val="0"/>
                <w:position w:val="0"/>
                <w:sz w:val="24"/>
                <w:szCs w:val="24"/>
                <w:highlight w:val="none"/>
                <w:lang w:val="en-GB" w:eastAsia="zh-CN"/>
              </w:rPr>
              <w:t>设有</w:t>
            </w:r>
            <w:r>
              <w:rPr>
                <w:rFonts w:hint="default" w:ascii="Times New Roman" w:hAnsi="Times New Roman" w:eastAsia="宋体" w:cs="Times New Roman"/>
                <w:color w:val="auto"/>
                <w:spacing w:val="0"/>
                <w:position w:val="0"/>
                <w:sz w:val="24"/>
                <w:szCs w:val="24"/>
                <w:highlight w:val="none"/>
                <w:lang w:val="en-GB"/>
              </w:rPr>
              <w:t>温度自动控制装置，用于控制进入</w:t>
            </w:r>
            <w:r>
              <w:rPr>
                <w:rFonts w:hint="default" w:ascii="Times New Roman" w:hAnsi="Times New Roman" w:cs="Times New Roman"/>
                <w:color w:val="auto"/>
                <w:spacing w:val="0"/>
                <w:position w:val="0"/>
                <w:sz w:val="24"/>
                <w:szCs w:val="24"/>
                <w:highlight w:val="none"/>
                <w:lang w:val="en-GB" w:eastAsia="zh-CN"/>
              </w:rPr>
              <w:t>解析</w:t>
            </w:r>
            <w:r>
              <w:rPr>
                <w:rFonts w:hint="default" w:ascii="Times New Roman" w:hAnsi="Times New Roman" w:eastAsia="宋体" w:cs="Times New Roman"/>
                <w:color w:val="auto"/>
                <w:spacing w:val="0"/>
                <w:position w:val="0"/>
                <w:sz w:val="24"/>
                <w:szCs w:val="24"/>
                <w:highlight w:val="none"/>
                <w:lang w:val="en-GB"/>
              </w:rPr>
              <w:t>塔的富油温度。</w:t>
            </w:r>
          </w:p>
          <w:p w14:paraId="0ED29614">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420"/>
              <w:jc w:val="center"/>
              <w:textAlignment w:val="auto"/>
              <w:rPr>
                <w:rFonts w:hint="default" w:ascii="Times New Roman" w:hAnsi="Times New Roman" w:eastAsia="宋体" w:cs="Times New Roman"/>
                <w:b/>
                <w:bCs w:val="0"/>
                <w:color w:val="auto"/>
                <w:spacing w:val="0"/>
                <w:position w:val="0"/>
                <w:szCs w:val="21"/>
                <w:highlight w:val="none"/>
                <w:lang w:eastAsia="zh-CN"/>
              </w:rPr>
            </w:pPr>
            <w:r>
              <w:rPr>
                <w:rFonts w:hint="default" w:ascii="Times New Roman" w:hAnsi="Times New Roman" w:eastAsia="宋体" w:cs="Times New Roman"/>
                <w:b/>
                <w:bCs w:val="0"/>
                <w:color w:val="auto"/>
                <w:spacing w:val="0"/>
                <w:position w:val="0"/>
                <w:szCs w:val="21"/>
                <w:highlight w:val="none"/>
                <w:lang w:eastAsia="zh-CN"/>
              </w:rPr>
              <w:drawing>
                <wp:inline distT="0" distB="0" distL="114300" distR="114300">
                  <wp:extent cx="5328285" cy="6134100"/>
                  <wp:effectExtent l="0" t="0" r="0" b="0"/>
                  <wp:docPr id="104" name="图片 104" descr="龙粮油脂米糠油生产工艺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龙粮油脂米糠油生产工艺流程图"/>
                          <pic:cNvPicPr>
                            <a:picLocks noChangeAspect="1"/>
                          </pic:cNvPicPr>
                        </pic:nvPicPr>
                        <pic:blipFill>
                          <a:blip r:embed="rId22"/>
                          <a:srcRect t="2847" b="2983"/>
                          <a:stretch>
                            <a:fillRect/>
                          </a:stretch>
                        </pic:blipFill>
                        <pic:spPr>
                          <a:xfrm>
                            <a:off x="0" y="0"/>
                            <a:ext cx="5328285" cy="6134100"/>
                          </a:xfrm>
                          <a:prstGeom prst="rect">
                            <a:avLst/>
                          </a:prstGeom>
                        </pic:spPr>
                      </pic:pic>
                    </a:graphicData>
                  </a:graphic>
                </wp:inline>
              </w:drawing>
            </w:r>
          </w:p>
          <w:p w14:paraId="39AB68C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bCs/>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图2-</w:t>
            </w:r>
            <w:r>
              <w:rPr>
                <w:rFonts w:hint="default" w:ascii="Times New Roman" w:hAnsi="Times New Roman" w:cs="Times New Roman"/>
                <w:b/>
                <w:bCs/>
                <w:color w:val="auto"/>
                <w:spacing w:val="0"/>
                <w:position w:val="0"/>
                <w:sz w:val="24"/>
                <w:szCs w:val="24"/>
                <w:highlight w:val="none"/>
                <w:lang w:val="en-US" w:eastAsia="zh-CN"/>
              </w:rPr>
              <w:t>2 米糠油加工</w:t>
            </w:r>
            <w:r>
              <w:rPr>
                <w:rFonts w:hint="default" w:ascii="Times New Roman" w:hAnsi="Times New Roman" w:eastAsia="宋体" w:cs="Times New Roman"/>
                <w:b/>
                <w:bCs/>
                <w:color w:val="auto"/>
                <w:spacing w:val="0"/>
                <w:position w:val="0"/>
                <w:sz w:val="24"/>
                <w:szCs w:val="24"/>
                <w:highlight w:val="none"/>
              </w:rPr>
              <w:t>工艺流程及产污节点图</w:t>
            </w:r>
          </w:p>
          <w:p w14:paraId="786DC54C">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2、大豆油加工</w:t>
            </w:r>
          </w:p>
          <w:p w14:paraId="1AB123BC">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（1）生产工艺</w:t>
            </w:r>
          </w:p>
          <w:p w14:paraId="14B38A77">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①清选：清选是利用大豆和杂质在颗粒大小及比重上的差别，借助清选筛来达到去除颗粒不均匀杂质的目的。清选过程会产生秸秆、大物、土、石、豆皮及金属屑等固体废物。</w:t>
            </w:r>
          </w:p>
          <w:p w14:paraId="68150ACD">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②软化：软化是通过对油料水分和温度的调节，改善油料的弹塑性，使之</w:t>
            </w:r>
            <w:r>
              <w:rPr>
                <w:rFonts w:hint="default" w:ascii="Times New Roman" w:hAnsi="Times New Roman" w:cs="Times New Roman"/>
                <w:color w:val="auto"/>
                <w:spacing w:val="0"/>
                <w:position w:val="0"/>
                <w:sz w:val="24"/>
                <w:szCs w:val="24"/>
                <w:highlight w:val="none"/>
                <w:lang w:val="en-US" w:eastAsia="zh-CN"/>
              </w:rPr>
              <w:t>具备</w:t>
            </w:r>
            <w:r>
              <w:rPr>
                <w:rFonts w:hint="default" w:ascii="Times New Roman" w:hAnsi="Times New Roman" w:eastAsia="宋体" w:cs="Times New Roman"/>
                <w:color w:val="auto"/>
                <w:spacing w:val="0"/>
                <w:position w:val="0"/>
                <w:sz w:val="24"/>
                <w:szCs w:val="24"/>
                <w:highlight w:val="none"/>
              </w:rPr>
              <w:t>轧胚的最佳条件，减少轧胚时的粉末度现象，保证配片的质量。软化主要用于含油量低、含水量低和含壳量高的物理可塑性差、质地坚硬的油料。</w:t>
            </w:r>
          </w:p>
          <w:p w14:paraId="6A9628EC">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③轧胚：轧胚就是利用机械的作用，将大豆由粒状压成片状的过程。轧胚的目的在于破坏大豆的细胞组织，增加大豆的表面积，缩短油脂流出的过程，有利于油脂的提取，也有利于提高蒸发效果。该工艺产生的污染物主要为臭气。</w:t>
            </w:r>
          </w:p>
          <w:p w14:paraId="379CD2D7">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④蒸炒：把大豆放入电炒锅进行蒸炒，蒸炒到大豆水分在6%-8%范围内，使温度达到100-110℃。该工序产生的污染物主要为臭气。</w:t>
            </w:r>
          </w:p>
          <w:p w14:paraId="3AFA09A2">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⑤压榨：压榨是靠物理机械压力，利用压榨机实现油脂和豆饼的分离。该工序产生的污染物主要为臭气。</w:t>
            </w:r>
          </w:p>
          <w:p w14:paraId="01927ED5">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⑥水化碱炼：水化是用一定的热水加入毛油中，使水溶性杂质如磷脂等凝聚沉淀而与油脂分离。碱炼是用碱中和游离脂肪酸，并同时去除部分其他杂质。碱水中和毛油中的游离脂肪酸，使之生成钠皂（俗称皂角），皂角具有很强的吸附能力，相当数量的杂质如黏液、色素等被其吸附而沉淀形成胶体。本项目工艺将水化和碱炼工序合并，在完成碱炼的同时完成水化。水化碱炼在水化碱炼罐中完成，配合使用碱水罐。</w:t>
            </w:r>
          </w:p>
          <w:p w14:paraId="35BD8465">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⑦过滤：利用毛油中磷脂、胶质等物质吸水膨胀的特点，待吸水后分子体积变大，使用板框过滤机将其过滤出来。该工序产生的污染物主要为设备噪声及油脚。油脚进入油脚罐内暂存。</w:t>
            </w:r>
          </w:p>
          <w:p w14:paraId="31090A05">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⑧脱色</w:t>
            </w:r>
          </w:p>
          <w:p w14:paraId="1BF65093">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油泵入脱色罐后，在0.4kpa、110-120℃时加入约1%-3%食品级脱色剂活性白土，搅拌15-30min，便于油和脱色剂充分接触，吸附其中的色素、残皂和微量磷脂等。</w:t>
            </w:r>
          </w:p>
          <w:p w14:paraId="3C196F49">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⑨过滤</w:t>
            </w:r>
          </w:p>
          <w:p w14:paraId="5336F1E4">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待脱色剂充分吸附油中的色素、残皂、微量磷脂等后，使用高效板式密闭式过滤机将废吸附剂过滤出来。滤后脱色油泵入脱臭工序，过滤机出来的废吸附剂则转入处理罐回收残油，形成固体含油废料-废活性白土。</w:t>
            </w:r>
          </w:p>
          <w:p w14:paraId="0CBDF481">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⑩脱臭</w:t>
            </w:r>
          </w:p>
          <w:p w14:paraId="27DEB83D">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气味是氧化产物，进一步氧化生成过氧化合物，分解成醛，因而使油呈味。此外，在制油过程中也会产生臭味，如肥皂味和泥土味等。除去油脂特有气味（呈味物质）的工艺过程就称为油脂的“脱臭”。</w:t>
            </w:r>
          </w:p>
          <w:p w14:paraId="3DF7052E">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采用真空蒸汽脱臭法，是在脱臭罐内在真空条件下用过热蒸汽将油内呈味物质除去的工艺过程。水蒸气通过含有呈味组分的油脂，汽与液接触，水蒸气被挥发出来的臭味组分所饱和，并按其分压比率选出而除去。脱色油在99.7kpa、240℃条件下，使用蒸汽蒸馏30-60min，把油中低挥发点的物质蒸馏出来后，即获得成品油，成品油冷却至80℃以下后，泵入成品油罐。馏出物冷却后收集在脂肪酸捕集器内。</w:t>
            </w:r>
          </w:p>
          <w:p w14:paraId="0BEF74A1">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p>
          <w:p w14:paraId="204B2558">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p>
          <w:p w14:paraId="434D2893">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p>
          <w:p w14:paraId="72F5A471">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p>
          <w:p w14:paraId="6888B07C">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p>
          <w:p w14:paraId="73BB5280">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p>
          <w:p w14:paraId="71D1F707">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p>
          <w:p w14:paraId="69D79D85">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p>
          <w:p w14:paraId="770D97C6">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p>
          <w:p w14:paraId="3BC9B227">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p>
          <w:p w14:paraId="3FC356B1">
            <w:pPr>
              <w:keepNext w:val="0"/>
              <w:keepLines w:val="0"/>
              <w:pageBreakBefore w:val="0"/>
              <w:kinsoku/>
              <w:wordWrap/>
              <w:overflowPunct/>
              <w:topLinePunct w:val="0"/>
              <w:bidi w:val="0"/>
              <w:adjustRightInd w:val="0"/>
              <w:snapToGrid w:val="0"/>
              <w:spacing w:beforeAutospacing="0" w:afterAutospacing="0" w:line="520" w:lineRule="exact"/>
              <w:ind w:right="0" w:rightChars="0"/>
              <w:rPr>
                <w:rFonts w:hint="default" w:ascii="Times New Roman" w:hAnsi="Times New Roman" w:eastAsia="宋体" w:cs="Times New Roman"/>
                <w:color w:val="auto"/>
                <w:spacing w:val="0"/>
                <w:position w:val="0"/>
                <w:sz w:val="24"/>
                <w:szCs w:val="24"/>
                <w:highlight w:val="none"/>
              </w:rPr>
            </w:pPr>
          </w:p>
          <w:p w14:paraId="4AB613B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right="0" w:rightChars="0"/>
              <w:jc w:val="center"/>
              <w:textAlignment w:val="auto"/>
              <w:rPr>
                <w:rFonts w:hint="default" w:ascii="Times New Roman" w:hAnsi="Times New Roman" w:eastAsia="宋体" w:cs="Times New Roman"/>
                <w:color w:val="auto"/>
                <w:spacing w:val="0"/>
                <w:position w:val="0"/>
                <w:sz w:val="24"/>
                <w:szCs w:val="24"/>
                <w:highlight w:val="none"/>
                <w:lang w:eastAsia="zh-CN"/>
              </w:rPr>
            </w:pPr>
            <w:r>
              <w:rPr>
                <w:rFonts w:hint="default" w:ascii="Times New Roman" w:hAnsi="Times New Roman" w:eastAsia="宋体" w:cs="Times New Roman"/>
                <w:color w:val="auto"/>
                <w:spacing w:val="0"/>
                <w:position w:val="0"/>
                <w:sz w:val="24"/>
                <w:szCs w:val="24"/>
                <w:highlight w:val="none"/>
                <w:lang w:eastAsia="zh-CN"/>
              </w:rPr>
              <w:drawing>
                <wp:inline distT="0" distB="0" distL="114300" distR="114300">
                  <wp:extent cx="5347335" cy="4841240"/>
                  <wp:effectExtent l="0" t="0" r="5715" b="16510"/>
                  <wp:docPr id="105" name="图片 105" descr="龙粮油脂大豆油生产工艺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龙粮油脂大豆油生产工艺流程图"/>
                          <pic:cNvPicPr>
                            <a:picLocks noChangeAspect="1"/>
                          </pic:cNvPicPr>
                        </pic:nvPicPr>
                        <pic:blipFill>
                          <a:blip r:embed="rId23"/>
                          <a:srcRect t="3891" b="3111"/>
                          <a:stretch>
                            <a:fillRect/>
                          </a:stretch>
                        </pic:blipFill>
                        <pic:spPr>
                          <a:xfrm>
                            <a:off x="0" y="0"/>
                            <a:ext cx="5347335" cy="4841240"/>
                          </a:xfrm>
                          <a:prstGeom prst="rect">
                            <a:avLst/>
                          </a:prstGeom>
                        </pic:spPr>
                      </pic:pic>
                    </a:graphicData>
                  </a:graphic>
                </wp:inline>
              </w:drawing>
            </w:r>
          </w:p>
          <w:p w14:paraId="38E9944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right="0" w:rightChars="0"/>
              <w:jc w:val="center"/>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图2-</w:t>
            </w:r>
            <w:r>
              <w:rPr>
                <w:rFonts w:hint="default" w:ascii="Times New Roman" w:hAnsi="Times New Roman" w:cs="Times New Roman"/>
                <w:b/>
                <w:bCs/>
                <w:color w:val="auto"/>
                <w:spacing w:val="0"/>
                <w:position w:val="0"/>
                <w:sz w:val="24"/>
                <w:szCs w:val="24"/>
                <w:highlight w:val="none"/>
                <w:lang w:val="en-US" w:eastAsia="zh-CN"/>
              </w:rPr>
              <w:t>3 大豆油加工</w:t>
            </w:r>
            <w:r>
              <w:rPr>
                <w:rFonts w:hint="default" w:ascii="Times New Roman" w:hAnsi="Times New Roman" w:eastAsia="宋体" w:cs="Times New Roman"/>
                <w:b/>
                <w:bCs/>
                <w:color w:val="auto"/>
                <w:spacing w:val="0"/>
                <w:position w:val="0"/>
                <w:sz w:val="24"/>
                <w:szCs w:val="24"/>
                <w:highlight w:val="none"/>
              </w:rPr>
              <w:t>工艺流程及产污节点图</w:t>
            </w:r>
          </w:p>
          <w:p w14:paraId="1A634426">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bCs/>
                <w:color w:val="auto"/>
                <w:spacing w:val="0"/>
                <w:position w:val="0"/>
                <w:sz w:val="24"/>
                <w:szCs w:val="32"/>
                <w:highlight w:val="none"/>
              </w:rPr>
            </w:pPr>
            <w:r>
              <w:rPr>
                <w:rFonts w:hint="default" w:ascii="Times New Roman" w:hAnsi="Times New Roman" w:eastAsia="宋体" w:cs="Times New Roman"/>
                <w:b/>
                <w:bCs/>
                <w:color w:val="auto"/>
                <w:spacing w:val="0"/>
                <w:position w:val="0"/>
                <w:sz w:val="24"/>
                <w:szCs w:val="32"/>
                <w:highlight w:val="none"/>
              </w:rPr>
              <w:t>表2-</w:t>
            </w:r>
            <w:r>
              <w:rPr>
                <w:rFonts w:hint="default" w:ascii="Times New Roman" w:hAnsi="Times New Roman" w:cs="Times New Roman"/>
                <w:b/>
                <w:bCs/>
                <w:color w:val="auto"/>
                <w:spacing w:val="0"/>
                <w:position w:val="0"/>
                <w:sz w:val="24"/>
                <w:szCs w:val="32"/>
                <w:highlight w:val="none"/>
                <w:lang w:val="en-US" w:eastAsia="zh-CN"/>
              </w:rPr>
              <w:t>7</w:t>
            </w:r>
            <w:r>
              <w:rPr>
                <w:rFonts w:hint="default" w:ascii="Times New Roman" w:hAnsi="Times New Roman" w:eastAsia="宋体" w:cs="Times New Roman"/>
                <w:b/>
                <w:bCs/>
                <w:color w:val="auto"/>
                <w:spacing w:val="0"/>
                <w:position w:val="0"/>
                <w:sz w:val="24"/>
                <w:szCs w:val="32"/>
                <w:highlight w:val="none"/>
              </w:rPr>
              <w:t xml:space="preserve"> 本项目产污节点汇总表</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40"/>
              <w:gridCol w:w="578"/>
              <w:gridCol w:w="1151"/>
              <w:gridCol w:w="865"/>
              <w:gridCol w:w="2867"/>
              <w:gridCol w:w="2423"/>
            </w:tblGrid>
            <w:tr w14:paraId="1227F1C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64" w:type="pct"/>
                  <w:gridSpan w:val="2"/>
                  <w:tcBorders>
                    <w:tl2br w:val="nil"/>
                    <w:tr2bl w:val="nil"/>
                  </w:tcBorders>
                  <w:noWrap w:val="0"/>
                  <w:vAlign w:val="center"/>
                </w:tcPr>
                <w:p w14:paraId="44F2AA78">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时期</w:t>
                  </w:r>
                </w:p>
              </w:tc>
              <w:tc>
                <w:tcPr>
                  <w:tcW w:w="683" w:type="pct"/>
                  <w:tcBorders>
                    <w:tl2br w:val="nil"/>
                    <w:tr2bl w:val="nil"/>
                  </w:tcBorders>
                  <w:noWrap w:val="0"/>
                  <w:vAlign w:val="center"/>
                </w:tcPr>
                <w:p w14:paraId="7DA29F31">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污染因素</w:t>
                  </w:r>
                </w:p>
              </w:tc>
              <w:tc>
                <w:tcPr>
                  <w:tcW w:w="513" w:type="pct"/>
                  <w:tcBorders>
                    <w:tl2br w:val="nil"/>
                    <w:tr2bl w:val="nil"/>
                  </w:tcBorders>
                  <w:noWrap w:val="0"/>
                  <w:vAlign w:val="center"/>
                </w:tcPr>
                <w:p w14:paraId="377E5DCA">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序号</w:t>
                  </w:r>
                </w:p>
              </w:tc>
              <w:tc>
                <w:tcPr>
                  <w:tcW w:w="1701" w:type="pct"/>
                  <w:tcBorders>
                    <w:tl2br w:val="nil"/>
                    <w:tr2bl w:val="nil"/>
                  </w:tcBorders>
                  <w:noWrap w:val="0"/>
                  <w:vAlign w:val="center"/>
                </w:tcPr>
                <w:p w14:paraId="33D371D7">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产生环节</w:t>
                  </w:r>
                </w:p>
              </w:tc>
              <w:tc>
                <w:tcPr>
                  <w:tcW w:w="1437" w:type="pct"/>
                  <w:tcBorders>
                    <w:tl2br w:val="nil"/>
                    <w:tr2bl w:val="nil"/>
                  </w:tcBorders>
                  <w:noWrap w:val="0"/>
                  <w:vAlign w:val="center"/>
                </w:tcPr>
                <w:p w14:paraId="71DF3DE2">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主要污染物</w:t>
                  </w:r>
                </w:p>
              </w:tc>
            </w:tr>
            <w:tr w14:paraId="7153041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64" w:type="pct"/>
                  <w:gridSpan w:val="2"/>
                  <w:tcBorders>
                    <w:tl2br w:val="nil"/>
                    <w:tr2bl w:val="nil"/>
                  </w:tcBorders>
                  <w:noWrap w:val="0"/>
                  <w:vAlign w:val="center"/>
                </w:tcPr>
                <w:p w14:paraId="384E2BC5">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施工期</w:t>
                  </w:r>
                </w:p>
              </w:tc>
              <w:tc>
                <w:tcPr>
                  <w:tcW w:w="4335" w:type="pct"/>
                  <w:gridSpan w:val="4"/>
                  <w:tcBorders>
                    <w:tl2br w:val="nil"/>
                    <w:tr2bl w:val="nil"/>
                  </w:tcBorders>
                  <w:noWrap w:val="0"/>
                  <w:vAlign w:val="center"/>
                </w:tcPr>
                <w:p w14:paraId="6113DD7F">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施工期主要为设备安装，以及室内简单装修，</w:t>
                  </w:r>
                  <w:r>
                    <w:rPr>
                      <w:rFonts w:hint="default" w:ascii="Times New Roman" w:hAnsi="Times New Roman" w:eastAsia="宋体" w:cs="Times New Roman"/>
                      <w:bCs/>
                      <w:color w:val="auto"/>
                      <w:spacing w:val="0"/>
                      <w:position w:val="0"/>
                      <w:sz w:val="21"/>
                      <w:szCs w:val="21"/>
                      <w:highlight w:val="none"/>
                    </w:rPr>
                    <w:t>主要为噪声，随着施工结束，影响随之消失。</w:t>
                  </w:r>
                </w:p>
              </w:tc>
            </w:tr>
            <w:tr w14:paraId="0502762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restart"/>
                  <w:tcBorders>
                    <w:tl2br w:val="nil"/>
                    <w:tr2bl w:val="nil"/>
                  </w:tcBorders>
                  <w:noWrap w:val="0"/>
                  <w:vAlign w:val="center"/>
                </w:tcPr>
                <w:p w14:paraId="7569E55F">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运营期</w:t>
                  </w:r>
                </w:p>
              </w:tc>
              <w:tc>
                <w:tcPr>
                  <w:tcW w:w="342" w:type="pct"/>
                  <w:vMerge w:val="restart"/>
                  <w:tcBorders>
                    <w:tl2br w:val="nil"/>
                    <w:tr2bl w:val="nil"/>
                  </w:tcBorders>
                  <w:noWrap w:val="0"/>
                  <w:vAlign w:val="center"/>
                </w:tcPr>
                <w:p w14:paraId="74D44996">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米糠油生产工艺</w:t>
                  </w:r>
                </w:p>
              </w:tc>
              <w:tc>
                <w:tcPr>
                  <w:tcW w:w="683" w:type="pct"/>
                  <w:vMerge w:val="restart"/>
                  <w:tcBorders>
                    <w:tl2br w:val="nil"/>
                    <w:tr2bl w:val="nil"/>
                  </w:tcBorders>
                  <w:noWrap w:val="0"/>
                  <w:vAlign w:val="center"/>
                </w:tcPr>
                <w:p w14:paraId="7A8052E1">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废气</w:t>
                  </w:r>
                </w:p>
              </w:tc>
              <w:tc>
                <w:tcPr>
                  <w:tcW w:w="513" w:type="pct"/>
                  <w:tcBorders>
                    <w:tl2br w:val="nil"/>
                    <w:tr2bl w:val="nil"/>
                  </w:tcBorders>
                  <w:noWrap w:val="0"/>
                  <w:vAlign w:val="center"/>
                </w:tcPr>
                <w:p w14:paraId="1C1223DC">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G1</w:t>
                  </w:r>
                </w:p>
              </w:tc>
              <w:tc>
                <w:tcPr>
                  <w:tcW w:w="1701" w:type="pct"/>
                  <w:tcBorders>
                    <w:tl2br w:val="nil"/>
                    <w:tr2bl w:val="nil"/>
                  </w:tcBorders>
                  <w:noWrap w:val="0"/>
                  <w:vAlign w:val="center"/>
                </w:tcPr>
                <w:p w14:paraId="4293251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预处理工序</w:t>
                  </w:r>
                </w:p>
              </w:tc>
              <w:tc>
                <w:tcPr>
                  <w:tcW w:w="1437" w:type="pct"/>
                  <w:tcBorders>
                    <w:tl2br w:val="nil"/>
                    <w:tr2bl w:val="nil"/>
                  </w:tcBorders>
                  <w:noWrap w:val="0"/>
                  <w:vAlign w:val="center"/>
                </w:tcPr>
                <w:p w14:paraId="3BCB2C83">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粉尘</w:t>
                  </w:r>
                </w:p>
              </w:tc>
            </w:tr>
            <w:tr w14:paraId="1E2CD1E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5900B3DA">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14A7074E">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vMerge w:val="continue"/>
                  <w:tcBorders>
                    <w:tl2br w:val="nil"/>
                    <w:tr2bl w:val="nil"/>
                  </w:tcBorders>
                  <w:noWrap w:val="0"/>
                  <w:vAlign w:val="center"/>
                </w:tcPr>
                <w:p w14:paraId="15167EF7">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13" w:type="pct"/>
                  <w:tcBorders>
                    <w:tl2br w:val="nil"/>
                    <w:tr2bl w:val="nil"/>
                  </w:tcBorders>
                  <w:noWrap w:val="0"/>
                  <w:vAlign w:val="center"/>
                </w:tcPr>
                <w:p w14:paraId="23E7DA67">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G2</w:t>
                  </w:r>
                </w:p>
              </w:tc>
              <w:tc>
                <w:tcPr>
                  <w:tcW w:w="1701" w:type="pct"/>
                  <w:tcBorders>
                    <w:tl2br w:val="nil"/>
                    <w:tr2bl w:val="nil"/>
                  </w:tcBorders>
                  <w:noWrap w:val="0"/>
                  <w:vAlign w:val="center"/>
                </w:tcPr>
                <w:p w14:paraId="11B335F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浸出</w:t>
                  </w:r>
                </w:p>
              </w:tc>
              <w:tc>
                <w:tcPr>
                  <w:tcW w:w="1437" w:type="pct"/>
                  <w:tcBorders>
                    <w:tl2br w:val="nil"/>
                    <w:tr2bl w:val="nil"/>
                  </w:tcBorders>
                  <w:noWrap w:val="0"/>
                  <w:vAlign w:val="center"/>
                </w:tcPr>
                <w:p w14:paraId="2563CF06">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正己烷</w:t>
                  </w:r>
                </w:p>
              </w:tc>
            </w:tr>
            <w:tr w14:paraId="7A5CF0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3BFFD742">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6ED7CFA2">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vMerge w:val="continue"/>
                  <w:tcBorders>
                    <w:tl2br w:val="nil"/>
                    <w:tr2bl w:val="nil"/>
                  </w:tcBorders>
                  <w:noWrap w:val="0"/>
                  <w:vAlign w:val="center"/>
                </w:tcPr>
                <w:p w14:paraId="23D11E0C">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13" w:type="pct"/>
                  <w:tcBorders>
                    <w:tl2br w:val="nil"/>
                    <w:tr2bl w:val="nil"/>
                  </w:tcBorders>
                  <w:noWrap w:val="0"/>
                  <w:vAlign w:val="center"/>
                </w:tcPr>
                <w:p w14:paraId="187A3D02">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G3</w:t>
                  </w:r>
                </w:p>
              </w:tc>
              <w:tc>
                <w:tcPr>
                  <w:tcW w:w="1701" w:type="pct"/>
                  <w:tcBorders>
                    <w:tl2br w:val="nil"/>
                    <w:tr2bl w:val="nil"/>
                  </w:tcBorders>
                  <w:noWrap w:val="0"/>
                  <w:vAlign w:val="center"/>
                </w:tcPr>
                <w:p w14:paraId="60E77D7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蒸脱</w:t>
                  </w:r>
                </w:p>
              </w:tc>
              <w:tc>
                <w:tcPr>
                  <w:tcW w:w="1437" w:type="pct"/>
                  <w:tcBorders>
                    <w:tl2br w:val="nil"/>
                    <w:tr2bl w:val="nil"/>
                  </w:tcBorders>
                  <w:noWrap w:val="0"/>
                  <w:vAlign w:val="center"/>
                </w:tcPr>
                <w:p w14:paraId="0E3D5CFE">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正己烷</w:t>
                  </w:r>
                </w:p>
              </w:tc>
            </w:tr>
            <w:tr w14:paraId="2BDC417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0A80D13E">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19E4B2D9">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vMerge w:val="continue"/>
                  <w:tcBorders>
                    <w:tl2br w:val="nil"/>
                    <w:tr2bl w:val="nil"/>
                  </w:tcBorders>
                  <w:noWrap w:val="0"/>
                  <w:vAlign w:val="center"/>
                </w:tcPr>
                <w:p w14:paraId="32B3BA62">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13" w:type="pct"/>
                  <w:tcBorders>
                    <w:tl2br w:val="nil"/>
                    <w:tr2bl w:val="nil"/>
                  </w:tcBorders>
                  <w:noWrap w:val="0"/>
                  <w:vAlign w:val="center"/>
                </w:tcPr>
                <w:p w14:paraId="45533704">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G4</w:t>
                  </w:r>
                </w:p>
              </w:tc>
              <w:tc>
                <w:tcPr>
                  <w:tcW w:w="1701" w:type="pct"/>
                  <w:tcBorders>
                    <w:tl2br w:val="nil"/>
                    <w:tr2bl w:val="nil"/>
                  </w:tcBorders>
                  <w:noWrap w:val="0"/>
                  <w:vAlign w:val="center"/>
                </w:tcPr>
                <w:p w14:paraId="01B15EE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蒸脱</w:t>
                  </w:r>
                </w:p>
              </w:tc>
              <w:tc>
                <w:tcPr>
                  <w:tcW w:w="1437" w:type="pct"/>
                  <w:tcBorders>
                    <w:tl2br w:val="nil"/>
                    <w:tr2bl w:val="nil"/>
                  </w:tcBorders>
                  <w:noWrap w:val="0"/>
                  <w:vAlign w:val="center"/>
                </w:tcPr>
                <w:p w14:paraId="7EC87F0F">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lang w:eastAsia="zh-CN"/>
                    </w:rPr>
                    <w:t>颗粒物</w:t>
                  </w:r>
                </w:p>
              </w:tc>
            </w:tr>
            <w:tr w14:paraId="29BF581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54485DAB">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3A1324F1">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vMerge w:val="continue"/>
                  <w:tcBorders>
                    <w:tl2br w:val="nil"/>
                    <w:tr2bl w:val="nil"/>
                  </w:tcBorders>
                  <w:noWrap w:val="0"/>
                  <w:vAlign w:val="center"/>
                </w:tcPr>
                <w:p w14:paraId="12B3D27E">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13" w:type="pct"/>
                  <w:tcBorders>
                    <w:tl2br w:val="nil"/>
                    <w:tr2bl w:val="nil"/>
                  </w:tcBorders>
                  <w:noWrap w:val="0"/>
                  <w:vAlign w:val="center"/>
                </w:tcPr>
                <w:p w14:paraId="3C7D3786">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G</w:t>
                  </w:r>
                  <w:r>
                    <w:rPr>
                      <w:rFonts w:hint="default" w:ascii="Times New Roman" w:hAnsi="Times New Roman" w:eastAsia="宋体" w:cs="Times New Roman"/>
                      <w:color w:val="auto"/>
                      <w:spacing w:val="0"/>
                      <w:position w:val="0"/>
                      <w:sz w:val="21"/>
                      <w:szCs w:val="21"/>
                      <w:highlight w:val="none"/>
                      <w:lang w:val="en-US" w:eastAsia="zh-CN"/>
                    </w:rPr>
                    <w:t>5</w:t>
                  </w:r>
                </w:p>
              </w:tc>
              <w:tc>
                <w:tcPr>
                  <w:tcW w:w="1701" w:type="pct"/>
                  <w:tcBorders>
                    <w:tl2br w:val="nil"/>
                    <w:tr2bl w:val="nil"/>
                  </w:tcBorders>
                  <w:noWrap w:val="0"/>
                  <w:vAlign w:val="center"/>
                </w:tcPr>
                <w:p w14:paraId="4B301D3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蒸发</w:t>
                  </w:r>
                </w:p>
              </w:tc>
              <w:tc>
                <w:tcPr>
                  <w:tcW w:w="1437" w:type="pct"/>
                  <w:tcBorders>
                    <w:tl2br w:val="nil"/>
                    <w:tr2bl w:val="nil"/>
                  </w:tcBorders>
                  <w:noWrap w:val="0"/>
                  <w:vAlign w:val="center"/>
                </w:tcPr>
                <w:p w14:paraId="683C89D4">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正己烷</w:t>
                  </w:r>
                </w:p>
              </w:tc>
            </w:tr>
            <w:tr w14:paraId="46FA80C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3891AC7D">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5348074F">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vMerge w:val="continue"/>
                  <w:tcBorders>
                    <w:tl2br w:val="nil"/>
                    <w:tr2bl w:val="nil"/>
                  </w:tcBorders>
                  <w:noWrap w:val="0"/>
                  <w:vAlign w:val="center"/>
                </w:tcPr>
                <w:p w14:paraId="62C4CC18">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13" w:type="pct"/>
                  <w:tcBorders>
                    <w:tl2br w:val="nil"/>
                    <w:tr2bl w:val="nil"/>
                  </w:tcBorders>
                  <w:noWrap w:val="0"/>
                  <w:vAlign w:val="center"/>
                </w:tcPr>
                <w:p w14:paraId="2BEA6095">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G</w:t>
                  </w:r>
                  <w:r>
                    <w:rPr>
                      <w:rFonts w:hint="default" w:ascii="Times New Roman" w:hAnsi="Times New Roman" w:eastAsia="宋体" w:cs="Times New Roman"/>
                      <w:color w:val="auto"/>
                      <w:spacing w:val="0"/>
                      <w:position w:val="0"/>
                      <w:sz w:val="21"/>
                      <w:szCs w:val="21"/>
                      <w:highlight w:val="none"/>
                      <w:lang w:val="en-US" w:eastAsia="zh-CN"/>
                    </w:rPr>
                    <w:t>6</w:t>
                  </w:r>
                </w:p>
              </w:tc>
              <w:tc>
                <w:tcPr>
                  <w:tcW w:w="1701" w:type="pct"/>
                  <w:tcBorders>
                    <w:tl2br w:val="nil"/>
                    <w:tr2bl w:val="nil"/>
                  </w:tcBorders>
                  <w:noWrap w:val="0"/>
                  <w:vAlign w:val="center"/>
                </w:tcPr>
                <w:p w14:paraId="2DC8225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汽提</w:t>
                  </w:r>
                </w:p>
              </w:tc>
              <w:tc>
                <w:tcPr>
                  <w:tcW w:w="1437" w:type="pct"/>
                  <w:tcBorders>
                    <w:tl2br w:val="nil"/>
                    <w:tr2bl w:val="nil"/>
                  </w:tcBorders>
                  <w:noWrap w:val="0"/>
                  <w:vAlign w:val="center"/>
                </w:tcPr>
                <w:p w14:paraId="631D750B">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正己烷</w:t>
                  </w:r>
                </w:p>
              </w:tc>
            </w:tr>
            <w:tr w14:paraId="54A623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24E93E2D">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522FC574">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vMerge w:val="continue"/>
                  <w:tcBorders>
                    <w:tl2br w:val="nil"/>
                    <w:tr2bl w:val="nil"/>
                  </w:tcBorders>
                  <w:noWrap w:val="0"/>
                  <w:vAlign w:val="center"/>
                </w:tcPr>
                <w:p w14:paraId="63751B89">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13" w:type="pct"/>
                  <w:tcBorders>
                    <w:tl2br w:val="nil"/>
                    <w:tr2bl w:val="nil"/>
                  </w:tcBorders>
                  <w:noWrap w:val="0"/>
                  <w:vAlign w:val="center"/>
                </w:tcPr>
                <w:p w14:paraId="699DCE6C">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w:t>
                  </w:r>
                </w:p>
              </w:tc>
              <w:tc>
                <w:tcPr>
                  <w:tcW w:w="1701" w:type="pct"/>
                  <w:tcBorders>
                    <w:tl2br w:val="nil"/>
                    <w:tr2bl w:val="nil"/>
                  </w:tcBorders>
                  <w:noWrap w:val="0"/>
                  <w:vAlign w:val="center"/>
                </w:tcPr>
                <w:p w14:paraId="473F0FD2">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地下溶剂油罐</w:t>
                  </w:r>
                </w:p>
              </w:tc>
              <w:tc>
                <w:tcPr>
                  <w:tcW w:w="1437" w:type="pct"/>
                  <w:tcBorders>
                    <w:tl2br w:val="nil"/>
                    <w:tr2bl w:val="nil"/>
                  </w:tcBorders>
                  <w:noWrap w:val="0"/>
                  <w:vAlign w:val="center"/>
                </w:tcPr>
                <w:p w14:paraId="44E29D74">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lang w:eastAsia="zh-CN"/>
                    </w:rPr>
                    <w:t>臭气浓度</w:t>
                  </w:r>
                </w:p>
              </w:tc>
            </w:tr>
            <w:tr w14:paraId="550797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07A951AA">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195848C9">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tcBorders>
                    <w:tl2br w:val="nil"/>
                    <w:tr2bl w:val="nil"/>
                  </w:tcBorders>
                  <w:noWrap w:val="0"/>
                  <w:vAlign w:val="center"/>
                </w:tcPr>
                <w:p w14:paraId="44191064">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废水</w:t>
                  </w:r>
                </w:p>
              </w:tc>
              <w:tc>
                <w:tcPr>
                  <w:tcW w:w="513" w:type="pct"/>
                  <w:tcBorders>
                    <w:tl2br w:val="nil"/>
                    <w:tr2bl w:val="nil"/>
                  </w:tcBorders>
                  <w:noWrap w:val="0"/>
                  <w:vAlign w:val="center"/>
                </w:tcPr>
                <w:p w14:paraId="305F1B9D">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W1</w:t>
                  </w:r>
                </w:p>
              </w:tc>
              <w:tc>
                <w:tcPr>
                  <w:tcW w:w="1701" w:type="pct"/>
                  <w:tcBorders>
                    <w:tl2br w:val="nil"/>
                    <w:tr2bl w:val="nil"/>
                  </w:tcBorders>
                  <w:noWrap w:val="0"/>
                  <w:vAlign w:val="center"/>
                </w:tcPr>
                <w:p w14:paraId="5B92CEFA">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lang w:val="en-US" w:eastAsia="zh-CN"/>
                    </w:rPr>
                    <w:t>浸出</w:t>
                  </w:r>
                  <w:r>
                    <w:rPr>
                      <w:rFonts w:hint="default" w:ascii="Times New Roman" w:hAnsi="Times New Roman" w:eastAsia="宋体" w:cs="Times New Roman"/>
                      <w:color w:val="auto"/>
                      <w:spacing w:val="0"/>
                      <w:position w:val="0"/>
                      <w:sz w:val="21"/>
                      <w:szCs w:val="21"/>
                      <w:highlight w:val="none"/>
                    </w:rPr>
                    <w:t>废水、冷却塔排污水</w:t>
                  </w:r>
                </w:p>
              </w:tc>
              <w:tc>
                <w:tcPr>
                  <w:tcW w:w="1437" w:type="pct"/>
                  <w:tcBorders>
                    <w:tl2br w:val="nil"/>
                    <w:tr2bl w:val="nil"/>
                  </w:tcBorders>
                  <w:noWrap w:val="0"/>
                  <w:vAlign w:val="center"/>
                </w:tcPr>
                <w:p w14:paraId="4C09A685">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COD、BOD</w:t>
                  </w:r>
                  <w:r>
                    <w:rPr>
                      <w:rFonts w:hint="default" w:ascii="Times New Roman" w:hAnsi="Times New Roman" w:eastAsia="宋体" w:cs="Times New Roman"/>
                      <w:color w:val="auto"/>
                      <w:spacing w:val="0"/>
                      <w:position w:val="0"/>
                      <w:sz w:val="21"/>
                      <w:szCs w:val="21"/>
                      <w:highlight w:val="none"/>
                      <w:vertAlign w:val="subscript"/>
                    </w:rPr>
                    <w:t>5</w:t>
                  </w:r>
                  <w:r>
                    <w:rPr>
                      <w:rFonts w:hint="default" w:ascii="Times New Roman" w:hAnsi="Times New Roman" w:eastAsia="宋体" w:cs="Times New Roman"/>
                      <w:color w:val="auto"/>
                      <w:spacing w:val="0"/>
                      <w:position w:val="0"/>
                      <w:sz w:val="21"/>
                      <w:szCs w:val="21"/>
                      <w:highlight w:val="none"/>
                    </w:rPr>
                    <w:t>、SS、动植物油、氨氮</w:t>
                  </w:r>
                </w:p>
              </w:tc>
            </w:tr>
            <w:tr w14:paraId="156ECC9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539BC82E">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2E0EA376">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tcBorders>
                    <w:tl2br w:val="nil"/>
                    <w:tr2bl w:val="nil"/>
                  </w:tcBorders>
                  <w:noWrap w:val="0"/>
                  <w:vAlign w:val="center"/>
                </w:tcPr>
                <w:p w14:paraId="3C67FD93">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噪声</w:t>
                  </w:r>
                </w:p>
              </w:tc>
              <w:tc>
                <w:tcPr>
                  <w:tcW w:w="513" w:type="pct"/>
                  <w:tcBorders>
                    <w:tl2br w:val="nil"/>
                    <w:tr2bl w:val="nil"/>
                  </w:tcBorders>
                  <w:noWrap w:val="0"/>
                  <w:vAlign w:val="center"/>
                </w:tcPr>
                <w:p w14:paraId="77561956">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N</w:t>
                  </w:r>
                </w:p>
              </w:tc>
              <w:tc>
                <w:tcPr>
                  <w:tcW w:w="1701" w:type="pct"/>
                  <w:tcBorders>
                    <w:tl2br w:val="nil"/>
                    <w:tr2bl w:val="nil"/>
                  </w:tcBorders>
                  <w:noWrap w:val="0"/>
                  <w:vAlign w:val="center"/>
                </w:tcPr>
                <w:p w14:paraId="02F0B5A0">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设备噪声</w:t>
                  </w:r>
                </w:p>
              </w:tc>
              <w:tc>
                <w:tcPr>
                  <w:tcW w:w="1437" w:type="pct"/>
                  <w:tcBorders>
                    <w:tl2br w:val="nil"/>
                    <w:tr2bl w:val="nil"/>
                  </w:tcBorders>
                  <w:noWrap w:val="0"/>
                  <w:vAlign w:val="center"/>
                </w:tcPr>
                <w:p w14:paraId="44AE007C">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等效连续A声级</w:t>
                  </w:r>
                </w:p>
              </w:tc>
            </w:tr>
            <w:tr w14:paraId="2C9926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3C19D5F9">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324B31C7">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vMerge w:val="restart"/>
                  <w:tcBorders>
                    <w:tl2br w:val="nil"/>
                    <w:tr2bl w:val="nil"/>
                  </w:tcBorders>
                  <w:noWrap w:val="0"/>
                  <w:vAlign w:val="center"/>
                </w:tcPr>
                <w:p w14:paraId="091CFFCB">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固废</w:t>
                  </w:r>
                </w:p>
              </w:tc>
              <w:tc>
                <w:tcPr>
                  <w:tcW w:w="513" w:type="pct"/>
                  <w:vMerge w:val="restart"/>
                  <w:tcBorders>
                    <w:tl2br w:val="nil"/>
                    <w:tr2bl w:val="nil"/>
                  </w:tcBorders>
                  <w:noWrap w:val="0"/>
                  <w:vAlign w:val="center"/>
                </w:tcPr>
                <w:p w14:paraId="0E82B383">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S</w:t>
                  </w:r>
                </w:p>
              </w:tc>
              <w:tc>
                <w:tcPr>
                  <w:tcW w:w="1701" w:type="pct"/>
                  <w:tcBorders>
                    <w:tl2br w:val="nil"/>
                    <w:tr2bl w:val="nil"/>
                  </w:tcBorders>
                  <w:noWrap w:val="0"/>
                  <w:vAlign w:val="center"/>
                </w:tcPr>
                <w:p w14:paraId="1FF63934">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预处理工段</w:t>
                  </w:r>
                </w:p>
              </w:tc>
              <w:tc>
                <w:tcPr>
                  <w:tcW w:w="1437" w:type="pct"/>
                  <w:tcBorders>
                    <w:tl2br w:val="nil"/>
                    <w:tr2bl w:val="nil"/>
                  </w:tcBorders>
                  <w:noWrap w:val="0"/>
                  <w:vAlign w:val="center"/>
                </w:tcPr>
                <w:p w14:paraId="375FA407">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杂质</w:t>
                  </w:r>
                </w:p>
              </w:tc>
            </w:tr>
            <w:tr w14:paraId="483EB6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5FA35A87">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2B6B1E43">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vMerge w:val="continue"/>
                  <w:tcBorders>
                    <w:tl2br w:val="nil"/>
                    <w:tr2bl w:val="nil"/>
                  </w:tcBorders>
                  <w:noWrap w:val="0"/>
                  <w:vAlign w:val="center"/>
                </w:tcPr>
                <w:p w14:paraId="2D7D6487">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13" w:type="pct"/>
                  <w:vMerge w:val="continue"/>
                  <w:tcBorders>
                    <w:tl2br w:val="nil"/>
                    <w:tr2bl w:val="nil"/>
                  </w:tcBorders>
                  <w:noWrap w:val="0"/>
                  <w:vAlign w:val="center"/>
                </w:tcPr>
                <w:p w14:paraId="4B37DDF8">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1701" w:type="pct"/>
                  <w:tcBorders>
                    <w:tl2br w:val="nil"/>
                    <w:tr2bl w:val="nil"/>
                  </w:tcBorders>
                  <w:noWrap w:val="0"/>
                  <w:vAlign w:val="center"/>
                </w:tcPr>
                <w:p w14:paraId="1679DBFC">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预处理工段除尘设施</w:t>
                  </w:r>
                </w:p>
              </w:tc>
              <w:tc>
                <w:tcPr>
                  <w:tcW w:w="1437" w:type="pct"/>
                  <w:tcBorders>
                    <w:tl2br w:val="nil"/>
                    <w:tr2bl w:val="nil"/>
                  </w:tcBorders>
                  <w:noWrap w:val="0"/>
                  <w:vAlign w:val="center"/>
                </w:tcPr>
                <w:p w14:paraId="58A98235">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除尘器粉尘</w:t>
                  </w:r>
                </w:p>
              </w:tc>
            </w:tr>
            <w:tr w14:paraId="415CC3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4B94AA99">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restart"/>
                  <w:tcBorders>
                    <w:tl2br w:val="nil"/>
                    <w:tr2bl w:val="nil"/>
                  </w:tcBorders>
                  <w:noWrap w:val="0"/>
                  <w:vAlign w:val="center"/>
                </w:tcPr>
                <w:p w14:paraId="3C4A48B4">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大豆油生产工艺</w:t>
                  </w:r>
                </w:p>
              </w:tc>
              <w:tc>
                <w:tcPr>
                  <w:tcW w:w="683" w:type="pct"/>
                  <w:vMerge w:val="restart"/>
                  <w:tcBorders>
                    <w:tl2br w:val="nil"/>
                    <w:tr2bl w:val="nil"/>
                  </w:tcBorders>
                  <w:noWrap w:val="0"/>
                  <w:vAlign w:val="center"/>
                </w:tcPr>
                <w:p w14:paraId="10F8B9AE">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废气</w:t>
                  </w:r>
                </w:p>
              </w:tc>
              <w:tc>
                <w:tcPr>
                  <w:tcW w:w="513" w:type="pct"/>
                  <w:tcBorders>
                    <w:tl2br w:val="nil"/>
                    <w:tr2bl w:val="nil"/>
                  </w:tcBorders>
                  <w:noWrap w:val="0"/>
                  <w:vAlign w:val="center"/>
                </w:tcPr>
                <w:p w14:paraId="102FF60B">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G7</w:t>
                  </w:r>
                </w:p>
              </w:tc>
              <w:tc>
                <w:tcPr>
                  <w:tcW w:w="1701" w:type="pct"/>
                  <w:tcBorders>
                    <w:tl2br w:val="nil"/>
                    <w:tr2bl w:val="nil"/>
                  </w:tcBorders>
                  <w:noWrap w:val="0"/>
                  <w:vAlign w:val="center"/>
                </w:tcPr>
                <w:p w14:paraId="0EE43E87">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预处理工序</w:t>
                  </w:r>
                </w:p>
              </w:tc>
              <w:tc>
                <w:tcPr>
                  <w:tcW w:w="1437" w:type="pct"/>
                  <w:tcBorders>
                    <w:tl2br w:val="nil"/>
                    <w:tr2bl w:val="nil"/>
                  </w:tcBorders>
                  <w:noWrap w:val="0"/>
                  <w:vAlign w:val="center"/>
                </w:tcPr>
                <w:p w14:paraId="01B71567">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粉尘</w:t>
                  </w:r>
                </w:p>
              </w:tc>
            </w:tr>
            <w:tr w14:paraId="402C0A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12A90834">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75A70D8A">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vMerge w:val="continue"/>
                  <w:tcBorders>
                    <w:tl2br w:val="nil"/>
                    <w:tr2bl w:val="nil"/>
                  </w:tcBorders>
                  <w:noWrap w:val="0"/>
                  <w:vAlign w:val="center"/>
                </w:tcPr>
                <w:p w14:paraId="39DD003A">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13" w:type="pct"/>
                  <w:tcBorders>
                    <w:tl2br w:val="nil"/>
                    <w:tr2bl w:val="nil"/>
                  </w:tcBorders>
                  <w:noWrap w:val="0"/>
                  <w:vAlign w:val="center"/>
                </w:tcPr>
                <w:p w14:paraId="7CD2E69D">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G8</w:t>
                  </w:r>
                </w:p>
              </w:tc>
              <w:tc>
                <w:tcPr>
                  <w:tcW w:w="1701" w:type="pct"/>
                  <w:tcBorders>
                    <w:tl2br w:val="nil"/>
                    <w:tr2bl w:val="nil"/>
                  </w:tcBorders>
                  <w:noWrap w:val="0"/>
                  <w:vAlign w:val="center"/>
                </w:tcPr>
                <w:p w14:paraId="4695C59D">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脱色</w:t>
                  </w:r>
                </w:p>
              </w:tc>
              <w:tc>
                <w:tcPr>
                  <w:tcW w:w="1437" w:type="pct"/>
                  <w:tcBorders>
                    <w:tl2br w:val="nil"/>
                    <w:tr2bl w:val="nil"/>
                  </w:tcBorders>
                  <w:noWrap w:val="0"/>
                  <w:vAlign w:val="center"/>
                </w:tcPr>
                <w:p w14:paraId="61B501C0">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臭气浓度、非甲烷总烃</w:t>
                  </w:r>
                </w:p>
              </w:tc>
            </w:tr>
            <w:tr w14:paraId="14E2BAF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1EDD0187">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10A4E7E6">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vMerge w:val="continue"/>
                  <w:tcBorders>
                    <w:tl2br w:val="nil"/>
                    <w:tr2bl w:val="nil"/>
                  </w:tcBorders>
                  <w:noWrap w:val="0"/>
                  <w:vAlign w:val="center"/>
                </w:tcPr>
                <w:p w14:paraId="04AAE5F6">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13" w:type="pct"/>
                  <w:tcBorders>
                    <w:tl2br w:val="nil"/>
                    <w:tr2bl w:val="nil"/>
                  </w:tcBorders>
                  <w:noWrap w:val="0"/>
                  <w:vAlign w:val="center"/>
                </w:tcPr>
                <w:p w14:paraId="01CA5D03">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G9</w:t>
                  </w:r>
                </w:p>
              </w:tc>
              <w:tc>
                <w:tcPr>
                  <w:tcW w:w="1701" w:type="pct"/>
                  <w:tcBorders>
                    <w:tl2br w:val="nil"/>
                    <w:tr2bl w:val="nil"/>
                  </w:tcBorders>
                  <w:noWrap w:val="0"/>
                  <w:vAlign w:val="center"/>
                </w:tcPr>
                <w:p w14:paraId="5F5AED6A">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脱臭</w:t>
                  </w:r>
                </w:p>
              </w:tc>
              <w:tc>
                <w:tcPr>
                  <w:tcW w:w="1437" w:type="pct"/>
                  <w:tcBorders>
                    <w:tl2br w:val="nil"/>
                    <w:tr2bl w:val="nil"/>
                  </w:tcBorders>
                  <w:noWrap w:val="0"/>
                  <w:vAlign w:val="center"/>
                </w:tcPr>
                <w:p w14:paraId="64C3FFC1">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lang w:val="en-US" w:eastAsia="zh-CN"/>
                    </w:rPr>
                    <w:t>臭气浓度、非甲烷总烃</w:t>
                  </w:r>
                </w:p>
              </w:tc>
            </w:tr>
            <w:tr w14:paraId="6AA75C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2D34406D">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6D7DECFF">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tcBorders>
                    <w:tl2br w:val="nil"/>
                    <w:tr2bl w:val="nil"/>
                  </w:tcBorders>
                  <w:noWrap w:val="0"/>
                  <w:vAlign w:val="center"/>
                </w:tcPr>
                <w:p w14:paraId="779368E8">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废水</w:t>
                  </w:r>
                </w:p>
              </w:tc>
              <w:tc>
                <w:tcPr>
                  <w:tcW w:w="513" w:type="pct"/>
                  <w:tcBorders>
                    <w:tl2br w:val="nil"/>
                    <w:tr2bl w:val="nil"/>
                  </w:tcBorders>
                  <w:noWrap w:val="0"/>
                  <w:vAlign w:val="center"/>
                </w:tcPr>
                <w:p w14:paraId="3C28DAFC">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W2</w:t>
                  </w:r>
                </w:p>
              </w:tc>
              <w:tc>
                <w:tcPr>
                  <w:tcW w:w="1701" w:type="pct"/>
                  <w:tcBorders>
                    <w:tl2br w:val="nil"/>
                    <w:tr2bl w:val="nil"/>
                  </w:tcBorders>
                  <w:noWrap w:val="0"/>
                  <w:vAlign w:val="center"/>
                </w:tcPr>
                <w:p w14:paraId="683FEB1B">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lang w:val="en-US" w:eastAsia="zh-CN"/>
                    </w:rPr>
                    <w:t>精炼</w:t>
                  </w:r>
                  <w:r>
                    <w:rPr>
                      <w:rFonts w:hint="default" w:ascii="Times New Roman" w:hAnsi="Times New Roman" w:eastAsia="宋体" w:cs="Times New Roman"/>
                      <w:color w:val="auto"/>
                      <w:spacing w:val="0"/>
                      <w:position w:val="0"/>
                      <w:sz w:val="21"/>
                      <w:szCs w:val="21"/>
                      <w:highlight w:val="none"/>
                    </w:rPr>
                    <w:t>废水、冷却塔排污水</w:t>
                  </w:r>
                </w:p>
              </w:tc>
              <w:tc>
                <w:tcPr>
                  <w:tcW w:w="1437" w:type="pct"/>
                  <w:tcBorders>
                    <w:tl2br w:val="nil"/>
                    <w:tr2bl w:val="nil"/>
                  </w:tcBorders>
                  <w:noWrap w:val="0"/>
                  <w:vAlign w:val="center"/>
                </w:tcPr>
                <w:p w14:paraId="7F486491">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COD、BOD</w:t>
                  </w:r>
                  <w:r>
                    <w:rPr>
                      <w:rFonts w:hint="default" w:ascii="Times New Roman" w:hAnsi="Times New Roman" w:eastAsia="宋体" w:cs="Times New Roman"/>
                      <w:color w:val="auto"/>
                      <w:spacing w:val="0"/>
                      <w:position w:val="0"/>
                      <w:sz w:val="21"/>
                      <w:szCs w:val="21"/>
                      <w:highlight w:val="none"/>
                      <w:vertAlign w:val="subscript"/>
                    </w:rPr>
                    <w:t>5</w:t>
                  </w:r>
                  <w:r>
                    <w:rPr>
                      <w:rFonts w:hint="default" w:ascii="Times New Roman" w:hAnsi="Times New Roman" w:eastAsia="宋体" w:cs="Times New Roman"/>
                      <w:color w:val="auto"/>
                      <w:spacing w:val="0"/>
                      <w:position w:val="0"/>
                      <w:sz w:val="21"/>
                      <w:szCs w:val="21"/>
                      <w:highlight w:val="none"/>
                    </w:rPr>
                    <w:t>、SS、动植物油、氨氮</w:t>
                  </w:r>
                </w:p>
              </w:tc>
            </w:tr>
            <w:tr w14:paraId="314C7C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38971E43">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4D8BDCEF">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tcBorders>
                    <w:tl2br w:val="nil"/>
                    <w:tr2bl w:val="nil"/>
                  </w:tcBorders>
                  <w:noWrap w:val="0"/>
                  <w:vAlign w:val="center"/>
                </w:tcPr>
                <w:p w14:paraId="674B9B07">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噪声</w:t>
                  </w:r>
                </w:p>
              </w:tc>
              <w:tc>
                <w:tcPr>
                  <w:tcW w:w="513" w:type="pct"/>
                  <w:tcBorders>
                    <w:tl2br w:val="nil"/>
                    <w:tr2bl w:val="nil"/>
                  </w:tcBorders>
                  <w:noWrap w:val="0"/>
                  <w:vAlign w:val="center"/>
                </w:tcPr>
                <w:p w14:paraId="0D173FA0">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N</w:t>
                  </w:r>
                </w:p>
              </w:tc>
              <w:tc>
                <w:tcPr>
                  <w:tcW w:w="1701" w:type="pct"/>
                  <w:tcBorders>
                    <w:tl2br w:val="nil"/>
                    <w:tr2bl w:val="nil"/>
                  </w:tcBorders>
                  <w:noWrap w:val="0"/>
                  <w:vAlign w:val="center"/>
                </w:tcPr>
                <w:p w14:paraId="721877E5">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设备噪声</w:t>
                  </w:r>
                </w:p>
              </w:tc>
              <w:tc>
                <w:tcPr>
                  <w:tcW w:w="1437" w:type="pct"/>
                  <w:tcBorders>
                    <w:tl2br w:val="nil"/>
                    <w:tr2bl w:val="nil"/>
                  </w:tcBorders>
                  <w:noWrap w:val="0"/>
                  <w:vAlign w:val="center"/>
                </w:tcPr>
                <w:p w14:paraId="1AE6BBCC">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等效连续A声级</w:t>
                  </w:r>
                </w:p>
              </w:tc>
            </w:tr>
            <w:tr w14:paraId="35A19C3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0D9188AD">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729B15B9">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vMerge w:val="restart"/>
                  <w:tcBorders>
                    <w:tl2br w:val="nil"/>
                    <w:tr2bl w:val="nil"/>
                  </w:tcBorders>
                  <w:noWrap w:val="0"/>
                  <w:vAlign w:val="center"/>
                </w:tcPr>
                <w:p w14:paraId="4014697E">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固废</w:t>
                  </w:r>
                </w:p>
              </w:tc>
              <w:tc>
                <w:tcPr>
                  <w:tcW w:w="513" w:type="pct"/>
                  <w:vMerge w:val="restart"/>
                  <w:tcBorders>
                    <w:tl2br w:val="nil"/>
                    <w:tr2bl w:val="nil"/>
                  </w:tcBorders>
                  <w:noWrap w:val="0"/>
                  <w:vAlign w:val="center"/>
                </w:tcPr>
                <w:p w14:paraId="4466B58D">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S</w:t>
                  </w:r>
                </w:p>
              </w:tc>
              <w:tc>
                <w:tcPr>
                  <w:tcW w:w="1701" w:type="pct"/>
                  <w:tcBorders>
                    <w:tl2br w:val="nil"/>
                    <w:tr2bl w:val="nil"/>
                  </w:tcBorders>
                  <w:shd w:val="clear" w:color="auto" w:fill="auto"/>
                  <w:noWrap w:val="0"/>
                  <w:vAlign w:val="center"/>
                </w:tcPr>
                <w:p w14:paraId="1BDAD8EE">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预处理工段</w:t>
                  </w:r>
                </w:p>
              </w:tc>
              <w:tc>
                <w:tcPr>
                  <w:tcW w:w="1437" w:type="pct"/>
                  <w:tcBorders>
                    <w:tl2br w:val="nil"/>
                    <w:tr2bl w:val="nil"/>
                  </w:tcBorders>
                  <w:shd w:val="clear" w:color="auto" w:fill="auto"/>
                  <w:noWrap w:val="0"/>
                  <w:vAlign w:val="center"/>
                </w:tcPr>
                <w:p w14:paraId="1998ADD6">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杂质</w:t>
                  </w:r>
                </w:p>
              </w:tc>
            </w:tr>
            <w:tr w14:paraId="773A523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10AE2E9E">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304B0433">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vMerge w:val="continue"/>
                  <w:tcBorders>
                    <w:tl2br w:val="nil"/>
                    <w:tr2bl w:val="nil"/>
                  </w:tcBorders>
                  <w:noWrap w:val="0"/>
                  <w:vAlign w:val="center"/>
                </w:tcPr>
                <w:p w14:paraId="540E362F">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13" w:type="pct"/>
                  <w:vMerge w:val="continue"/>
                  <w:tcBorders>
                    <w:tl2br w:val="nil"/>
                    <w:tr2bl w:val="nil"/>
                  </w:tcBorders>
                  <w:noWrap w:val="0"/>
                  <w:vAlign w:val="center"/>
                </w:tcPr>
                <w:p w14:paraId="1DB6BB0A">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1701" w:type="pct"/>
                  <w:tcBorders>
                    <w:tl2br w:val="nil"/>
                    <w:tr2bl w:val="nil"/>
                  </w:tcBorders>
                  <w:shd w:val="clear" w:color="auto" w:fill="auto"/>
                  <w:noWrap w:val="0"/>
                  <w:vAlign w:val="center"/>
                </w:tcPr>
                <w:p w14:paraId="74567B17">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预处理工段除尘设施</w:t>
                  </w:r>
                </w:p>
              </w:tc>
              <w:tc>
                <w:tcPr>
                  <w:tcW w:w="1437" w:type="pct"/>
                  <w:tcBorders>
                    <w:tl2br w:val="nil"/>
                    <w:tr2bl w:val="nil"/>
                  </w:tcBorders>
                  <w:shd w:val="clear" w:color="auto" w:fill="auto"/>
                  <w:noWrap w:val="0"/>
                  <w:vAlign w:val="center"/>
                </w:tcPr>
                <w:p w14:paraId="57A5F807">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除尘器粉尘</w:t>
                  </w:r>
                </w:p>
              </w:tc>
            </w:tr>
            <w:tr w14:paraId="1E0319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06001FD6">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632F9AD2">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vMerge w:val="continue"/>
                  <w:tcBorders>
                    <w:tl2br w:val="nil"/>
                    <w:tr2bl w:val="nil"/>
                  </w:tcBorders>
                  <w:noWrap w:val="0"/>
                  <w:vAlign w:val="center"/>
                </w:tcPr>
                <w:p w14:paraId="609F434F">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13" w:type="pct"/>
                  <w:vMerge w:val="continue"/>
                  <w:tcBorders>
                    <w:tl2br w:val="nil"/>
                    <w:tr2bl w:val="nil"/>
                  </w:tcBorders>
                  <w:noWrap w:val="0"/>
                  <w:vAlign w:val="center"/>
                </w:tcPr>
                <w:p w14:paraId="209DE8FD">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1701" w:type="pct"/>
                  <w:tcBorders>
                    <w:tl2br w:val="nil"/>
                    <w:tr2bl w:val="nil"/>
                  </w:tcBorders>
                  <w:noWrap w:val="0"/>
                  <w:vAlign w:val="center"/>
                </w:tcPr>
                <w:p w14:paraId="4B681620">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过滤</w:t>
                  </w:r>
                </w:p>
              </w:tc>
              <w:tc>
                <w:tcPr>
                  <w:tcW w:w="1437" w:type="pct"/>
                  <w:tcBorders>
                    <w:tl2br w:val="nil"/>
                    <w:tr2bl w:val="nil"/>
                  </w:tcBorders>
                  <w:noWrap w:val="0"/>
                  <w:vAlign w:val="center"/>
                </w:tcPr>
                <w:p w14:paraId="027BEE41">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油角</w:t>
                  </w:r>
                </w:p>
              </w:tc>
            </w:tr>
            <w:tr w14:paraId="3F75AB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06C8C7DC">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05090BFA">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vMerge w:val="continue"/>
                  <w:tcBorders>
                    <w:tl2br w:val="nil"/>
                    <w:tr2bl w:val="nil"/>
                  </w:tcBorders>
                  <w:noWrap w:val="0"/>
                  <w:vAlign w:val="center"/>
                </w:tcPr>
                <w:p w14:paraId="4B2EE125">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13" w:type="pct"/>
                  <w:vMerge w:val="continue"/>
                  <w:tcBorders>
                    <w:tl2br w:val="nil"/>
                    <w:tr2bl w:val="nil"/>
                  </w:tcBorders>
                  <w:noWrap w:val="0"/>
                  <w:vAlign w:val="center"/>
                </w:tcPr>
                <w:p w14:paraId="323FFB04">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1701" w:type="pct"/>
                  <w:tcBorders>
                    <w:tl2br w:val="nil"/>
                    <w:tr2bl w:val="nil"/>
                  </w:tcBorders>
                  <w:noWrap w:val="0"/>
                  <w:vAlign w:val="center"/>
                </w:tcPr>
                <w:p w14:paraId="4A59BEC9">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lang w:val="en-US" w:eastAsia="zh-CN"/>
                    </w:rPr>
                    <w:t>过滤</w:t>
                  </w:r>
                </w:p>
              </w:tc>
              <w:tc>
                <w:tcPr>
                  <w:tcW w:w="1437" w:type="pct"/>
                  <w:tcBorders>
                    <w:tl2br w:val="nil"/>
                    <w:tr2bl w:val="nil"/>
                  </w:tcBorders>
                  <w:noWrap w:val="0"/>
                  <w:vAlign w:val="center"/>
                </w:tcPr>
                <w:p w14:paraId="5CC5CFCB">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非活性白土</w:t>
                  </w:r>
                </w:p>
              </w:tc>
            </w:tr>
            <w:tr w14:paraId="33D212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5C5D21F5">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605B7FFF">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vMerge w:val="continue"/>
                  <w:tcBorders>
                    <w:tl2br w:val="nil"/>
                    <w:tr2bl w:val="nil"/>
                  </w:tcBorders>
                  <w:noWrap w:val="0"/>
                  <w:vAlign w:val="center"/>
                </w:tcPr>
                <w:p w14:paraId="06B2930F">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13" w:type="pct"/>
                  <w:vMerge w:val="continue"/>
                  <w:tcBorders>
                    <w:tl2br w:val="nil"/>
                    <w:tr2bl w:val="nil"/>
                  </w:tcBorders>
                  <w:noWrap w:val="0"/>
                  <w:vAlign w:val="center"/>
                </w:tcPr>
                <w:p w14:paraId="1A217958">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1701" w:type="pct"/>
                  <w:tcBorders>
                    <w:tl2br w:val="nil"/>
                    <w:tr2bl w:val="nil"/>
                  </w:tcBorders>
                  <w:noWrap w:val="0"/>
                  <w:vAlign w:val="center"/>
                </w:tcPr>
                <w:p w14:paraId="17E69BE8">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脱臭</w:t>
                  </w:r>
                </w:p>
              </w:tc>
              <w:tc>
                <w:tcPr>
                  <w:tcW w:w="1437" w:type="pct"/>
                  <w:tcBorders>
                    <w:tl2br w:val="nil"/>
                    <w:tr2bl w:val="nil"/>
                  </w:tcBorders>
                  <w:noWrap w:val="0"/>
                  <w:vAlign w:val="center"/>
                </w:tcPr>
                <w:p w14:paraId="131DA283">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含油废料</w:t>
                  </w:r>
                </w:p>
              </w:tc>
            </w:tr>
            <w:tr w14:paraId="24C2BE7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1704B7B0">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restart"/>
                  <w:tcBorders>
                    <w:tl2br w:val="nil"/>
                    <w:tr2bl w:val="nil"/>
                  </w:tcBorders>
                  <w:noWrap w:val="0"/>
                  <w:vAlign w:val="center"/>
                </w:tcPr>
                <w:p w14:paraId="27A8DA4D">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生物质锅炉</w:t>
                  </w:r>
                </w:p>
              </w:tc>
              <w:tc>
                <w:tcPr>
                  <w:tcW w:w="683" w:type="pct"/>
                  <w:tcBorders>
                    <w:tl2br w:val="nil"/>
                    <w:tr2bl w:val="nil"/>
                  </w:tcBorders>
                  <w:noWrap w:val="0"/>
                  <w:vAlign w:val="center"/>
                </w:tcPr>
                <w:p w14:paraId="64ECC350">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废气</w:t>
                  </w:r>
                </w:p>
              </w:tc>
              <w:tc>
                <w:tcPr>
                  <w:tcW w:w="513" w:type="pct"/>
                  <w:tcBorders>
                    <w:tl2br w:val="nil"/>
                    <w:tr2bl w:val="nil"/>
                  </w:tcBorders>
                  <w:noWrap w:val="0"/>
                  <w:vAlign w:val="center"/>
                </w:tcPr>
                <w:p w14:paraId="7DCF1B9A">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G</w:t>
                  </w:r>
                  <w:r>
                    <w:rPr>
                      <w:rFonts w:hint="default" w:ascii="Times New Roman" w:hAnsi="Times New Roman" w:eastAsia="宋体" w:cs="Times New Roman"/>
                      <w:color w:val="auto"/>
                      <w:spacing w:val="0"/>
                      <w:position w:val="0"/>
                      <w:sz w:val="21"/>
                      <w:szCs w:val="21"/>
                      <w:highlight w:val="none"/>
                      <w:lang w:val="en-US" w:eastAsia="zh-CN"/>
                    </w:rPr>
                    <w:t>8</w:t>
                  </w:r>
                </w:p>
              </w:tc>
              <w:tc>
                <w:tcPr>
                  <w:tcW w:w="1701" w:type="pct"/>
                  <w:tcBorders>
                    <w:tl2br w:val="nil"/>
                    <w:tr2bl w:val="nil"/>
                  </w:tcBorders>
                  <w:shd w:val="clear" w:color="auto" w:fill="auto"/>
                  <w:noWrap w:val="0"/>
                  <w:vAlign w:val="center"/>
                </w:tcPr>
                <w:p w14:paraId="3A8F5B5F">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生物质锅炉烟气</w:t>
                  </w:r>
                </w:p>
              </w:tc>
              <w:tc>
                <w:tcPr>
                  <w:tcW w:w="1437" w:type="pct"/>
                  <w:tcBorders>
                    <w:tl2br w:val="nil"/>
                    <w:tr2bl w:val="nil"/>
                  </w:tcBorders>
                  <w:shd w:val="clear" w:color="auto" w:fill="auto"/>
                  <w:noWrap w:val="0"/>
                  <w:vAlign w:val="center"/>
                </w:tcPr>
                <w:p w14:paraId="2E72ECD4">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颗粒物、SO</w:t>
                  </w:r>
                  <w:r>
                    <w:rPr>
                      <w:rFonts w:hint="default" w:ascii="Times New Roman" w:hAnsi="Times New Roman" w:eastAsia="宋体" w:cs="Times New Roman"/>
                      <w:color w:val="auto"/>
                      <w:spacing w:val="0"/>
                      <w:position w:val="0"/>
                      <w:sz w:val="21"/>
                      <w:szCs w:val="21"/>
                      <w:highlight w:val="none"/>
                      <w:vertAlign w:val="subscript"/>
                    </w:rPr>
                    <w:t>2</w:t>
                  </w:r>
                  <w:r>
                    <w:rPr>
                      <w:rFonts w:hint="default" w:ascii="Times New Roman" w:hAnsi="Times New Roman" w:eastAsia="宋体" w:cs="Times New Roman"/>
                      <w:color w:val="auto"/>
                      <w:spacing w:val="0"/>
                      <w:position w:val="0"/>
                      <w:sz w:val="21"/>
                      <w:szCs w:val="21"/>
                      <w:highlight w:val="none"/>
                    </w:rPr>
                    <w:t>、NO</w:t>
                  </w:r>
                  <w:r>
                    <w:rPr>
                      <w:rFonts w:hint="default" w:ascii="Times New Roman" w:hAnsi="Times New Roman" w:eastAsia="宋体" w:cs="Times New Roman"/>
                      <w:color w:val="auto"/>
                      <w:spacing w:val="0"/>
                      <w:position w:val="0"/>
                      <w:sz w:val="21"/>
                      <w:szCs w:val="21"/>
                      <w:highlight w:val="none"/>
                      <w:vertAlign w:val="subscript"/>
                    </w:rPr>
                    <w:t>X</w:t>
                  </w:r>
                  <w:r>
                    <w:rPr>
                      <w:rStyle w:val="36"/>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烟气黑度、汞及其化合物</w:t>
                  </w:r>
                </w:p>
              </w:tc>
            </w:tr>
            <w:tr w14:paraId="23885F8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1F19D577">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1DA7D950">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tcBorders>
                    <w:tl2br w:val="nil"/>
                    <w:tr2bl w:val="nil"/>
                  </w:tcBorders>
                  <w:noWrap w:val="0"/>
                  <w:vAlign w:val="center"/>
                </w:tcPr>
                <w:p w14:paraId="38413B10">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废水</w:t>
                  </w:r>
                </w:p>
              </w:tc>
              <w:tc>
                <w:tcPr>
                  <w:tcW w:w="513" w:type="pct"/>
                  <w:tcBorders>
                    <w:tl2br w:val="nil"/>
                    <w:tr2bl w:val="nil"/>
                  </w:tcBorders>
                  <w:noWrap w:val="0"/>
                  <w:vAlign w:val="center"/>
                </w:tcPr>
                <w:p w14:paraId="3E187C4C">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W3</w:t>
                  </w:r>
                </w:p>
              </w:tc>
              <w:tc>
                <w:tcPr>
                  <w:tcW w:w="1701" w:type="pct"/>
                  <w:tcBorders>
                    <w:tl2br w:val="nil"/>
                    <w:tr2bl w:val="nil"/>
                  </w:tcBorders>
                  <w:noWrap w:val="0"/>
                  <w:vAlign w:val="center"/>
                </w:tcPr>
                <w:p w14:paraId="1D8DBB91">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锅炉定排污水、纯水制备浓水</w:t>
                  </w:r>
                </w:p>
              </w:tc>
              <w:tc>
                <w:tcPr>
                  <w:tcW w:w="1437" w:type="pct"/>
                  <w:tcBorders>
                    <w:tl2br w:val="nil"/>
                    <w:tr2bl w:val="nil"/>
                  </w:tcBorders>
                  <w:noWrap w:val="0"/>
                  <w:vAlign w:val="center"/>
                </w:tcPr>
                <w:p w14:paraId="51870AC5">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rPr>
                    <w:t>COD、</w:t>
                  </w:r>
                  <w:r>
                    <w:rPr>
                      <w:rFonts w:hint="default" w:ascii="Times New Roman" w:hAnsi="Times New Roman" w:cs="Times New Roman"/>
                      <w:color w:val="auto"/>
                      <w:spacing w:val="0"/>
                      <w:position w:val="0"/>
                      <w:sz w:val="21"/>
                      <w:szCs w:val="21"/>
                      <w:highlight w:val="none"/>
                      <w:lang w:val="en-US" w:eastAsia="zh-CN"/>
                    </w:rPr>
                    <w:t>TDS</w:t>
                  </w:r>
                </w:p>
              </w:tc>
            </w:tr>
            <w:tr w14:paraId="0B5CCA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30DA448D">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052CFB6E">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tcBorders>
                    <w:tl2br w:val="nil"/>
                    <w:tr2bl w:val="nil"/>
                  </w:tcBorders>
                  <w:noWrap w:val="0"/>
                  <w:vAlign w:val="center"/>
                </w:tcPr>
                <w:p w14:paraId="7B53C8B4">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噪声</w:t>
                  </w:r>
                </w:p>
              </w:tc>
              <w:tc>
                <w:tcPr>
                  <w:tcW w:w="513" w:type="pct"/>
                  <w:tcBorders>
                    <w:tl2br w:val="nil"/>
                    <w:tr2bl w:val="nil"/>
                  </w:tcBorders>
                  <w:noWrap w:val="0"/>
                  <w:vAlign w:val="center"/>
                </w:tcPr>
                <w:p w14:paraId="4705F765">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N</w:t>
                  </w:r>
                </w:p>
              </w:tc>
              <w:tc>
                <w:tcPr>
                  <w:tcW w:w="1701" w:type="pct"/>
                  <w:tcBorders>
                    <w:tl2br w:val="nil"/>
                    <w:tr2bl w:val="nil"/>
                  </w:tcBorders>
                  <w:shd w:val="clear" w:color="auto" w:fill="auto"/>
                  <w:noWrap w:val="0"/>
                  <w:vAlign w:val="center"/>
                </w:tcPr>
                <w:p w14:paraId="0BAC061A">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设备噪声</w:t>
                  </w:r>
                </w:p>
              </w:tc>
              <w:tc>
                <w:tcPr>
                  <w:tcW w:w="1437" w:type="pct"/>
                  <w:tcBorders>
                    <w:tl2br w:val="nil"/>
                    <w:tr2bl w:val="nil"/>
                  </w:tcBorders>
                  <w:shd w:val="clear" w:color="auto" w:fill="auto"/>
                  <w:noWrap w:val="0"/>
                  <w:vAlign w:val="center"/>
                </w:tcPr>
                <w:p w14:paraId="216934CD">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等效连续A声级</w:t>
                  </w:r>
                </w:p>
              </w:tc>
            </w:tr>
            <w:tr w14:paraId="3E8BCDC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5B7DC7B2">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2B6D0882">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vMerge w:val="restart"/>
                  <w:tcBorders>
                    <w:tl2br w:val="nil"/>
                    <w:tr2bl w:val="nil"/>
                  </w:tcBorders>
                  <w:noWrap w:val="0"/>
                  <w:vAlign w:val="center"/>
                </w:tcPr>
                <w:p w14:paraId="357A0797">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固废</w:t>
                  </w:r>
                </w:p>
              </w:tc>
              <w:tc>
                <w:tcPr>
                  <w:tcW w:w="513" w:type="pct"/>
                  <w:vMerge w:val="restart"/>
                  <w:tcBorders>
                    <w:tl2br w:val="nil"/>
                    <w:tr2bl w:val="nil"/>
                  </w:tcBorders>
                  <w:noWrap w:val="0"/>
                  <w:vAlign w:val="center"/>
                </w:tcPr>
                <w:p w14:paraId="35C56B3E">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S</w:t>
                  </w:r>
                </w:p>
              </w:tc>
              <w:tc>
                <w:tcPr>
                  <w:tcW w:w="1701" w:type="pct"/>
                  <w:tcBorders>
                    <w:tl2br w:val="nil"/>
                    <w:tr2bl w:val="nil"/>
                  </w:tcBorders>
                  <w:shd w:val="clear" w:color="auto" w:fill="auto"/>
                  <w:noWrap w:val="0"/>
                  <w:vAlign w:val="center"/>
                </w:tcPr>
                <w:p w14:paraId="6FF4CF17">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生物质锅炉</w:t>
                  </w:r>
                </w:p>
              </w:tc>
              <w:tc>
                <w:tcPr>
                  <w:tcW w:w="1437" w:type="pct"/>
                  <w:tcBorders>
                    <w:tl2br w:val="nil"/>
                    <w:tr2bl w:val="nil"/>
                  </w:tcBorders>
                  <w:shd w:val="clear" w:color="auto" w:fill="auto"/>
                  <w:noWrap w:val="0"/>
                  <w:vAlign w:val="center"/>
                </w:tcPr>
                <w:p w14:paraId="26CAAEFD">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锅炉灰渣</w:t>
                  </w:r>
                </w:p>
              </w:tc>
            </w:tr>
            <w:tr w14:paraId="0B793E1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1083CB71">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65DDF99F">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vMerge w:val="continue"/>
                  <w:tcBorders>
                    <w:tl2br w:val="nil"/>
                    <w:tr2bl w:val="nil"/>
                  </w:tcBorders>
                  <w:noWrap w:val="0"/>
                  <w:vAlign w:val="center"/>
                </w:tcPr>
                <w:p w14:paraId="588A17AB">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13" w:type="pct"/>
                  <w:vMerge w:val="continue"/>
                  <w:tcBorders>
                    <w:tl2br w:val="nil"/>
                    <w:tr2bl w:val="nil"/>
                  </w:tcBorders>
                  <w:noWrap w:val="0"/>
                  <w:vAlign w:val="center"/>
                </w:tcPr>
                <w:p w14:paraId="32D4DB4B">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1701" w:type="pct"/>
                  <w:tcBorders>
                    <w:tl2br w:val="nil"/>
                    <w:tr2bl w:val="nil"/>
                  </w:tcBorders>
                  <w:shd w:val="clear" w:color="auto" w:fill="auto"/>
                  <w:noWrap w:val="0"/>
                  <w:vAlign w:val="center"/>
                </w:tcPr>
                <w:p w14:paraId="6ACA10C3">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生物质锅炉除尘器</w:t>
                  </w:r>
                </w:p>
              </w:tc>
              <w:tc>
                <w:tcPr>
                  <w:tcW w:w="1437" w:type="pct"/>
                  <w:tcBorders>
                    <w:tl2br w:val="nil"/>
                    <w:tr2bl w:val="nil"/>
                  </w:tcBorders>
                  <w:shd w:val="clear" w:color="auto" w:fill="auto"/>
                  <w:noWrap w:val="0"/>
                  <w:vAlign w:val="center"/>
                </w:tcPr>
                <w:p w14:paraId="3F61DB2A">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除尘器灰</w:t>
                  </w:r>
                </w:p>
              </w:tc>
            </w:tr>
            <w:tr w14:paraId="2DA651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47CBC7AE">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00795E6C">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vMerge w:val="continue"/>
                  <w:tcBorders>
                    <w:tl2br w:val="nil"/>
                    <w:tr2bl w:val="nil"/>
                  </w:tcBorders>
                  <w:noWrap w:val="0"/>
                  <w:vAlign w:val="center"/>
                </w:tcPr>
                <w:p w14:paraId="0FF7D8B0">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13" w:type="pct"/>
                  <w:vMerge w:val="continue"/>
                  <w:tcBorders>
                    <w:tl2br w:val="nil"/>
                    <w:tr2bl w:val="nil"/>
                  </w:tcBorders>
                  <w:noWrap w:val="0"/>
                  <w:vAlign w:val="center"/>
                </w:tcPr>
                <w:p w14:paraId="2516BC43">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1701" w:type="pct"/>
                  <w:tcBorders>
                    <w:tl2br w:val="nil"/>
                    <w:tr2bl w:val="nil"/>
                  </w:tcBorders>
                  <w:shd w:val="clear" w:color="auto" w:fill="auto"/>
                  <w:noWrap w:val="0"/>
                  <w:vAlign w:val="center"/>
                </w:tcPr>
                <w:p w14:paraId="5B205881">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纯水制备系统</w:t>
                  </w:r>
                </w:p>
              </w:tc>
              <w:tc>
                <w:tcPr>
                  <w:tcW w:w="1437" w:type="pct"/>
                  <w:tcBorders>
                    <w:tl2br w:val="nil"/>
                    <w:tr2bl w:val="nil"/>
                  </w:tcBorders>
                  <w:shd w:val="clear" w:color="auto" w:fill="auto"/>
                  <w:noWrap w:val="0"/>
                  <w:vAlign w:val="center"/>
                </w:tcPr>
                <w:p w14:paraId="28C9DEF8">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废离子交换树脂</w:t>
                  </w:r>
                </w:p>
              </w:tc>
            </w:tr>
            <w:tr w14:paraId="2A9FD1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7" w:hRule="atLeast"/>
                <w:jc w:val="center"/>
              </w:trPr>
              <w:tc>
                <w:tcPr>
                  <w:tcW w:w="321" w:type="pct"/>
                  <w:vMerge w:val="continue"/>
                  <w:tcBorders>
                    <w:tl2br w:val="nil"/>
                    <w:tr2bl w:val="nil"/>
                  </w:tcBorders>
                  <w:noWrap w:val="0"/>
                  <w:vAlign w:val="center"/>
                </w:tcPr>
                <w:p w14:paraId="1C82ACE9">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restart"/>
                  <w:tcBorders>
                    <w:tl2br w:val="nil"/>
                    <w:tr2bl w:val="nil"/>
                  </w:tcBorders>
                  <w:noWrap w:val="0"/>
                  <w:vAlign w:val="center"/>
                </w:tcPr>
                <w:p w14:paraId="39DE41DC">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工作人员</w:t>
                  </w:r>
                </w:p>
              </w:tc>
              <w:tc>
                <w:tcPr>
                  <w:tcW w:w="683" w:type="pct"/>
                  <w:tcBorders>
                    <w:tl2br w:val="nil"/>
                    <w:tr2bl w:val="nil"/>
                  </w:tcBorders>
                  <w:noWrap w:val="0"/>
                  <w:vAlign w:val="center"/>
                </w:tcPr>
                <w:p w14:paraId="0B275858">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废水</w:t>
                  </w:r>
                </w:p>
              </w:tc>
              <w:tc>
                <w:tcPr>
                  <w:tcW w:w="513" w:type="pct"/>
                  <w:tcBorders>
                    <w:tl2br w:val="nil"/>
                    <w:tr2bl w:val="nil"/>
                  </w:tcBorders>
                  <w:noWrap w:val="0"/>
                  <w:vAlign w:val="center"/>
                </w:tcPr>
                <w:p w14:paraId="37FB8518">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W4</w:t>
                  </w:r>
                </w:p>
              </w:tc>
              <w:tc>
                <w:tcPr>
                  <w:tcW w:w="1701" w:type="pct"/>
                  <w:tcBorders>
                    <w:tl2br w:val="nil"/>
                    <w:tr2bl w:val="nil"/>
                  </w:tcBorders>
                  <w:noWrap w:val="0"/>
                  <w:vAlign w:val="center"/>
                </w:tcPr>
                <w:p w14:paraId="0D83C563">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生活污水</w:t>
                  </w:r>
                </w:p>
              </w:tc>
              <w:tc>
                <w:tcPr>
                  <w:tcW w:w="1437" w:type="pct"/>
                  <w:tcBorders>
                    <w:tl2br w:val="nil"/>
                    <w:tr2bl w:val="nil"/>
                  </w:tcBorders>
                  <w:noWrap w:val="0"/>
                  <w:vAlign w:val="center"/>
                </w:tcPr>
                <w:p w14:paraId="767E83A7">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COD、BOD</w:t>
                  </w:r>
                  <w:r>
                    <w:rPr>
                      <w:rFonts w:hint="default" w:ascii="Times New Roman" w:hAnsi="Times New Roman" w:eastAsia="宋体" w:cs="Times New Roman"/>
                      <w:color w:val="auto"/>
                      <w:spacing w:val="0"/>
                      <w:position w:val="0"/>
                      <w:sz w:val="21"/>
                      <w:szCs w:val="21"/>
                      <w:highlight w:val="none"/>
                      <w:vertAlign w:val="subscript"/>
                    </w:rPr>
                    <w:t>5</w:t>
                  </w:r>
                  <w:r>
                    <w:rPr>
                      <w:rFonts w:hint="default" w:ascii="Times New Roman" w:hAnsi="Times New Roman" w:eastAsia="宋体" w:cs="Times New Roman"/>
                      <w:color w:val="auto"/>
                      <w:spacing w:val="0"/>
                      <w:position w:val="0"/>
                      <w:sz w:val="21"/>
                      <w:szCs w:val="21"/>
                      <w:highlight w:val="none"/>
                    </w:rPr>
                    <w:t>、SS、动植物油、氨氮</w:t>
                  </w:r>
                </w:p>
              </w:tc>
            </w:tr>
            <w:tr w14:paraId="027323C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21" w:type="pct"/>
                  <w:vMerge w:val="continue"/>
                  <w:tcBorders>
                    <w:tl2br w:val="nil"/>
                    <w:tr2bl w:val="nil"/>
                  </w:tcBorders>
                  <w:noWrap w:val="0"/>
                  <w:vAlign w:val="center"/>
                </w:tcPr>
                <w:p w14:paraId="6A47FB5C">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42" w:type="pct"/>
                  <w:vMerge w:val="continue"/>
                  <w:tcBorders>
                    <w:tl2br w:val="nil"/>
                    <w:tr2bl w:val="nil"/>
                  </w:tcBorders>
                  <w:noWrap w:val="0"/>
                  <w:vAlign w:val="center"/>
                </w:tcPr>
                <w:p w14:paraId="7FF132C6">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683" w:type="pct"/>
                  <w:tcBorders>
                    <w:tl2br w:val="nil"/>
                    <w:tr2bl w:val="nil"/>
                  </w:tcBorders>
                  <w:noWrap w:val="0"/>
                  <w:vAlign w:val="center"/>
                </w:tcPr>
                <w:p w14:paraId="41B58820">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固体废物</w:t>
                  </w:r>
                </w:p>
              </w:tc>
              <w:tc>
                <w:tcPr>
                  <w:tcW w:w="513" w:type="pct"/>
                  <w:tcBorders>
                    <w:tl2br w:val="nil"/>
                    <w:tr2bl w:val="nil"/>
                  </w:tcBorders>
                  <w:noWrap w:val="0"/>
                  <w:vAlign w:val="center"/>
                </w:tcPr>
                <w:p w14:paraId="2E88774D">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S</w:t>
                  </w:r>
                </w:p>
              </w:tc>
              <w:tc>
                <w:tcPr>
                  <w:tcW w:w="1701" w:type="pct"/>
                  <w:tcBorders>
                    <w:tl2br w:val="nil"/>
                    <w:tr2bl w:val="nil"/>
                  </w:tcBorders>
                  <w:noWrap w:val="0"/>
                  <w:vAlign w:val="center"/>
                </w:tcPr>
                <w:p w14:paraId="65C5DE05">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生活垃圾</w:t>
                  </w:r>
                </w:p>
              </w:tc>
              <w:tc>
                <w:tcPr>
                  <w:tcW w:w="1437" w:type="pct"/>
                  <w:tcBorders>
                    <w:tl2br w:val="nil"/>
                    <w:tr2bl w:val="nil"/>
                  </w:tcBorders>
                  <w:noWrap w:val="0"/>
                  <w:vAlign w:val="center"/>
                </w:tcPr>
                <w:p w14:paraId="7E84C5F0">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生活垃圾</w:t>
                  </w:r>
                </w:p>
              </w:tc>
            </w:tr>
          </w:tbl>
          <w:p w14:paraId="6702ACBA">
            <w:pPr>
              <w:pStyle w:val="53"/>
              <w:keepNext w:val="0"/>
              <w:keepLines w:val="0"/>
              <w:pageBreakBefore w:val="0"/>
              <w:kinsoku/>
              <w:wordWrap/>
              <w:overflowPunct/>
              <w:topLinePunct w:val="0"/>
              <w:bidi w:val="0"/>
              <w:adjustRightInd w:val="0"/>
              <w:snapToGrid w:val="0"/>
              <w:spacing w:beforeAutospacing="0" w:afterAutospacing="0"/>
              <w:ind w:left="0" w:leftChars="0" w:right="0" w:rightChars="0" w:firstLine="0"/>
              <w:rPr>
                <w:rFonts w:hint="default" w:ascii="Times New Roman" w:hAnsi="Times New Roman" w:eastAsia="宋体" w:cs="Times New Roman"/>
                <w:bCs/>
                <w:color w:val="auto"/>
                <w:spacing w:val="0"/>
                <w:position w:val="0"/>
                <w:szCs w:val="21"/>
                <w:highlight w:val="none"/>
              </w:rPr>
            </w:pPr>
          </w:p>
        </w:tc>
      </w:tr>
      <w:tr w14:paraId="671EFD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245" w:type="pct"/>
            <w:noWrap w:val="0"/>
            <w:vAlign w:val="center"/>
          </w:tcPr>
          <w:p w14:paraId="7E5F0C0C">
            <w:pPr>
              <w:pStyle w:val="23"/>
              <w:keepNext w:val="0"/>
              <w:keepLines w:val="0"/>
              <w:pageBreakBefore w:val="0"/>
              <w:kinsoku/>
              <w:wordWrap/>
              <w:overflowPunct/>
              <w:topLinePunct w:val="0"/>
              <w:bidi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Cs/>
                <w:color w:val="auto"/>
                <w:spacing w:val="0"/>
                <w:kern w:val="2"/>
                <w:position w:val="0"/>
                <w:sz w:val="21"/>
                <w:szCs w:val="21"/>
                <w:highlight w:val="none"/>
              </w:rPr>
              <w:t>与项目有关的原有环境污染问题</w:t>
            </w:r>
          </w:p>
        </w:tc>
        <w:tc>
          <w:tcPr>
            <w:tcW w:w="4754" w:type="pct"/>
            <w:noWrap w:val="0"/>
            <w:vAlign w:val="center"/>
          </w:tcPr>
          <w:p w14:paraId="165B6347">
            <w:pPr>
              <w:keepNext w:val="0"/>
              <w:keepLines w:val="0"/>
              <w:pageBreakBefore w:val="0"/>
              <w:widowControl/>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（一）现有工程环保手续履行情况</w:t>
            </w:r>
          </w:p>
          <w:p w14:paraId="09257C0E">
            <w:pPr>
              <w:keepNext w:val="0"/>
              <w:keepLines w:val="0"/>
              <w:pageBreakBefore w:val="0"/>
              <w:kinsoku/>
              <w:wordWrap/>
              <w:overflowPunct/>
              <w:topLinePunct w:val="0"/>
              <w:autoSpaceDE w:val="0"/>
              <w:autoSpaceDN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bCs/>
                <w:color w:val="auto"/>
                <w:spacing w:val="0"/>
                <w:position w:val="0"/>
                <w:sz w:val="24"/>
                <w:szCs w:val="24"/>
                <w:highlight w:val="none"/>
              </w:rPr>
            </w:pPr>
            <w:r>
              <w:rPr>
                <w:rFonts w:hint="default" w:ascii="Times New Roman" w:hAnsi="Times New Roman" w:eastAsia="宋体" w:cs="Times New Roman"/>
                <w:bCs/>
                <w:color w:val="auto"/>
                <w:spacing w:val="0"/>
                <w:position w:val="0"/>
                <w:sz w:val="24"/>
                <w:szCs w:val="24"/>
                <w:highlight w:val="none"/>
              </w:rPr>
              <w:t>本项目租赁桦川县泰丰植物油脂有限公司厂区及全套生产设备进行生产，桦川县泰丰植物油脂有限公司是一家专业米糠油生产加工企业，拥有油脂加工设备及厂房，因市场原因，2020年桦川县泰丰植物油脂有限公司将厂区及全套生产设备租赁给桦川县欣盛油脂有限公司用于米糠油生产，2024年桦川县欣盛油脂有限公司停止租赁后，黑龙江龙粮油脂有限公司与桦川县泰丰植物油脂有限公司达成合作，租赁桦川县泰丰植物油脂有限公司厂区及全套生产设备进行生产。</w:t>
            </w:r>
          </w:p>
          <w:p w14:paraId="54BDD48E">
            <w:pPr>
              <w:keepNext w:val="0"/>
              <w:keepLines w:val="0"/>
              <w:pageBreakBefore w:val="0"/>
              <w:kinsoku/>
              <w:wordWrap/>
              <w:overflowPunct/>
              <w:topLinePunct w:val="0"/>
              <w:autoSpaceDE w:val="0"/>
              <w:autoSpaceDN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Cs/>
                <w:color w:val="auto"/>
                <w:spacing w:val="0"/>
                <w:position w:val="0"/>
                <w:sz w:val="24"/>
                <w:szCs w:val="24"/>
                <w:highlight w:val="none"/>
              </w:rPr>
              <w:t>桦川县欣盛油脂有限公司于2021年委托哈尔滨国环宏节能环保技术有限责任公司编制了《桦川县欣盛油脂有限公司9万吨每年米糠加工项目建设项目环境影响报告表》，2021年2月23日佳木斯市桦川生态环境局对其进行了批复，批复文号佳桦环建审</w:t>
            </w:r>
            <w:r>
              <w:rPr>
                <w:rFonts w:hint="default" w:ascii="Times New Roman" w:hAnsi="Times New Roman" w:cs="Times New Roman"/>
                <w:bCs/>
                <w:color w:val="auto"/>
                <w:spacing w:val="0"/>
                <w:position w:val="0"/>
                <w:sz w:val="24"/>
                <w:szCs w:val="24"/>
                <w:highlight w:val="none"/>
                <w:lang w:eastAsia="zh-CN"/>
              </w:rPr>
              <w:t>〔2021〕4号</w:t>
            </w:r>
            <w:r>
              <w:rPr>
                <w:rFonts w:hint="default" w:ascii="Times New Roman" w:hAnsi="Times New Roman" w:eastAsia="宋体" w:cs="Times New Roman"/>
                <w:bCs/>
                <w:color w:val="auto"/>
                <w:spacing w:val="0"/>
                <w:position w:val="0"/>
                <w:sz w:val="24"/>
                <w:szCs w:val="24"/>
                <w:highlight w:val="none"/>
              </w:rPr>
              <w:t>。环评批复利用现有米糠加工生产线进行生产，年加工9万吨米糠，年产10800t米糠油，项目建成后未</w:t>
            </w:r>
            <w:r>
              <w:rPr>
                <w:rFonts w:hint="default" w:ascii="Times New Roman" w:hAnsi="Times New Roman" w:cs="Times New Roman"/>
                <w:bCs/>
                <w:color w:val="auto"/>
                <w:spacing w:val="0"/>
                <w:position w:val="0"/>
                <w:sz w:val="24"/>
                <w:szCs w:val="24"/>
                <w:highlight w:val="none"/>
                <w:lang w:val="en-US" w:eastAsia="zh-CN"/>
              </w:rPr>
              <w:t>办理排污许可证，未进行</w:t>
            </w:r>
            <w:r>
              <w:rPr>
                <w:rFonts w:hint="default" w:ascii="Times New Roman" w:hAnsi="Times New Roman" w:eastAsia="宋体" w:cs="Times New Roman"/>
                <w:bCs/>
                <w:color w:val="auto"/>
                <w:spacing w:val="0"/>
                <w:position w:val="0"/>
                <w:sz w:val="24"/>
                <w:szCs w:val="24"/>
                <w:highlight w:val="none"/>
              </w:rPr>
              <w:t>建设项目竣工环境保护验收工作。</w:t>
            </w:r>
          </w:p>
          <w:p w14:paraId="7A8455D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color w:val="auto"/>
                <w:spacing w:val="0"/>
                <w:position w:val="0"/>
                <w:sz w:val="24"/>
                <w:szCs w:val="24"/>
                <w:highlight w:val="none"/>
              </w:rPr>
            </w:pPr>
            <w:r>
              <w:rPr>
                <w:rFonts w:hint="default" w:ascii="Times New Roman" w:hAnsi="Times New Roman" w:eastAsia="宋体" w:cs="Times New Roman"/>
                <w:b/>
                <w:color w:val="auto"/>
                <w:spacing w:val="0"/>
                <w:position w:val="0"/>
                <w:sz w:val="24"/>
                <w:szCs w:val="24"/>
                <w:highlight w:val="none"/>
              </w:rPr>
              <w:t>表2-</w:t>
            </w:r>
            <w:r>
              <w:rPr>
                <w:rFonts w:hint="default" w:ascii="Times New Roman" w:hAnsi="Times New Roman" w:cs="Times New Roman"/>
                <w:b/>
                <w:color w:val="auto"/>
                <w:spacing w:val="0"/>
                <w:position w:val="0"/>
                <w:sz w:val="24"/>
                <w:szCs w:val="24"/>
                <w:highlight w:val="none"/>
                <w:lang w:val="en-US" w:eastAsia="zh-CN"/>
              </w:rPr>
              <w:t>8</w:t>
            </w:r>
            <w:r>
              <w:rPr>
                <w:rFonts w:hint="default" w:ascii="Times New Roman" w:hAnsi="Times New Roman" w:eastAsia="宋体" w:cs="Times New Roman"/>
                <w:b/>
                <w:color w:val="auto"/>
                <w:spacing w:val="0"/>
                <w:position w:val="0"/>
                <w:sz w:val="24"/>
                <w:szCs w:val="24"/>
                <w:highlight w:val="none"/>
              </w:rPr>
              <w:t xml:space="preserve"> 企业成立以来的环评和环保验收情况</w:t>
            </w:r>
          </w:p>
          <w:tbl>
            <w:tblPr>
              <w:tblStyle w:val="2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3"/>
              <w:gridCol w:w="3662"/>
              <w:gridCol w:w="4029"/>
            </w:tblGrid>
            <w:tr w14:paraId="68DC0B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435" w:type="pct"/>
                  <w:noWrap w:val="0"/>
                  <w:vAlign w:val="center"/>
                </w:tcPr>
                <w:p w14:paraId="5F7B8551">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序号</w:t>
                  </w:r>
                </w:p>
              </w:tc>
              <w:tc>
                <w:tcPr>
                  <w:tcW w:w="2173" w:type="pct"/>
                  <w:noWrap w:val="0"/>
                  <w:vAlign w:val="center"/>
                </w:tcPr>
                <w:p w14:paraId="760DF1BF">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环评名称</w:t>
                  </w:r>
                </w:p>
              </w:tc>
              <w:tc>
                <w:tcPr>
                  <w:tcW w:w="2391" w:type="pct"/>
                  <w:noWrap w:val="0"/>
                  <w:vAlign w:val="center"/>
                </w:tcPr>
                <w:p w14:paraId="6E77B87B">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环评批复情况</w:t>
                  </w:r>
                </w:p>
              </w:tc>
            </w:tr>
            <w:tr w14:paraId="708251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435" w:type="pct"/>
                  <w:noWrap w:val="0"/>
                  <w:vAlign w:val="center"/>
                </w:tcPr>
                <w:p w14:paraId="24D20AD9">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w:t>
                  </w:r>
                </w:p>
              </w:tc>
              <w:tc>
                <w:tcPr>
                  <w:tcW w:w="2173" w:type="pct"/>
                  <w:noWrap w:val="0"/>
                  <w:vAlign w:val="center"/>
                </w:tcPr>
                <w:p w14:paraId="31849CE6">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《桦川县欣盛油脂有限公司9万吨每年米糠加工项目建设项目环境影响报告表》，哈尔滨国环宏节能环保技术有限责任公司，20</w:t>
                  </w:r>
                  <w:r>
                    <w:rPr>
                      <w:rFonts w:hint="default" w:ascii="Times New Roman" w:hAnsi="Times New Roman" w:cs="Times New Roman"/>
                      <w:color w:val="auto"/>
                      <w:spacing w:val="0"/>
                      <w:position w:val="0"/>
                      <w:sz w:val="21"/>
                      <w:szCs w:val="21"/>
                      <w:highlight w:val="none"/>
                      <w:lang w:val="en-US" w:eastAsia="zh-CN"/>
                    </w:rPr>
                    <w:t>21</w:t>
                  </w:r>
                  <w:r>
                    <w:rPr>
                      <w:rFonts w:hint="default" w:ascii="Times New Roman" w:hAnsi="Times New Roman" w:eastAsia="宋体" w:cs="Times New Roman"/>
                      <w:color w:val="auto"/>
                      <w:spacing w:val="0"/>
                      <w:position w:val="0"/>
                      <w:sz w:val="21"/>
                      <w:szCs w:val="21"/>
                      <w:highlight w:val="none"/>
                    </w:rPr>
                    <w:t>年</w:t>
                  </w:r>
                  <w:r>
                    <w:rPr>
                      <w:rFonts w:hint="default" w:ascii="Times New Roman" w:hAnsi="Times New Roman" w:cs="Times New Roman"/>
                      <w:color w:val="auto"/>
                      <w:spacing w:val="0"/>
                      <w:position w:val="0"/>
                      <w:sz w:val="21"/>
                      <w:szCs w:val="21"/>
                      <w:highlight w:val="none"/>
                      <w:lang w:val="en-US" w:eastAsia="zh-CN"/>
                    </w:rPr>
                    <w:t>1</w:t>
                  </w:r>
                  <w:r>
                    <w:rPr>
                      <w:rFonts w:hint="default" w:ascii="Times New Roman" w:hAnsi="Times New Roman" w:eastAsia="宋体" w:cs="Times New Roman"/>
                      <w:color w:val="auto"/>
                      <w:spacing w:val="0"/>
                      <w:position w:val="0"/>
                      <w:sz w:val="21"/>
                      <w:szCs w:val="21"/>
                      <w:highlight w:val="none"/>
                    </w:rPr>
                    <w:t>月</w:t>
                  </w:r>
                </w:p>
              </w:tc>
              <w:tc>
                <w:tcPr>
                  <w:tcW w:w="2391" w:type="pct"/>
                  <w:noWrap w:val="0"/>
                  <w:vAlign w:val="center"/>
                </w:tcPr>
                <w:p w14:paraId="31D7DC7C">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《关于桦川县欣盛油脂有限公司9万吨每年米糠加工项目</w:t>
                  </w:r>
                  <w:r>
                    <w:rPr>
                      <w:rFonts w:hint="default" w:ascii="Times New Roman" w:hAnsi="Times New Roman" w:cs="Times New Roman"/>
                      <w:color w:val="auto"/>
                      <w:spacing w:val="0"/>
                      <w:position w:val="0"/>
                      <w:sz w:val="21"/>
                      <w:szCs w:val="21"/>
                      <w:highlight w:val="none"/>
                      <w:lang w:val="en-US" w:eastAsia="zh-CN"/>
                    </w:rPr>
                    <w:t>环境影响报告表的批复</w:t>
                  </w:r>
                  <w:r>
                    <w:rPr>
                      <w:rFonts w:hint="default" w:ascii="Times New Roman" w:hAnsi="Times New Roman" w:eastAsia="宋体" w:cs="Times New Roman"/>
                      <w:color w:val="auto"/>
                      <w:spacing w:val="0"/>
                      <w:position w:val="0"/>
                      <w:sz w:val="21"/>
                      <w:szCs w:val="21"/>
                      <w:highlight w:val="none"/>
                    </w:rPr>
                    <w:t>》（佳</w:t>
                  </w:r>
                  <w:r>
                    <w:rPr>
                      <w:rFonts w:hint="default" w:ascii="Times New Roman" w:hAnsi="Times New Roman" w:cs="Times New Roman"/>
                      <w:color w:val="auto"/>
                      <w:spacing w:val="0"/>
                      <w:position w:val="0"/>
                      <w:sz w:val="21"/>
                      <w:szCs w:val="21"/>
                      <w:highlight w:val="none"/>
                      <w:lang w:val="en-US" w:eastAsia="zh-CN"/>
                    </w:rPr>
                    <w:t>桦</w:t>
                  </w:r>
                  <w:r>
                    <w:rPr>
                      <w:rFonts w:hint="default" w:ascii="Times New Roman" w:hAnsi="Times New Roman" w:eastAsia="宋体" w:cs="Times New Roman"/>
                      <w:color w:val="auto"/>
                      <w:spacing w:val="0"/>
                      <w:position w:val="0"/>
                      <w:sz w:val="21"/>
                      <w:szCs w:val="21"/>
                      <w:highlight w:val="none"/>
                    </w:rPr>
                    <w:t>环建审</w:t>
                  </w:r>
                  <w:r>
                    <w:rPr>
                      <w:rFonts w:hint="default" w:ascii="Times New Roman" w:hAnsi="Times New Roman" w:cs="Times New Roman"/>
                      <w:color w:val="auto"/>
                      <w:spacing w:val="0"/>
                      <w:position w:val="0"/>
                      <w:sz w:val="21"/>
                      <w:szCs w:val="21"/>
                      <w:highlight w:val="none"/>
                      <w:lang w:eastAsia="zh-CN"/>
                    </w:rPr>
                    <w:t>〔2021〕4号</w:t>
                  </w:r>
                  <w:r>
                    <w:rPr>
                      <w:rFonts w:hint="default" w:ascii="Times New Roman" w:hAnsi="Times New Roman" w:eastAsia="宋体" w:cs="Times New Roman"/>
                      <w:color w:val="auto"/>
                      <w:spacing w:val="0"/>
                      <w:position w:val="0"/>
                      <w:sz w:val="21"/>
                      <w:szCs w:val="21"/>
                      <w:highlight w:val="none"/>
                    </w:rPr>
                    <w:t>），佳木斯市</w:t>
                  </w:r>
                  <w:r>
                    <w:rPr>
                      <w:rFonts w:hint="default" w:ascii="Times New Roman" w:hAnsi="Times New Roman" w:cs="Times New Roman"/>
                      <w:color w:val="auto"/>
                      <w:spacing w:val="0"/>
                      <w:position w:val="0"/>
                      <w:sz w:val="21"/>
                      <w:szCs w:val="21"/>
                      <w:highlight w:val="none"/>
                      <w:lang w:val="en-US" w:eastAsia="zh-CN"/>
                    </w:rPr>
                    <w:t>桦川生态环境局</w:t>
                  </w:r>
                  <w:r>
                    <w:rPr>
                      <w:rFonts w:hint="default" w:ascii="Times New Roman" w:hAnsi="Times New Roman" w:eastAsia="宋体" w:cs="Times New Roman"/>
                      <w:color w:val="auto"/>
                      <w:spacing w:val="0"/>
                      <w:position w:val="0"/>
                      <w:sz w:val="21"/>
                      <w:szCs w:val="21"/>
                      <w:highlight w:val="none"/>
                    </w:rPr>
                    <w:t>，2021年2月23日</w:t>
                  </w:r>
                </w:p>
              </w:tc>
            </w:tr>
          </w:tbl>
          <w:p w14:paraId="2012D84D">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（二）现有工程建设情况</w:t>
            </w:r>
          </w:p>
          <w:p w14:paraId="124EFB7D">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项目在桦川县泰丰植物油脂有限公司院内，租用桦川县泰丰植物油脂有限公司车间及设备进行生产，建设预处理车间、浸出车间、库房、锅炉房等，年加工9万吨米糠，年产米糠油10800t/a，年产米糠粕72000t/a。</w:t>
            </w:r>
          </w:p>
          <w:p w14:paraId="1FAB644C">
            <w:pPr>
              <w:keepNext w:val="0"/>
              <w:keepLines w:val="0"/>
              <w:pageBreakBefore w:val="0"/>
              <w:widowControl/>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（三）</w:t>
            </w:r>
            <w:r>
              <w:rPr>
                <w:rFonts w:hint="default" w:ascii="Times New Roman" w:hAnsi="Times New Roman" w:cs="Times New Roman"/>
                <w:color w:val="auto"/>
                <w:spacing w:val="0"/>
                <w:position w:val="0"/>
                <w:sz w:val="24"/>
                <w:szCs w:val="24"/>
                <w:highlight w:val="none"/>
                <w:lang w:val="en-US" w:eastAsia="zh-CN"/>
              </w:rPr>
              <w:t>现有工程</w:t>
            </w:r>
            <w:r>
              <w:rPr>
                <w:rFonts w:hint="default" w:ascii="Times New Roman" w:hAnsi="Times New Roman" w:eastAsia="宋体" w:cs="Times New Roman"/>
                <w:color w:val="auto"/>
                <w:spacing w:val="0"/>
                <w:position w:val="0"/>
                <w:sz w:val="24"/>
                <w:szCs w:val="24"/>
                <w:highlight w:val="none"/>
              </w:rPr>
              <w:t>产废情况如下：</w:t>
            </w:r>
          </w:p>
          <w:p w14:paraId="16A01A9D">
            <w:pPr>
              <w:keepNext w:val="0"/>
              <w:keepLines w:val="0"/>
              <w:pageBreakBefore w:val="0"/>
              <w:widowControl/>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1、废气</w:t>
            </w:r>
          </w:p>
          <w:p w14:paraId="4478CE8F">
            <w:pPr>
              <w:keepNext w:val="0"/>
              <w:keepLines w:val="0"/>
              <w:pageBreakBefore w:val="0"/>
              <w:widowControl/>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根据《桦川县欣盛油脂有限公司9万吨每年米糠加工项目建设项目环境影响报告表》，项目营运期废气主要是糠粕干燥含尘废气、正己烷冷凝不凝气、锅炉烟气。</w:t>
            </w:r>
          </w:p>
          <w:p w14:paraId="740C8442">
            <w:pPr>
              <w:keepNext w:val="0"/>
              <w:keepLines w:val="0"/>
              <w:pageBreakBefore w:val="0"/>
              <w:widowControl/>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糠粕干燥工序粉尘采用3级沙克龙除尘器处理后由15m高排气筒排放，除尘效率约为97%，精处理后糠粕粉尘有组织排放量为0.167kg/h，排放浓度为41.7mg/m</w:t>
            </w:r>
            <w:r>
              <w:rPr>
                <w:rFonts w:hint="default" w:ascii="Times New Roman" w:hAnsi="Times New Roman" w:cs="Times New Roman"/>
                <w:color w:val="auto"/>
                <w:spacing w:val="0"/>
                <w:position w:val="0"/>
                <w:sz w:val="24"/>
                <w:szCs w:val="24"/>
                <w:highlight w:val="none"/>
                <w:vertAlign w:val="superscript"/>
                <w:lang w:val="en-US" w:eastAsia="zh-CN"/>
              </w:rPr>
              <w:t>3</w:t>
            </w:r>
            <w:r>
              <w:rPr>
                <w:rFonts w:hint="default" w:ascii="Times New Roman" w:hAnsi="Times New Roman" w:cs="Times New Roman"/>
                <w:color w:val="auto"/>
                <w:spacing w:val="0"/>
                <w:position w:val="0"/>
                <w:sz w:val="24"/>
                <w:szCs w:val="24"/>
                <w:highlight w:val="none"/>
                <w:lang w:val="en-US" w:eastAsia="zh-CN"/>
              </w:rPr>
              <w:t>，粉尘排放浓度和排放速率满足《大气污染物综合排放标准》（GB16297-1996）表2中有组织限值要求。</w:t>
            </w:r>
          </w:p>
          <w:p w14:paraId="6BF1D44B">
            <w:pPr>
              <w:keepNext w:val="0"/>
              <w:keepLines w:val="0"/>
              <w:pageBreakBefore w:val="0"/>
              <w:widowControl/>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cs="Times New Roman"/>
                <w:color w:val="auto"/>
                <w:spacing w:val="0"/>
                <w:position w:val="0"/>
                <w:sz w:val="24"/>
                <w:szCs w:val="32"/>
                <w:highlight w:val="none"/>
                <w:lang w:val="en-US" w:eastAsia="zh-CN"/>
              </w:rPr>
            </w:pPr>
            <w:r>
              <w:rPr>
                <w:rFonts w:hint="default" w:ascii="Times New Roman" w:hAnsi="Times New Roman" w:cs="Times New Roman"/>
                <w:color w:val="auto"/>
                <w:spacing w:val="0"/>
                <w:position w:val="0"/>
                <w:sz w:val="24"/>
                <w:szCs w:val="32"/>
                <w:highlight w:val="none"/>
                <w:lang w:val="en-US" w:eastAsia="zh-CN"/>
              </w:rPr>
              <w:t>浸出车间有机废气经活性炭吸附装置处理后经15m高排气筒排放，非甲烷总烃排放速率和排放浓度分别为0.04kg/h、17.8mg/m</w:t>
            </w:r>
            <w:r>
              <w:rPr>
                <w:rFonts w:hint="default" w:ascii="Times New Roman" w:hAnsi="Times New Roman" w:cs="Times New Roman"/>
                <w:color w:val="auto"/>
                <w:spacing w:val="0"/>
                <w:position w:val="0"/>
                <w:sz w:val="24"/>
                <w:szCs w:val="32"/>
                <w:highlight w:val="none"/>
                <w:vertAlign w:val="superscript"/>
                <w:lang w:val="en-US" w:eastAsia="zh-CN"/>
              </w:rPr>
              <w:t>3</w:t>
            </w:r>
            <w:r>
              <w:rPr>
                <w:rFonts w:hint="default" w:ascii="Times New Roman" w:hAnsi="Times New Roman" w:cs="Times New Roman"/>
                <w:color w:val="auto"/>
                <w:spacing w:val="0"/>
                <w:position w:val="0"/>
                <w:sz w:val="24"/>
                <w:szCs w:val="32"/>
                <w:highlight w:val="none"/>
                <w:lang w:val="en-US" w:eastAsia="zh-CN"/>
              </w:rPr>
              <w:t>，满足</w:t>
            </w:r>
            <w:r>
              <w:rPr>
                <w:rFonts w:hint="default" w:ascii="Times New Roman" w:hAnsi="Times New Roman" w:cs="Times New Roman"/>
                <w:color w:val="auto"/>
                <w:spacing w:val="0"/>
                <w:position w:val="0"/>
                <w:sz w:val="24"/>
                <w:szCs w:val="24"/>
                <w:highlight w:val="none"/>
                <w:lang w:val="en-US" w:eastAsia="zh-CN"/>
              </w:rPr>
              <w:t>《大气污染物综合排放标准》（GB16297-1996）表2中有组织限值要求。</w:t>
            </w:r>
          </w:p>
          <w:p w14:paraId="68D0C54D">
            <w:pPr>
              <w:keepNext w:val="0"/>
              <w:keepLines w:val="0"/>
              <w:pageBreakBefore w:val="0"/>
              <w:widowControl/>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32"/>
                <w:highlight w:val="none"/>
                <w:lang w:val="en-US" w:eastAsia="zh-CN"/>
              </w:rPr>
            </w:pPr>
            <w:r>
              <w:rPr>
                <w:rFonts w:hint="default" w:ascii="Times New Roman" w:hAnsi="Times New Roman" w:cs="Times New Roman"/>
                <w:color w:val="auto"/>
                <w:spacing w:val="0"/>
                <w:position w:val="0"/>
                <w:sz w:val="24"/>
                <w:szCs w:val="32"/>
                <w:highlight w:val="none"/>
                <w:lang w:val="en-US" w:eastAsia="zh-CN"/>
              </w:rPr>
              <w:t>锅炉烟气经湿式除尘器处理后经40m高烟囱排放，颗粒物、二氧化硫、氮氧化物排放浓度分别为43mg/m</w:t>
            </w:r>
            <w:r>
              <w:rPr>
                <w:rFonts w:hint="default" w:ascii="Times New Roman" w:hAnsi="Times New Roman" w:cs="Times New Roman"/>
                <w:color w:val="auto"/>
                <w:spacing w:val="0"/>
                <w:position w:val="0"/>
                <w:sz w:val="24"/>
                <w:szCs w:val="32"/>
                <w:highlight w:val="none"/>
                <w:vertAlign w:val="superscript"/>
                <w:lang w:val="en-US" w:eastAsia="zh-CN"/>
              </w:rPr>
              <w:t>3</w:t>
            </w:r>
            <w:r>
              <w:rPr>
                <w:rFonts w:hint="default" w:ascii="Times New Roman" w:hAnsi="Times New Roman" w:cs="Times New Roman"/>
                <w:color w:val="auto"/>
                <w:spacing w:val="0"/>
                <w:position w:val="0"/>
                <w:sz w:val="24"/>
                <w:szCs w:val="32"/>
                <w:highlight w:val="none"/>
                <w:lang w:val="en-US" w:eastAsia="zh-CN"/>
              </w:rPr>
              <w:t>、231mg/m</w:t>
            </w:r>
            <w:r>
              <w:rPr>
                <w:rFonts w:hint="default" w:ascii="Times New Roman" w:hAnsi="Times New Roman" w:cs="Times New Roman"/>
                <w:color w:val="auto"/>
                <w:spacing w:val="0"/>
                <w:position w:val="0"/>
                <w:sz w:val="24"/>
                <w:szCs w:val="32"/>
                <w:highlight w:val="none"/>
                <w:vertAlign w:val="superscript"/>
                <w:lang w:val="en-US" w:eastAsia="zh-CN"/>
              </w:rPr>
              <w:t>3</w:t>
            </w:r>
            <w:r>
              <w:rPr>
                <w:rFonts w:hint="default" w:ascii="Times New Roman" w:hAnsi="Times New Roman" w:cs="Times New Roman"/>
                <w:color w:val="auto"/>
                <w:spacing w:val="0"/>
                <w:position w:val="0"/>
                <w:sz w:val="24"/>
                <w:szCs w:val="32"/>
                <w:highlight w:val="none"/>
                <w:lang w:val="en-US" w:eastAsia="zh-CN"/>
              </w:rPr>
              <w:t>、246mg/m</w:t>
            </w:r>
            <w:r>
              <w:rPr>
                <w:rFonts w:hint="default" w:ascii="Times New Roman" w:hAnsi="Times New Roman" w:cs="Times New Roman"/>
                <w:color w:val="auto"/>
                <w:spacing w:val="0"/>
                <w:position w:val="0"/>
                <w:sz w:val="24"/>
                <w:szCs w:val="32"/>
                <w:highlight w:val="none"/>
                <w:vertAlign w:val="superscript"/>
                <w:lang w:val="en-US" w:eastAsia="zh-CN"/>
              </w:rPr>
              <w:t>3</w:t>
            </w:r>
            <w:r>
              <w:rPr>
                <w:rFonts w:hint="default" w:ascii="Times New Roman" w:hAnsi="Times New Roman" w:cs="Times New Roman"/>
                <w:color w:val="auto"/>
                <w:spacing w:val="0"/>
                <w:position w:val="0"/>
                <w:sz w:val="24"/>
                <w:szCs w:val="32"/>
                <w:highlight w:val="none"/>
                <w:lang w:val="en-US" w:eastAsia="zh-CN"/>
              </w:rPr>
              <w:t>，锅炉大气污染物排放满足《锅炉大气污染物排放标准》（GB13271-2014）表2排放限值（颗粒物50mg/m</w:t>
            </w:r>
            <w:r>
              <w:rPr>
                <w:rFonts w:hint="default" w:ascii="Times New Roman" w:hAnsi="Times New Roman" w:cs="Times New Roman"/>
                <w:color w:val="auto"/>
                <w:spacing w:val="0"/>
                <w:position w:val="0"/>
                <w:sz w:val="24"/>
                <w:szCs w:val="32"/>
                <w:highlight w:val="none"/>
                <w:vertAlign w:val="superscript"/>
                <w:lang w:val="en-US" w:eastAsia="zh-CN"/>
              </w:rPr>
              <w:t>3</w:t>
            </w:r>
            <w:r>
              <w:rPr>
                <w:rFonts w:hint="default" w:ascii="Times New Roman" w:hAnsi="Times New Roman" w:cs="Times New Roman"/>
                <w:color w:val="auto"/>
                <w:spacing w:val="0"/>
                <w:position w:val="0"/>
                <w:sz w:val="24"/>
                <w:szCs w:val="32"/>
                <w:highlight w:val="none"/>
                <w:lang w:val="en-US" w:eastAsia="zh-CN"/>
              </w:rPr>
              <w:t>、二氧化硫300mg/Nm</w:t>
            </w:r>
            <w:r>
              <w:rPr>
                <w:rFonts w:hint="default" w:ascii="Times New Roman" w:hAnsi="Times New Roman" w:cs="Times New Roman"/>
                <w:color w:val="auto"/>
                <w:spacing w:val="0"/>
                <w:position w:val="0"/>
                <w:sz w:val="24"/>
                <w:szCs w:val="32"/>
                <w:highlight w:val="none"/>
                <w:vertAlign w:val="superscript"/>
                <w:lang w:val="en-US" w:eastAsia="zh-CN"/>
              </w:rPr>
              <w:t>3</w:t>
            </w:r>
            <w:r>
              <w:rPr>
                <w:rFonts w:hint="default" w:ascii="Times New Roman" w:hAnsi="Times New Roman" w:cs="Times New Roman"/>
                <w:color w:val="auto"/>
                <w:spacing w:val="0"/>
                <w:position w:val="0"/>
                <w:sz w:val="24"/>
                <w:szCs w:val="32"/>
                <w:highlight w:val="none"/>
                <w:lang w:val="en-US" w:eastAsia="zh-CN"/>
              </w:rPr>
              <w:t>、氮氧化物300mgNm</w:t>
            </w:r>
            <w:r>
              <w:rPr>
                <w:rFonts w:hint="default" w:ascii="Times New Roman" w:hAnsi="Times New Roman" w:cs="Times New Roman"/>
                <w:color w:val="auto"/>
                <w:spacing w:val="0"/>
                <w:position w:val="0"/>
                <w:sz w:val="24"/>
                <w:szCs w:val="32"/>
                <w:highlight w:val="none"/>
                <w:vertAlign w:val="superscript"/>
                <w:lang w:val="en-US" w:eastAsia="zh-CN"/>
              </w:rPr>
              <w:t>3</w:t>
            </w:r>
            <w:r>
              <w:rPr>
                <w:rFonts w:hint="default" w:ascii="Times New Roman" w:hAnsi="Times New Roman" w:cs="Times New Roman"/>
                <w:color w:val="auto"/>
                <w:spacing w:val="0"/>
                <w:position w:val="0"/>
                <w:sz w:val="24"/>
                <w:szCs w:val="32"/>
                <w:highlight w:val="none"/>
                <w:lang w:val="en-US" w:eastAsia="zh-CN"/>
              </w:rPr>
              <w:t>）要求。</w:t>
            </w:r>
          </w:p>
          <w:p w14:paraId="7C572152">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cs="Times New Roman"/>
                <w:color w:val="auto"/>
                <w:spacing w:val="0"/>
                <w:position w:val="0"/>
                <w:sz w:val="24"/>
                <w:szCs w:val="32"/>
                <w:highlight w:val="none"/>
                <w:lang w:eastAsia="zh-CN"/>
              </w:rPr>
              <w:t>项目</w:t>
            </w:r>
            <w:r>
              <w:rPr>
                <w:rFonts w:hint="default" w:ascii="Times New Roman" w:hAnsi="Times New Roman" w:eastAsia="宋体" w:cs="Times New Roman"/>
                <w:color w:val="auto"/>
                <w:spacing w:val="0"/>
                <w:position w:val="0"/>
                <w:sz w:val="24"/>
                <w:szCs w:val="32"/>
                <w:highlight w:val="none"/>
              </w:rPr>
              <w:t>原辅</w:t>
            </w:r>
            <w:r>
              <w:rPr>
                <w:rFonts w:hint="default" w:ascii="Times New Roman" w:hAnsi="Times New Roman" w:cs="Times New Roman"/>
                <w:color w:val="auto"/>
                <w:spacing w:val="0"/>
                <w:position w:val="0"/>
                <w:sz w:val="24"/>
                <w:szCs w:val="32"/>
                <w:highlight w:val="none"/>
                <w:lang w:val="en-US" w:eastAsia="zh-CN"/>
              </w:rPr>
              <w:t>材料运输</w:t>
            </w:r>
            <w:r>
              <w:rPr>
                <w:rFonts w:hint="default" w:ascii="Times New Roman" w:hAnsi="Times New Roman" w:eastAsia="宋体" w:cs="Times New Roman"/>
                <w:color w:val="auto"/>
                <w:spacing w:val="0"/>
                <w:position w:val="0"/>
                <w:sz w:val="24"/>
                <w:szCs w:val="32"/>
                <w:highlight w:val="none"/>
              </w:rPr>
              <w:t>均</w:t>
            </w:r>
            <w:r>
              <w:rPr>
                <w:rFonts w:hint="default" w:ascii="Times New Roman" w:hAnsi="Times New Roman" w:cs="Times New Roman"/>
                <w:color w:val="auto"/>
                <w:spacing w:val="0"/>
                <w:position w:val="0"/>
                <w:sz w:val="24"/>
                <w:szCs w:val="32"/>
                <w:highlight w:val="none"/>
                <w:lang w:val="en-US" w:eastAsia="zh-CN"/>
              </w:rPr>
              <w:t>采用</w:t>
            </w:r>
            <w:r>
              <w:rPr>
                <w:rFonts w:hint="default" w:ascii="Times New Roman" w:hAnsi="Times New Roman" w:eastAsia="宋体" w:cs="Times New Roman"/>
                <w:color w:val="auto"/>
                <w:spacing w:val="0"/>
                <w:position w:val="0"/>
                <w:sz w:val="24"/>
                <w:szCs w:val="32"/>
                <w:highlight w:val="none"/>
              </w:rPr>
              <w:t>密封</w:t>
            </w:r>
            <w:r>
              <w:rPr>
                <w:rFonts w:hint="default" w:ascii="Times New Roman" w:hAnsi="Times New Roman" w:cs="Times New Roman"/>
                <w:color w:val="auto"/>
                <w:spacing w:val="0"/>
                <w:position w:val="0"/>
                <w:sz w:val="24"/>
                <w:szCs w:val="32"/>
                <w:highlight w:val="none"/>
                <w:lang w:eastAsia="zh-CN"/>
              </w:rPr>
              <w:t>管道，</w:t>
            </w:r>
            <w:r>
              <w:rPr>
                <w:rFonts w:hint="default" w:ascii="Times New Roman" w:hAnsi="Times New Roman" w:cs="Times New Roman"/>
                <w:color w:val="auto"/>
                <w:spacing w:val="0"/>
                <w:position w:val="0"/>
                <w:sz w:val="24"/>
                <w:szCs w:val="32"/>
                <w:highlight w:val="none"/>
                <w:lang w:val="en-US" w:eastAsia="zh-CN"/>
              </w:rPr>
              <w:t>预处理工序</w:t>
            </w:r>
            <w:r>
              <w:rPr>
                <w:rFonts w:hint="default" w:ascii="Times New Roman" w:hAnsi="Times New Roman" w:eastAsia="宋体" w:cs="Times New Roman"/>
                <w:color w:val="auto"/>
                <w:spacing w:val="0"/>
                <w:position w:val="0"/>
                <w:sz w:val="24"/>
                <w:szCs w:val="32"/>
                <w:highlight w:val="none"/>
              </w:rPr>
              <w:t>、</w:t>
            </w:r>
            <w:r>
              <w:rPr>
                <w:rFonts w:hint="default" w:ascii="Times New Roman" w:hAnsi="Times New Roman" w:cs="Times New Roman"/>
                <w:color w:val="auto"/>
                <w:spacing w:val="0"/>
                <w:position w:val="0"/>
                <w:sz w:val="24"/>
                <w:szCs w:val="32"/>
                <w:highlight w:val="none"/>
                <w:lang w:val="en-US" w:eastAsia="zh-CN"/>
              </w:rPr>
              <w:t>浸出车间</w:t>
            </w:r>
            <w:r>
              <w:rPr>
                <w:rFonts w:hint="default" w:ascii="Times New Roman" w:hAnsi="Times New Roman" w:eastAsia="宋体" w:cs="Times New Roman"/>
                <w:color w:val="auto"/>
                <w:spacing w:val="0"/>
                <w:position w:val="0"/>
                <w:sz w:val="24"/>
                <w:szCs w:val="32"/>
                <w:highlight w:val="none"/>
              </w:rPr>
              <w:t>各</w:t>
            </w:r>
            <w:r>
              <w:rPr>
                <w:rFonts w:hint="default" w:ascii="Times New Roman" w:hAnsi="Times New Roman" w:cs="Times New Roman"/>
                <w:color w:val="auto"/>
                <w:spacing w:val="0"/>
                <w:position w:val="0"/>
                <w:sz w:val="24"/>
                <w:szCs w:val="32"/>
                <w:highlight w:val="none"/>
                <w:lang w:val="en-US" w:eastAsia="zh-CN"/>
              </w:rPr>
              <w:t>工</w:t>
            </w:r>
            <w:r>
              <w:rPr>
                <w:rFonts w:hint="default" w:ascii="Times New Roman" w:hAnsi="Times New Roman" w:eastAsia="宋体" w:cs="Times New Roman"/>
                <w:color w:val="auto"/>
                <w:spacing w:val="0"/>
                <w:position w:val="0"/>
                <w:sz w:val="24"/>
                <w:szCs w:val="32"/>
                <w:highlight w:val="none"/>
              </w:rPr>
              <w:t>序均为全</w:t>
            </w:r>
            <w:r>
              <w:rPr>
                <w:rFonts w:hint="default" w:ascii="Times New Roman" w:hAnsi="Times New Roman" w:cs="Times New Roman"/>
                <w:color w:val="auto"/>
                <w:spacing w:val="0"/>
                <w:position w:val="0"/>
                <w:sz w:val="24"/>
                <w:szCs w:val="32"/>
                <w:highlight w:val="none"/>
                <w:lang w:val="en-US" w:eastAsia="zh-CN"/>
              </w:rPr>
              <w:t>封闭</w:t>
            </w:r>
            <w:r>
              <w:rPr>
                <w:rFonts w:hint="default" w:ascii="Times New Roman" w:hAnsi="Times New Roman" w:cs="Times New Roman"/>
                <w:color w:val="auto"/>
                <w:spacing w:val="0"/>
                <w:position w:val="0"/>
                <w:sz w:val="24"/>
                <w:szCs w:val="32"/>
                <w:highlight w:val="none"/>
                <w:lang w:eastAsia="zh-CN"/>
              </w:rPr>
              <w:t>，</w:t>
            </w:r>
            <w:r>
              <w:rPr>
                <w:rFonts w:hint="default" w:ascii="Times New Roman" w:hAnsi="Times New Roman" w:cs="Times New Roman"/>
                <w:color w:val="auto"/>
                <w:spacing w:val="0"/>
                <w:position w:val="0"/>
                <w:sz w:val="24"/>
                <w:szCs w:val="32"/>
                <w:highlight w:val="none"/>
                <w:lang w:val="en-US" w:eastAsia="zh-CN"/>
              </w:rPr>
              <w:t>不</w:t>
            </w:r>
            <w:r>
              <w:rPr>
                <w:rFonts w:hint="default" w:ascii="Times New Roman" w:hAnsi="Times New Roman" w:eastAsia="宋体" w:cs="Times New Roman"/>
                <w:color w:val="auto"/>
                <w:spacing w:val="0"/>
                <w:position w:val="0"/>
                <w:sz w:val="24"/>
                <w:szCs w:val="32"/>
                <w:highlight w:val="none"/>
              </w:rPr>
              <w:t>会产生</w:t>
            </w:r>
            <w:r>
              <w:rPr>
                <w:rFonts w:hint="default" w:ascii="Times New Roman" w:hAnsi="Times New Roman" w:cs="Times New Roman"/>
                <w:color w:val="auto"/>
                <w:spacing w:val="0"/>
                <w:position w:val="0"/>
                <w:sz w:val="24"/>
                <w:szCs w:val="32"/>
                <w:highlight w:val="none"/>
                <w:lang w:val="en-US" w:eastAsia="zh-CN"/>
              </w:rPr>
              <w:t>无</w:t>
            </w:r>
            <w:r>
              <w:rPr>
                <w:rFonts w:hint="default" w:ascii="Times New Roman" w:hAnsi="Times New Roman" w:eastAsia="宋体" w:cs="Times New Roman"/>
                <w:color w:val="auto"/>
                <w:spacing w:val="0"/>
                <w:position w:val="0"/>
                <w:sz w:val="24"/>
                <w:szCs w:val="32"/>
                <w:highlight w:val="none"/>
              </w:rPr>
              <w:t>组织</w:t>
            </w:r>
            <w:r>
              <w:rPr>
                <w:rFonts w:hint="default" w:ascii="Times New Roman" w:hAnsi="Times New Roman" w:cs="Times New Roman"/>
                <w:color w:val="auto"/>
                <w:spacing w:val="0"/>
                <w:position w:val="0"/>
                <w:sz w:val="24"/>
                <w:szCs w:val="32"/>
                <w:highlight w:val="none"/>
                <w:lang w:val="en-US" w:eastAsia="zh-CN"/>
              </w:rPr>
              <w:t>粉尘排放；正己烷储罐</w:t>
            </w:r>
            <w:r>
              <w:rPr>
                <w:rFonts w:hint="default" w:ascii="Times New Roman" w:hAnsi="Times New Roman" w:eastAsia="宋体" w:cs="Times New Roman"/>
                <w:color w:val="auto"/>
                <w:spacing w:val="0"/>
                <w:position w:val="0"/>
                <w:sz w:val="24"/>
                <w:szCs w:val="32"/>
                <w:highlight w:val="none"/>
              </w:rPr>
              <w:t>为地</w:t>
            </w:r>
            <w:r>
              <w:rPr>
                <w:rFonts w:hint="default" w:ascii="Times New Roman" w:hAnsi="Times New Roman" w:cs="Times New Roman"/>
                <w:color w:val="auto"/>
                <w:spacing w:val="0"/>
                <w:position w:val="0"/>
                <w:sz w:val="24"/>
                <w:szCs w:val="32"/>
                <w:highlight w:val="none"/>
                <w:lang w:eastAsia="zh-CN"/>
              </w:rPr>
              <w:t>埋</w:t>
            </w:r>
            <w:r>
              <w:rPr>
                <w:rFonts w:hint="default" w:ascii="Times New Roman" w:hAnsi="Times New Roman" w:eastAsia="宋体" w:cs="Times New Roman"/>
                <w:color w:val="auto"/>
                <w:spacing w:val="0"/>
                <w:position w:val="0"/>
                <w:sz w:val="24"/>
                <w:szCs w:val="32"/>
                <w:highlight w:val="none"/>
              </w:rPr>
              <w:t>式</w:t>
            </w:r>
            <w:r>
              <w:rPr>
                <w:rFonts w:hint="default" w:ascii="Times New Roman" w:hAnsi="Times New Roman" w:cs="Times New Roman"/>
                <w:color w:val="auto"/>
                <w:spacing w:val="0"/>
                <w:position w:val="0"/>
                <w:sz w:val="24"/>
                <w:szCs w:val="32"/>
                <w:highlight w:val="none"/>
                <w:lang w:eastAsia="zh-CN"/>
              </w:rPr>
              <w:t>，</w:t>
            </w:r>
            <w:r>
              <w:rPr>
                <w:rFonts w:hint="default" w:ascii="Times New Roman" w:hAnsi="Times New Roman" w:cs="Times New Roman"/>
                <w:color w:val="auto"/>
                <w:spacing w:val="0"/>
                <w:position w:val="0"/>
                <w:sz w:val="24"/>
                <w:szCs w:val="32"/>
                <w:highlight w:val="none"/>
                <w:lang w:val="en-US" w:eastAsia="zh-CN"/>
              </w:rPr>
              <w:t>正</w:t>
            </w:r>
            <w:r>
              <w:rPr>
                <w:rFonts w:hint="default" w:ascii="Times New Roman" w:hAnsi="Times New Roman" w:eastAsia="宋体" w:cs="Times New Roman"/>
                <w:color w:val="auto"/>
                <w:spacing w:val="0"/>
                <w:position w:val="0"/>
                <w:sz w:val="24"/>
                <w:szCs w:val="32"/>
                <w:highlight w:val="none"/>
              </w:rPr>
              <w:t>己烷各输运</w:t>
            </w:r>
            <w:r>
              <w:rPr>
                <w:rFonts w:hint="default" w:ascii="Times New Roman" w:hAnsi="Times New Roman" w:cs="Times New Roman"/>
                <w:color w:val="auto"/>
                <w:spacing w:val="0"/>
                <w:position w:val="0"/>
                <w:sz w:val="24"/>
                <w:szCs w:val="32"/>
                <w:highlight w:val="none"/>
                <w:lang w:val="en-US" w:eastAsia="zh-CN"/>
              </w:rPr>
              <w:t>管道</w:t>
            </w:r>
            <w:r>
              <w:rPr>
                <w:rFonts w:hint="default" w:ascii="Times New Roman" w:hAnsi="Times New Roman" w:eastAsia="宋体" w:cs="Times New Roman"/>
                <w:color w:val="auto"/>
                <w:spacing w:val="0"/>
                <w:position w:val="0"/>
                <w:sz w:val="24"/>
                <w:szCs w:val="32"/>
                <w:highlight w:val="none"/>
              </w:rPr>
              <w:t>均为全</w:t>
            </w:r>
            <w:r>
              <w:rPr>
                <w:rFonts w:hint="default" w:ascii="Times New Roman" w:hAnsi="Times New Roman" w:cs="Times New Roman"/>
                <w:color w:val="auto"/>
                <w:spacing w:val="0"/>
                <w:position w:val="0"/>
                <w:sz w:val="24"/>
                <w:szCs w:val="32"/>
                <w:highlight w:val="none"/>
                <w:lang w:val="en-US" w:eastAsia="zh-CN"/>
              </w:rPr>
              <w:t>密闭，无</w:t>
            </w:r>
            <w:r>
              <w:rPr>
                <w:rFonts w:hint="default" w:ascii="Times New Roman" w:hAnsi="Times New Roman" w:eastAsia="宋体" w:cs="Times New Roman"/>
                <w:color w:val="auto"/>
                <w:spacing w:val="0"/>
                <w:position w:val="0"/>
                <w:sz w:val="24"/>
                <w:szCs w:val="32"/>
                <w:highlight w:val="none"/>
              </w:rPr>
              <w:t>组织</w:t>
            </w:r>
            <w:r>
              <w:rPr>
                <w:rFonts w:hint="default" w:ascii="Times New Roman" w:hAnsi="Times New Roman" w:cs="Times New Roman"/>
                <w:color w:val="auto"/>
                <w:spacing w:val="0"/>
                <w:position w:val="0"/>
                <w:sz w:val="24"/>
                <w:szCs w:val="32"/>
                <w:highlight w:val="none"/>
                <w:lang w:val="en-US" w:eastAsia="zh-CN"/>
              </w:rPr>
              <w:t>非甲烷总烃</w:t>
            </w:r>
            <w:r>
              <w:rPr>
                <w:rFonts w:hint="default" w:ascii="Times New Roman" w:hAnsi="Times New Roman" w:eastAsia="宋体" w:cs="Times New Roman"/>
                <w:color w:val="auto"/>
                <w:spacing w:val="0"/>
                <w:position w:val="0"/>
                <w:sz w:val="24"/>
                <w:szCs w:val="32"/>
                <w:highlight w:val="none"/>
              </w:rPr>
              <w:t>产生量很小</w:t>
            </w:r>
            <w:r>
              <w:rPr>
                <w:rFonts w:hint="default" w:ascii="Times New Roman" w:hAnsi="Times New Roman" w:cs="Times New Roman"/>
                <w:color w:val="auto"/>
                <w:spacing w:val="0"/>
                <w:position w:val="0"/>
                <w:sz w:val="24"/>
                <w:szCs w:val="32"/>
                <w:highlight w:val="none"/>
                <w:lang w:eastAsia="zh-CN"/>
              </w:rPr>
              <w:t>；</w:t>
            </w:r>
            <w:r>
              <w:rPr>
                <w:rFonts w:hint="default" w:ascii="Times New Roman" w:hAnsi="Times New Roman" w:eastAsia="宋体" w:cs="Times New Roman"/>
                <w:color w:val="auto"/>
                <w:spacing w:val="0"/>
                <w:position w:val="0"/>
                <w:sz w:val="24"/>
                <w:szCs w:val="32"/>
                <w:highlight w:val="none"/>
              </w:rPr>
              <w:t>项目</w:t>
            </w:r>
            <w:r>
              <w:rPr>
                <w:rFonts w:hint="default" w:ascii="Times New Roman" w:hAnsi="Times New Roman" w:cs="Times New Roman"/>
                <w:color w:val="auto"/>
                <w:spacing w:val="0"/>
                <w:position w:val="0"/>
                <w:sz w:val="24"/>
                <w:szCs w:val="32"/>
                <w:highlight w:val="none"/>
                <w:lang w:val="en-US" w:eastAsia="zh-CN"/>
              </w:rPr>
              <w:t>厂</w:t>
            </w:r>
            <w:r>
              <w:rPr>
                <w:rFonts w:hint="default" w:ascii="Times New Roman" w:hAnsi="Times New Roman" w:eastAsia="宋体" w:cs="Times New Roman"/>
                <w:color w:val="auto"/>
                <w:spacing w:val="0"/>
                <w:position w:val="0"/>
                <w:sz w:val="24"/>
                <w:szCs w:val="32"/>
                <w:highlight w:val="none"/>
              </w:rPr>
              <w:t>界处</w:t>
            </w:r>
            <w:r>
              <w:rPr>
                <w:rFonts w:hint="default" w:ascii="Times New Roman" w:hAnsi="Times New Roman" w:cs="Times New Roman"/>
                <w:color w:val="auto"/>
                <w:spacing w:val="0"/>
                <w:position w:val="0"/>
                <w:sz w:val="24"/>
                <w:szCs w:val="32"/>
                <w:highlight w:val="none"/>
                <w:lang w:val="en-US" w:eastAsia="zh-CN"/>
              </w:rPr>
              <w:t>颗粒物、非甲烷总烃</w:t>
            </w:r>
            <w:r>
              <w:rPr>
                <w:rFonts w:hint="default" w:ascii="Times New Roman" w:hAnsi="Times New Roman" w:eastAsia="宋体" w:cs="Times New Roman"/>
                <w:color w:val="auto"/>
                <w:spacing w:val="0"/>
                <w:position w:val="0"/>
                <w:sz w:val="24"/>
                <w:szCs w:val="32"/>
                <w:highlight w:val="none"/>
              </w:rPr>
              <w:t>浓度满足《大气污染物综合排放</w:t>
            </w:r>
            <w:r>
              <w:rPr>
                <w:rFonts w:hint="default" w:ascii="Times New Roman" w:hAnsi="Times New Roman" w:cs="Times New Roman"/>
                <w:color w:val="auto"/>
                <w:spacing w:val="0"/>
                <w:position w:val="0"/>
                <w:sz w:val="24"/>
                <w:szCs w:val="32"/>
                <w:highlight w:val="none"/>
                <w:lang w:val="en-US" w:eastAsia="zh-CN"/>
              </w:rPr>
              <w:t>标准》</w:t>
            </w:r>
            <w:r>
              <w:rPr>
                <w:rFonts w:hint="default" w:ascii="Times New Roman" w:hAnsi="Times New Roman" w:cs="Times New Roman"/>
                <w:color w:val="auto"/>
                <w:spacing w:val="0"/>
                <w:position w:val="0"/>
                <w:sz w:val="24"/>
                <w:szCs w:val="32"/>
                <w:highlight w:val="none"/>
                <w:lang w:eastAsia="zh-CN"/>
              </w:rPr>
              <w:t>（</w:t>
            </w:r>
            <w:r>
              <w:rPr>
                <w:rFonts w:hint="default" w:ascii="Times New Roman" w:hAnsi="Times New Roman" w:cs="Times New Roman"/>
                <w:color w:val="auto"/>
                <w:spacing w:val="0"/>
                <w:position w:val="0"/>
                <w:sz w:val="24"/>
                <w:szCs w:val="32"/>
                <w:highlight w:val="none"/>
                <w:lang w:val="en-US" w:eastAsia="zh-CN"/>
              </w:rPr>
              <w:t>GB16297-1996</w:t>
            </w:r>
            <w:r>
              <w:rPr>
                <w:rFonts w:hint="default" w:ascii="Times New Roman" w:hAnsi="Times New Roman" w:cs="Times New Roman"/>
                <w:color w:val="auto"/>
                <w:spacing w:val="0"/>
                <w:position w:val="0"/>
                <w:sz w:val="24"/>
                <w:szCs w:val="32"/>
                <w:highlight w:val="none"/>
                <w:lang w:eastAsia="zh-CN"/>
              </w:rPr>
              <w:t>）</w:t>
            </w:r>
            <w:r>
              <w:rPr>
                <w:rFonts w:hint="default" w:ascii="Times New Roman" w:hAnsi="Times New Roman" w:cs="Times New Roman"/>
                <w:color w:val="auto"/>
                <w:spacing w:val="0"/>
                <w:position w:val="0"/>
                <w:sz w:val="24"/>
                <w:szCs w:val="32"/>
                <w:highlight w:val="none"/>
                <w:lang w:val="en-US" w:eastAsia="zh-CN"/>
              </w:rPr>
              <w:t>无</w:t>
            </w:r>
            <w:r>
              <w:rPr>
                <w:rFonts w:hint="default" w:ascii="Times New Roman" w:hAnsi="Times New Roman" w:eastAsia="宋体" w:cs="Times New Roman"/>
                <w:color w:val="auto"/>
                <w:spacing w:val="0"/>
                <w:position w:val="0"/>
                <w:sz w:val="24"/>
                <w:szCs w:val="32"/>
                <w:highlight w:val="none"/>
              </w:rPr>
              <w:t>组织排放浓度限值</w:t>
            </w:r>
            <w:r>
              <w:rPr>
                <w:rFonts w:hint="default" w:ascii="Times New Roman" w:hAnsi="Times New Roman" w:cs="Times New Roman"/>
                <w:color w:val="auto"/>
                <w:spacing w:val="0"/>
                <w:position w:val="0"/>
                <w:sz w:val="24"/>
                <w:szCs w:val="32"/>
                <w:highlight w:val="none"/>
                <w:lang w:eastAsia="zh-CN"/>
              </w:rPr>
              <w:t>（</w:t>
            </w:r>
            <w:r>
              <w:rPr>
                <w:rFonts w:hint="default" w:ascii="Times New Roman" w:hAnsi="Times New Roman" w:eastAsia="宋体" w:cs="Times New Roman"/>
                <w:color w:val="auto"/>
                <w:spacing w:val="0"/>
                <w:position w:val="0"/>
                <w:sz w:val="24"/>
                <w:szCs w:val="32"/>
                <w:highlight w:val="none"/>
              </w:rPr>
              <w:t>颗粒物1.0mg/m</w:t>
            </w:r>
            <w:r>
              <w:rPr>
                <w:rFonts w:hint="default" w:ascii="Times New Roman" w:hAnsi="Times New Roman" w:cs="Times New Roman"/>
                <w:color w:val="auto"/>
                <w:spacing w:val="0"/>
                <w:position w:val="0"/>
                <w:sz w:val="24"/>
                <w:szCs w:val="32"/>
                <w:highlight w:val="none"/>
                <w:vertAlign w:val="superscript"/>
                <w:lang w:val="en-US" w:eastAsia="zh-CN"/>
              </w:rPr>
              <w:t>3</w:t>
            </w:r>
            <w:r>
              <w:rPr>
                <w:rFonts w:hint="default" w:ascii="Times New Roman" w:hAnsi="Times New Roman" w:cs="Times New Roman"/>
                <w:color w:val="auto"/>
                <w:spacing w:val="0"/>
                <w:position w:val="0"/>
                <w:sz w:val="24"/>
                <w:szCs w:val="32"/>
                <w:highlight w:val="none"/>
                <w:lang w:eastAsia="zh-CN"/>
              </w:rPr>
              <w:t>，</w:t>
            </w:r>
            <w:r>
              <w:rPr>
                <w:rFonts w:hint="default" w:ascii="Times New Roman" w:hAnsi="Times New Roman" w:cs="Times New Roman"/>
                <w:color w:val="auto"/>
                <w:spacing w:val="0"/>
                <w:position w:val="0"/>
                <w:sz w:val="24"/>
                <w:szCs w:val="32"/>
                <w:highlight w:val="none"/>
                <w:lang w:val="en-US" w:eastAsia="zh-CN"/>
              </w:rPr>
              <w:t>非甲烷总烃</w:t>
            </w:r>
            <w:r>
              <w:rPr>
                <w:rFonts w:hint="default" w:ascii="Times New Roman" w:hAnsi="Times New Roman" w:eastAsia="宋体" w:cs="Times New Roman"/>
                <w:color w:val="auto"/>
                <w:spacing w:val="0"/>
                <w:position w:val="0"/>
                <w:sz w:val="24"/>
                <w:szCs w:val="32"/>
                <w:highlight w:val="none"/>
              </w:rPr>
              <w:t>4.0mg/m</w:t>
            </w:r>
            <w:r>
              <w:rPr>
                <w:rFonts w:hint="default" w:ascii="Times New Roman" w:hAnsi="Times New Roman" w:eastAsia="宋体" w:cs="Times New Roman"/>
                <w:color w:val="auto"/>
                <w:spacing w:val="0"/>
                <w:position w:val="0"/>
                <w:sz w:val="24"/>
                <w:szCs w:val="32"/>
                <w:highlight w:val="none"/>
                <w:vertAlign w:val="superscript"/>
              </w:rPr>
              <w:t>3</w:t>
            </w:r>
            <w:r>
              <w:rPr>
                <w:rFonts w:hint="default" w:ascii="Times New Roman" w:hAnsi="Times New Roman" w:cs="Times New Roman"/>
                <w:color w:val="auto"/>
                <w:spacing w:val="0"/>
                <w:position w:val="0"/>
                <w:sz w:val="24"/>
                <w:szCs w:val="32"/>
                <w:highlight w:val="none"/>
                <w:lang w:eastAsia="zh-CN"/>
              </w:rPr>
              <w:t>）</w:t>
            </w:r>
            <w:r>
              <w:rPr>
                <w:rFonts w:hint="default" w:ascii="Times New Roman" w:hAnsi="Times New Roman" w:cs="Times New Roman"/>
                <w:color w:val="auto"/>
                <w:spacing w:val="0"/>
                <w:position w:val="0"/>
                <w:sz w:val="24"/>
                <w:szCs w:val="32"/>
                <w:highlight w:val="none"/>
                <w:lang w:val="en-US" w:eastAsia="zh-CN"/>
              </w:rPr>
              <w:t>要求</w:t>
            </w:r>
            <w:r>
              <w:rPr>
                <w:rFonts w:hint="default" w:ascii="Times New Roman" w:hAnsi="Times New Roman" w:eastAsia="宋体" w:cs="Times New Roman"/>
                <w:color w:val="auto"/>
                <w:spacing w:val="0"/>
                <w:position w:val="0"/>
                <w:sz w:val="24"/>
                <w:szCs w:val="32"/>
                <w:highlight w:val="none"/>
              </w:rPr>
              <w:t>。</w:t>
            </w:r>
            <w:r>
              <w:rPr>
                <w:rFonts w:hint="default" w:ascii="Times New Roman" w:hAnsi="Times New Roman" w:cs="Times New Roman"/>
                <w:color w:val="auto"/>
                <w:spacing w:val="0"/>
                <w:position w:val="0"/>
                <w:sz w:val="24"/>
                <w:szCs w:val="32"/>
                <w:highlight w:val="none"/>
                <w:lang w:val="en-US" w:eastAsia="zh-CN"/>
              </w:rPr>
              <w:t>臭气</w:t>
            </w:r>
            <w:r>
              <w:rPr>
                <w:rFonts w:hint="default" w:ascii="Times New Roman" w:hAnsi="Times New Roman" w:eastAsia="宋体" w:cs="Times New Roman"/>
                <w:color w:val="auto"/>
                <w:spacing w:val="0"/>
                <w:position w:val="0"/>
                <w:sz w:val="24"/>
                <w:szCs w:val="32"/>
                <w:highlight w:val="none"/>
              </w:rPr>
              <w:t>浓度满足《</w:t>
            </w:r>
            <w:r>
              <w:rPr>
                <w:rFonts w:hint="default" w:ascii="Times New Roman" w:hAnsi="Times New Roman" w:cs="Times New Roman"/>
                <w:color w:val="auto"/>
                <w:spacing w:val="0"/>
                <w:position w:val="0"/>
                <w:sz w:val="24"/>
                <w:szCs w:val="32"/>
                <w:highlight w:val="none"/>
                <w:lang w:val="en-US" w:eastAsia="zh-CN"/>
              </w:rPr>
              <w:t>恶臭</w:t>
            </w:r>
            <w:r>
              <w:rPr>
                <w:rFonts w:hint="default" w:ascii="Times New Roman" w:hAnsi="Times New Roman" w:eastAsia="宋体" w:cs="Times New Roman"/>
                <w:color w:val="auto"/>
                <w:spacing w:val="0"/>
                <w:position w:val="0"/>
                <w:sz w:val="24"/>
                <w:szCs w:val="32"/>
                <w:highlight w:val="none"/>
              </w:rPr>
              <w:t>污染物排放标准</w:t>
            </w:r>
            <w:r>
              <w:rPr>
                <w:rFonts w:hint="default" w:ascii="Times New Roman" w:hAnsi="Times New Roman" w:cs="Times New Roman"/>
                <w:color w:val="auto"/>
                <w:spacing w:val="0"/>
                <w:position w:val="0"/>
                <w:sz w:val="24"/>
                <w:szCs w:val="32"/>
                <w:highlight w:val="none"/>
                <w:lang w:eastAsia="zh-CN"/>
              </w:rPr>
              <w:t>》（</w:t>
            </w:r>
            <w:r>
              <w:rPr>
                <w:rFonts w:hint="default" w:ascii="Times New Roman" w:hAnsi="Times New Roman" w:eastAsia="宋体" w:cs="Times New Roman"/>
                <w:color w:val="auto"/>
                <w:spacing w:val="0"/>
                <w:position w:val="0"/>
                <w:sz w:val="24"/>
                <w:szCs w:val="32"/>
                <w:highlight w:val="none"/>
              </w:rPr>
              <w:t>GB14554-93</w:t>
            </w:r>
            <w:r>
              <w:rPr>
                <w:rFonts w:hint="default" w:ascii="Times New Roman" w:hAnsi="Times New Roman" w:cs="Times New Roman"/>
                <w:color w:val="auto"/>
                <w:spacing w:val="0"/>
                <w:position w:val="0"/>
                <w:sz w:val="24"/>
                <w:szCs w:val="32"/>
                <w:highlight w:val="none"/>
                <w:lang w:eastAsia="zh-CN"/>
              </w:rPr>
              <w:t>）</w:t>
            </w:r>
            <w:r>
              <w:rPr>
                <w:rFonts w:hint="default" w:ascii="Times New Roman" w:hAnsi="Times New Roman" w:eastAsia="宋体" w:cs="Times New Roman"/>
                <w:color w:val="auto"/>
                <w:spacing w:val="0"/>
                <w:position w:val="0"/>
                <w:sz w:val="24"/>
                <w:szCs w:val="32"/>
                <w:highlight w:val="none"/>
              </w:rPr>
              <w:t>表1</w:t>
            </w:r>
            <w:r>
              <w:rPr>
                <w:rFonts w:hint="default" w:ascii="Times New Roman" w:hAnsi="Times New Roman" w:cs="Times New Roman"/>
                <w:color w:val="auto"/>
                <w:spacing w:val="0"/>
                <w:position w:val="0"/>
                <w:sz w:val="24"/>
                <w:szCs w:val="32"/>
                <w:highlight w:val="none"/>
                <w:lang w:val="en-US" w:eastAsia="zh-CN"/>
              </w:rPr>
              <w:t>厂</w:t>
            </w:r>
            <w:r>
              <w:rPr>
                <w:rFonts w:hint="default" w:ascii="Times New Roman" w:hAnsi="Times New Roman" w:eastAsia="宋体" w:cs="Times New Roman"/>
                <w:color w:val="auto"/>
                <w:spacing w:val="0"/>
                <w:position w:val="0"/>
                <w:sz w:val="24"/>
                <w:szCs w:val="32"/>
                <w:highlight w:val="none"/>
              </w:rPr>
              <w:t>界标准值</w:t>
            </w:r>
            <w:r>
              <w:rPr>
                <w:rFonts w:hint="default" w:ascii="Times New Roman" w:hAnsi="Times New Roman" w:cs="Times New Roman"/>
                <w:color w:val="auto"/>
                <w:spacing w:val="0"/>
                <w:position w:val="0"/>
                <w:sz w:val="24"/>
                <w:szCs w:val="32"/>
                <w:highlight w:val="none"/>
                <w:lang w:eastAsia="zh-CN"/>
              </w:rPr>
              <w:t>（</w:t>
            </w:r>
            <w:r>
              <w:rPr>
                <w:rFonts w:hint="default" w:ascii="Times New Roman" w:hAnsi="Times New Roman" w:eastAsia="宋体" w:cs="Times New Roman"/>
                <w:color w:val="auto"/>
                <w:spacing w:val="0"/>
                <w:position w:val="0"/>
                <w:sz w:val="24"/>
                <w:szCs w:val="32"/>
                <w:highlight w:val="none"/>
              </w:rPr>
              <w:t>20</w:t>
            </w:r>
            <w:r>
              <w:rPr>
                <w:rFonts w:hint="default" w:ascii="Times New Roman" w:hAnsi="Times New Roman" w:cs="Times New Roman"/>
                <w:color w:val="auto"/>
                <w:spacing w:val="0"/>
                <w:position w:val="0"/>
                <w:sz w:val="24"/>
                <w:szCs w:val="32"/>
                <w:highlight w:val="none"/>
                <w:lang w:val="en-US" w:eastAsia="zh-CN"/>
              </w:rPr>
              <w:t>无</w:t>
            </w:r>
            <w:r>
              <w:rPr>
                <w:rFonts w:hint="default" w:ascii="Times New Roman" w:hAnsi="Times New Roman" w:eastAsia="宋体" w:cs="Times New Roman"/>
                <w:color w:val="auto"/>
                <w:spacing w:val="0"/>
                <w:position w:val="0"/>
                <w:sz w:val="24"/>
                <w:szCs w:val="32"/>
                <w:highlight w:val="none"/>
              </w:rPr>
              <w:t>量纲</w:t>
            </w:r>
            <w:r>
              <w:rPr>
                <w:rFonts w:hint="default" w:ascii="Times New Roman" w:hAnsi="Times New Roman" w:cs="Times New Roman"/>
                <w:color w:val="auto"/>
                <w:spacing w:val="0"/>
                <w:position w:val="0"/>
                <w:sz w:val="24"/>
                <w:szCs w:val="32"/>
                <w:highlight w:val="none"/>
                <w:lang w:eastAsia="zh-CN"/>
              </w:rPr>
              <w:t>）</w:t>
            </w:r>
            <w:r>
              <w:rPr>
                <w:rFonts w:hint="default" w:ascii="Times New Roman" w:hAnsi="Times New Roman" w:cs="Times New Roman"/>
                <w:color w:val="auto"/>
                <w:spacing w:val="0"/>
                <w:position w:val="0"/>
                <w:sz w:val="24"/>
                <w:szCs w:val="32"/>
                <w:highlight w:val="none"/>
                <w:lang w:val="en-US" w:eastAsia="zh-CN"/>
              </w:rPr>
              <w:t>要求</w:t>
            </w:r>
            <w:r>
              <w:rPr>
                <w:rFonts w:hint="default" w:ascii="Times New Roman" w:hAnsi="Times New Roman" w:eastAsia="宋体" w:cs="Times New Roman"/>
                <w:color w:val="auto"/>
                <w:spacing w:val="0"/>
                <w:position w:val="0"/>
                <w:sz w:val="24"/>
                <w:szCs w:val="32"/>
                <w:highlight w:val="none"/>
              </w:rPr>
              <w:t>。</w:t>
            </w:r>
          </w:p>
          <w:p w14:paraId="09E34AAA">
            <w:pPr>
              <w:keepNext w:val="0"/>
              <w:keepLines w:val="0"/>
              <w:pageBreakBefore w:val="0"/>
              <w:widowControl/>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2、废水</w:t>
            </w:r>
          </w:p>
          <w:p w14:paraId="07FDCEC8">
            <w:pPr>
              <w:keepNext w:val="0"/>
              <w:keepLines w:val="0"/>
              <w:pageBreakBefore w:val="0"/>
              <w:widowControl/>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根据</w:t>
            </w:r>
            <w:r>
              <w:rPr>
                <w:rFonts w:hint="default" w:ascii="Times New Roman" w:hAnsi="Times New Roman" w:eastAsia="宋体" w:cs="Times New Roman"/>
                <w:color w:val="auto"/>
                <w:spacing w:val="0"/>
                <w:position w:val="0"/>
                <w:sz w:val="24"/>
                <w:szCs w:val="24"/>
                <w:highlight w:val="none"/>
              </w:rPr>
              <w:t>《桦川县欣盛油脂有限公司9万吨每年米糠加工项目建设项目环境影响报告表》</w:t>
            </w:r>
            <w:r>
              <w:rPr>
                <w:rFonts w:hint="default" w:ascii="Times New Roman" w:hAnsi="Times New Roman" w:eastAsia="宋体" w:cs="Times New Roman"/>
                <w:color w:val="auto"/>
                <w:spacing w:val="0"/>
                <w:position w:val="0"/>
                <w:sz w:val="24"/>
                <w:szCs w:val="24"/>
                <w:highlight w:val="none"/>
                <w:lang w:eastAsia="zh-CN"/>
              </w:rPr>
              <w:t>，项目废水仅为职工生活污水、锅炉排水和软化水制备系统</w:t>
            </w:r>
            <w:r>
              <w:rPr>
                <w:rFonts w:hint="default" w:ascii="Times New Roman" w:hAnsi="Times New Roman" w:cs="Times New Roman"/>
                <w:color w:val="auto"/>
                <w:spacing w:val="0"/>
                <w:position w:val="0"/>
                <w:sz w:val="24"/>
                <w:szCs w:val="24"/>
                <w:highlight w:val="none"/>
                <w:lang w:val="en-US" w:eastAsia="zh-CN"/>
              </w:rPr>
              <w:t>排水</w:t>
            </w:r>
            <w:r>
              <w:rPr>
                <w:rFonts w:hint="default" w:ascii="Times New Roman" w:hAnsi="Times New Roman" w:eastAsia="宋体" w:cs="Times New Roman"/>
                <w:color w:val="auto"/>
                <w:spacing w:val="0"/>
                <w:position w:val="0"/>
                <w:sz w:val="24"/>
                <w:szCs w:val="24"/>
                <w:highlight w:val="none"/>
              </w:rPr>
              <w:t>。</w:t>
            </w:r>
          </w:p>
          <w:p w14:paraId="3E7947E9">
            <w:pPr>
              <w:keepNext w:val="0"/>
              <w:keepLines w:val="0"/>
              <w:pageBreakBefore w:val="0"/>
              <w:widowControl/>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eastAsia="zh-CN"/>
              </w:rPr>
            </w:pPr>
            <w:r>
              <w:rPr>
                <w:rFonts w:hint="default" w:ascii="Times New Roman" w:hAnsi="Times New Roman" w:cs="Times New Roman"/>
                <w:color w:val="auto"/>
                <w:spacing w:val="0"/>
                <w:position w:val="0"/>
                <w:sz w:val="24"/>
                <w:szCs w:val="24"/>
                <w:highlight w:val="none"/>
                <w:lang w:val="en-US" w:eastAsia="zh-CN"/>
              </w:rPr>
              <w:t>生</w:t>
            </w:r>
            <w:r>
              <w:rPr>
                <w:rFonts w:hint="default" w:ascii="Times New Roman" w:hAnsi="Times New Roman" w:eastAsia="宋体" w:cs="Times New Roman"/>
                <w:color w:val="auto"/>
                <w:spacing w:val="0"/>
                <w:position w:val="0"/>
                <w:sz w:val="24"/>
                <w:szCs w:val="24"/>
                <w:highlight w:val="none"/>
              </w:rPr>
              <w:t>活污水和锅炉排污水、软化水系统</w:t>
            </w:r>
            <w:r>
              <w:rPr>
                <w:rFonts w:hint="default" w:ascii="Times New Roman" w:hAnsi="Times New Roman" w:cs="Times New Roman"/>
                <w:color w:val="auto"/>
                <w:spacing w:val="0"/>
                <w:position w:val="0"/>
                <w:sz w:val="24"/>
                <w:szCs w:val="24"/>
                <w:highlight w:val="none"/>
                <w:lang w:val="en-US" w:eastAsia="zh-CN"/>
              </w:rPr>
              <w:t>排污水</w:t>
            </w:r>
            <w:r>
              <w:rPr>
                <w:rFonts w:hint="default" w:ascii="Times New Roman" w:hAnsi="Times New Roman" w:eastAsia="宋体" w:cs="Times New Roman"/>
                <w:color w:val="auto"/>
                <w:spacing w:val="0"/>
                <w:position w:val="0"/>
                <w:sz w:val="24"/>
                <w:szCs w:val="24"/>
                <w:highlight w:val="none"/>
              </w:rPr>
              <w:t>排入市政排水管网</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送</w:t>
            </w:r>
            <w:r>
              <w:rPr>
                <w:rFonts w:hint="default" w:ascii="Times New Roman" w:hAnsi="Times New Roman" w:cs="Times New Roman"/>
                <w:color w:val="auto"/>
                <w:spacing w:val="0"/>
                <w:position w:val="0"/>
                <w:sz w:val="24"/>
                <w:szCs w:val="24"/>
                <w:highlight w:val="none"/>
                <w:lang w:val="en-US" w:eastAsia="zh-CN"/>
              </w:rPr>
              <w:t>桦川县</w:t>
            </w:r>
            <w:r>
              <w:rPr>
                <w:rFonts w:hint="default" w:ascii="Times New Roman" w:hAnsi="Times New Roman" w:eastAsia="宋体" w:cs="Times New Roman"/>
                <w:color w:val="auto"/>
                <w:spacing w:val="0"/>
                <w:position w:val="0"/>
                <w:sz w:val="24"/>
                <w:szCs w:val="24"/>
                <w:highlight w:val="none"/>
              </w:rPr>
              <w:t>污水处理厂处理</w:t>
            </w:r>
            <w:r>
              <w:rPr>
                <w:rFonts w:hint="default" w:ascii="Times New Roman" w:hAnsi="Times New Roman" w:cs="Times New Roman"/>
                <w:color w:val="auto"/>
                <w:spacing w:val="0"/>
                <w:position w:val="0"/>
                <w:sz w:val="24"/>
                <w:szCs w:val="24"/>
                <w:highlight w:val="none"/>
                <w:lang w:eastAsia="zh-CN"/>
              </w:rPr>
              <w:t>。</w:t>
            </w:r>
          </w:p>
          <w:p w14:paraId="2E951A19">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3、噪声</w:t>
            </w:r>
          </w:p>
          <w:p w14:paraId="649BC29E">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32"/>
                <w:highlight w:val="none"/>
                <w:lang w:eastAsia="zh-CN"/>
              </w:rPr>
            </w:pPr>
            <w:r>
              <w:rPr>
                <w:rFonts w:hint="default" w:ascii="Times New Roman" w:hAnsi="Times New Roman" w:eastAsia="宋体" w:cs="Times New Roman"/>
                <w:color w:val="auto"/>
                <w:spacing w:val="0"/>
                <w:position w:val="0"/>
                <w:sz w:val="24"/>
                <w:szCs w:val="24"/>
                <w:highlight w:val="none"/>
                <w:lang w:eastAsia="zh-CN"/>
              </w:rPr>
              <w:t>根据</w:t>
            </w:r>
            <w:r>
              <w:rPr>
                <w:rFonts w:hint="default" w:ascii="Times New Roman" w:hAnsi="Times New Roman" w:eastAsia="宋体" w:cs="Times New Roman"/>
                <w:color w:val="auto"/>
                <w:spacing w:val="0"/>
                <w:position w:val="0"/>
                <w:sz w:val="24"/>
                <w:szCs w:val="24"/>
                <w:highlight w:val="none"/>
              </w:rPr>
              <w:t>《桦川县欣盛油脂有限公司9万吨每年米糠加工项目建设项目环境影响报告表》</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32"/>
                <w:highlight w:val="none"/>
              </w:rPr>
              <w:t>项目</w:t>
            </w:r>
            <w:r>
              <w:rPr>
                <w:rFonts w:hint="default" w:ascii="Times New Roman" w:hAnsi="Times New Roman" w:cs="Times New Roman"/>
                <w:color w:val="auto"/>
                <w:spacing w:val="0"/>
                <w:position w:val="0"/>
                <w:sz w:val="24"/>
                <w:szCs w:val="32"/>
                <w:highlight w:val="none"/>
                <w:lang w:val="en-US" w:eastAsia="zh-CN"/>
              </w:rPr>
              <w:t>高噪声</w:t>
            </w:r>
            <w:r>
              <w:rPr>
                <w:rFonts w:hint="default" w:ascii="Times New Roman" w:hAnsi="Times New Roman" w:eastAsia="宋体" w:cs="Times New Roman"/>
                <w:color w:val="auto"/>
                <w:spacing w:val="0"/>
                <w:position w:val="0"/>
                <w:sz w:val="24"/>
                <w:szCs w:val="32"/>
                <w:highlight w:val="none"/>
              </w:rPr>
              <w:t>设备</w:t>
            </w:r>
            <w:r>
              <w:rPr>
                <w:rFonts w:hint="default" w:ascii="Times New Roman" w:hAnsi="Times New Roman" w:cs="Times New Roman"/>
                <w:color w:val="auto"/>
                <w:spacing w:val="0"/>
                <w:position w:val="0"/>
                <w:sz w:val="24"/>
                <w:szCs w:val="32"/>
                <w:highlight w:val="none"/>
                <w:lang w:val="en-US" w:eastAsia="zh-CN"/>
              </w:rPr>
              <w:t>采区</w:t>
            </w:r>
            <w:r>
              <w:rPr>
                <w:rFonts w:hint="default" w:ascii="Times New Roman" w:hAnsi="Times New Roman" w:eastAsia="宋体" w:cs="Times New Roman"/>
                <w:color w:val="auto"/>
                <w:spacing w:val="0"/>
                <w:position w:val="0"/>
                <w:sz w:val="24"/>
                <w:szCs w:val="32"/>
                <w:highlight w:val="none"/>
              </w:rPr>
              <w:t>消声、安装</w:t>
            </w:r>
            <w:r>
              <w:rPr>
                <w:rFonts w:hint="default" w:ascii="Times New Roman" w:hAnsi="Times New Roman" w:cs="Times New Roman"/>
                <w:color w:val="auto"/>
                <w:spacing w:val="0"/>
                <w:position w:val="0"/>
                <w:sz w:val="24"/>
                <w:szCs w:val="32"/>
                <w:highlight w:val="none"/>
                <w:lang w:val="en-US" w:eastAsia="zh-CN"/>
              </w:rPr>
              <w:t>减震垫</w:t>
            </w:r>
            <w:r>
              <w:rPr>
                <w:rFonts w:hint="default" w:ascii="Times New Roman" w:hAnsi="Times New Roman" w:eastAsia="宋体" w:cs="Times New Roman"/>
                <w:color w:val="auto"/>
                <w:spacing w:val="0"/>
                <w:position w:val="0"/>
                <w:sz w:val="24"/>
                <w:szCs w:val="32"/>
                <w:highlight w:val="none"/>
              </w:rPr>
              <w:t>、距离</w:t>
            </w:r>
            <w:r>
              <w:rPr>
                <w:rFonts w:hint="default" w:ascii="Times New Roman" w:hAnsi="Times New Roman" w:cs="Times New Roman"/>
                <w:color w:val="auto"/>
                <w:spacing w:val="0"/>
                <w:position w:val="0"/>
                <w:sz w:val="24"/>
                <w:szCs w:val="32"/>
                <w:highlight w:val="none"/>
                <w:lang w:val="en-US" w:eastAsia="zh-CN"/>
              </w:rPr>
              <w:t>衰减</w:t>
            </w:r>
            <w:r>
              <w:rPr>
                <w:rFonts w:hint="default" w:ascii="Times New Roman" w:hAnsi="Times New Roman" w:eastAsia="宋体" w:cs="Times New Roman"/>
                <w:color w:val="auto"/>
                <w:spacing w:val="0"/>
                <w:position w:val="0"/>
                <w:sz w:val="24"/>
                <w:szCs w:val="32"/>
                <w:highlight w:val="none"/>
              </w:rPr>
              <w:t>后</w:t>
            </w:r>
            <w:r>
              <w:rPr>
                <w:rFonts w:hint="default" w:ascii="Times New Roman" w:hAnsi="Times New Roman" w:cs="Times New Roman"/>
                <w:color w:val="auto"/>
                <w:spacing w:val="0"/>
                <w:position w:val="0"/>
                <w:sz w:val="24"/>
                <w:szCs w:val="32"/>
                <w:highlight w:val="none"/>
                <w:lang w:eastAsia="zh-CN"/>
              </w:rPr>
              <w:t>，</w:t>
            </w:r>
            <w:r>
              <w:rPr>
                <w:rFonts w:hint="default" w:ascii="Times New Roman" w:hAnsi="Times New Roman" w:eastAsia="宋体" w:cs="Times New Roman"/>
                <w:color w:val="auto"/>
                <w:spacing w:val="0"/>
                <w:position w:val="0"/>
                <w:sz w:val="24"/>
                <w:szCs w:val="32"/>
                <w:highlight w:val="none"/>
              </w:rPr>
              <w:t>满足《工业企业厂界环境噪声排放标准》</w:t>
            </w:r>
            <w:r>
              <w:rPr>
                <w:rFonts w:hint="default" w:ascii="Times New Roman" w:hAnsi="Times New Roman" w:cs="Times New Roman"/>
                <w:color w:val="auto"/>
                <w:spacing w:val="0"/>
                <w:position w:val="0"/>
                <w:sz w:val="24"/>
                <w:szCs w:val="32"/>
                <w:highlight w:val="none"/>
                <w:lang w:eastAsia="zh-CN"/>
              </w:rPr>
              <w:t>（</w:t>
            </w:r>
            <w:r>
              <w:rPr>
                <w:rFonts w:hint="default" w:ascii="Times New Roman" w:hAnsi="Times New Roman" w:eastAsia="宋体" w:cs="Times New Roman"/>
                <w:color w:val="auto"/>
                <w:spacing w:val="0"/>
                <w:position w:val="0"/>
                <w:sz w:val="24"/>
                <w:szCs w:val="32"/>
                <w:highlight w:val="none"/>
              </w:rPr>
              <w:t>GB12348-2008</w:t>
            </w:r>
            <w:r>
              <w:rPr>
                <w:rFonts w:hint="default" w:ascii="Times New Roman" w:hAnsi="Times New Roman" w:cs="Times New Roman"/>
                <w:color w:val="auto"/>
                <w:spacing w:val="0"/>
                <w:position w:val="0"/>
                <w:sz w:val="24"/>
                <w:szCs w:val="32"/>
                <w:highlight w:val="none"/>
                <w:lang w:eastAsia="zh-CN"/>
              </w:rPr>
              <w:t>）</w:t>
            </w:r>
            <w:r>
              <w:rPr>
                <w:rFonts w:hint="default" w:ascii="Times New Roman" w:hAnsi="Times New Roman" w:eastAsia="宋体" w:cs="Times New Roman"/>
                <w:color w:val="auto"/>
                <w:spacing w:val="0"/>
                <w:position w:val="0"/>
                <w:sz w:val="24"/>
                <w:szCs w:val="32"/>
                <w:highlight w:val="none"/>
              </w:rPr>
              <w:t>中的2类标准要求</w:t>
            </w:r>
            <w:r>
              <w:rPr>
                <w:rFonts w:hint="default" w:ascii="Times New Roman" w:hAnsi="Times New Roman" w:cs="Times New Roman"/>
                <w:color w:val="auto"/>
                <w:spacing w:val="0"/>
                <w:position w:val="0"/>
                <w:sz w:val="24"/>
                <w:szCs w:val="32"/>
                <w:highlight w:val="none"/>
                <w:lang w:eastAsia="zh-CN"/>
              </w:rPr>
              <w:t>。</w:t>
            </w:r>
          </w:p>
          <w:p w14:paraId="65185319">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4、固废</w:t>
            </w:r>
          </w:p>
          <w:p w14:paraId="684E1410">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24"/>
                <w:highlight w:val="none"/>
                <w:lang w:eastAsia="zh-CN"/>
              </w:rPr>
              <w:t>根据</w:t>
            </w:r>
            <w:r>
              <w:rPr>
                <w:rFonts w:hint="default" w:ascii="Times New Roman" w:hAnsi="Times New Roman" w:eastAsia="宋体" w:cs="Times New Roman"/>
                <w:color w:val="auto"/>
                <w:spacing w:val="0"/>
                <w:position w:val="0"/>
                <w:sz w:val="24"/>
                <w:szCs w:val="24"/>
                <w:highlight w:val="none"/>
              </w:rPr>
              <w:t>《桦川县欣盛油脂有限公司9万吨每年米糠加工项目建设项目环境影响报告表》</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eastAsia="zh-CN"/>
              </w:rPr>
              <w:t>项目运营期</w:t>
            </w:r>
            <w:r>
              <w:rPr>
                <w:rFonts w:hint="default" w:ascii="Times New Roman" w:hAnsi="Times New Roman" w:eastAsia="宋体" w:cs="Times New Roman"/>
                <w:color w:val="auto"/>
                <w:spacing w:val="0"/>
                <w:position w:val="0"/>
                <w:sz w:val="24"/>
                <w:szCs w:val="32"/>
                <w:highlight w:val="none"/>
              </w:rPr>
              <w:t>产生的固体废物主要是</w:t>
            </w:r>
            <w:r>
              <w:rPr>
                <w:rFonts w:hint="default" w:ascii="Times New Roman" w:hAnsi="Times New Roman" w:cs="Times New Roman"/>
                <w:color w:val="auto"/>
                <w:spacing w:val="0"/>
                <w:position w:val="0"/>
                <w:sz w:val="24"/>
                <w:szCs w:val="32"/>
                <w:highlight w:val="none"/>
                <w:lang w:val="en-US" w:eastAsia="zh-CN"/>
              </w:rPr>
              <w:t>生活垃圾、米糠筛选杂质、除尘器收集粉尘、锅炉灰渣、废离子交换树脂和废活性炭</w:t>
            </w:r>
            <w:r>
              <w:rPr>
                <w:rFonts w:hint="default" w:ascii="Times New Roman" w:hAnsi="Times New Roman" w:eastAsia="宋体" w:cs="Times New Roman"/>
                <w:color w:val="auto"/>
                <w:spacing w:val="0"/>
                <w:position w:val="0"/>
                <w:sz w:val="24"/>
                <w:szCs w:val="32"/>
                <w:highlight w:val="none"/>
              </w:rPr>
              <w:t>。</w:t>
            </w:r>
          </w:p>
          <w:p w14:paraId="485A3005">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cs="Times New Roman"/>
                <w:color w:val="auto"/>
                <w:spacing w:val="0"/>
                <w:position w:val="0"/>
                <w:sz w:val="24"/>
                <w:szCs w:val="32"/>
                <w:highlight w:val="none"/>
                <w:lang w:val="en-US" w:eastAsia="zh-CN"/>
              </w:rPr>
              <w:t>生活垃圾、米糠筛选杂质交由市政环卫部门处置，除尘器收集粉尘、锅炉灰渣外售综合利用，非离子交换树脂更换时交由厂家回收处置，废活性炭交由有资质单位处置</w:t>
            </w:r>
            <w:r>
              <w:rPr>
                <w:rFonts w:hint="default" w:ascii="Times New Roman" w:hAnsi="Times New Roman" w:eastAsia="宋体" w:cs="Times New Roman"/>
                <w:color w:val="auto"/>
                <w:spacing w:val="0"/>
                <w:position w:val="0"/>
                <w:sz w:val="24"/>
                <w:szCs w:val="32"/>
                <w:highlight w:val="none"/>
              </w:rPr>
              <w:t>。</w:t>
            </w:r>
          </w:p>
          <w:p w14:paraId="59105779">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cs="Times New Roman"/>
                <w:color w:val="auto"/>
                <w:spacing w:val="0"/>
                <w:position w:val="0"/>
                <w:sz w:val="24"/>
                <w:szCs w:val="32"/>
                <w:highlight w:val="none"/>
                <w:lang w:eastAsia="zh-CN"/>
              </w:rPr>
              <w:t>（</w:t>
            </w:r>
            <w:r>
              <w:rPr>
                <w:rFonts w:hint="default" w:ascii="Times New Roman" w:hAnsi="Times New Roman" w:cs="Times New Roman"/>
                <w:color w:val="auto"/>
                <w:spacing w:val="0"/>
                <w:position w:val="0"/>
                <w:sz w:val="24"/>
                <w:szCs w:val="32"/>
                <w:highlight w:val="none"/>
                <w:lang w:val="en-US" w:eastAsia="zh-CN"/>
              </w:rPr>
              <w:t>四</w:t>
            </w:r>
            <w:r>
              <w:rPr>
                <w:rFonts w:hint="default" w:ascii="Times New Roman" w:hAnsi="Times New Roman" w:cs="Times New Roman"/>
                <w:color w:val="auto"/>
                <w:spacing w:val="0"/>
                <w:position w:val="0"/>
                <w:sz w:val="24"/>
                <w:szCs w:val="32"/>
                <w:highlight w:val="none"/>
                <w:lang w:eastAsia="zh-CN"/>
              </w:rPr>
              <w:t>）</w:t>
            </w:r>
            <w:r>
              <w:rPr>
                <w:rFonts w:hint="default" w:ascii="Times New Roman" w:hAnsi="Times New Roman" w:eastAsia="宋体" w:cs="Times New Roman"/>
                <w:color w:val="auto"/>
                <w:spacing w:val="0"/>
                <w:position w:val="0"/>
                <w:sz w:val="24"/>
                <w:szCs w:val="32"/>
                <w:highlight w:val="none"/>
              </w:rPr>
              <w:t>现有工程主要环境问题</w:t>
            </w:r>
          </w:p>
          <w:p w14:paraId="2E06E48B">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32"/>
                <w:highlight w:val="none"/>
                <w:lang w:val="en-US" w:eastAsia="zh-CN"/>
              </w:rPr>
            </w:pPr>
            <w:r>
              <w:rPr>
                <w:rFonts w:hint="default" w:ascii="Times New Roman" w:hAnsi="Times New Roman" w:eastAsia="宋体" w:cs="Times New Roman"/>
                <w:color w:val="auto"/>
                <w:spacing w:val="0"/>
                <w:position w:val="0"/>
                <w:sz w:val="24"/>
                <w:szCs w:val="32"/>
                <w:highlight w:val="none"/>
              </w:rPr>
              <w:t>现有工程</w:t>
            </w:r>
            <w:r>
              <w:rPr>
                <w:rFonts w:hint="default" w:ascii="Times New Roman" w:hAnsi="Times New Roman" w:cs="Times New Roman"/>
                <w:color w:val="auto"/>
                <w:spacing w:val="0"/>
                <w:position w:val="0"/>
                <w:sz w:val="24"/>
                <w:szCs w:val="32"/>
                <w:highlight w:val="none"/>
                <w:lang w:val="en-US" w:eastAsia="zh-CN"/>
              </w:rPr>
              <w:t>仅履行了环评手续，未履行排污许可证申报工作、应急预案备案工作及建设项目竣工环境保护验收工作。且企业由黑龙江龙粮油脂有限公司接手运营后，其生产规模、产品种类均有增加，污染物排放量增大。</w:t>
            </w:r>
          </w:p>
          <w:p w14:paraId="6ACBF2CB">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cs="Times New Roman"/>
                <w:color w:val="auto"/>
                <w:spacing w:val="0"/>
                <w:position w:val="0"/>
                <w:sz w:val="24"/>
                <w:szCs w:val="32"/>
                <w:highlight w:val="none"/>
                <w:lang w:val="en-US" w:eastAsia="zh-CN"/>
              </w:rPr>
              <w:t>本次环评要求，项目环评重新报批批复后，尽快办理排污许可证、尽快完成应急预案备案工作及建设项目竣工环境保护验收工作。</w:t>
            </w:r>
          </w:p>
        </w:tc>
      </w:tr>
    </w:tbl>
    <w:p w14:paraId="58C300C7">
      <w:pPr>
        <w:pStyle w:val="23"/>
        <w:keepNext w:val="0"/>
        <w:keepLines w:val="0"/>
        <w:pageBreakBefore w:val="0"/>
        <w:kinsoku/>
        <w:wordWrap/>
        <w:overflowPunct/>
        <w:topLinePunct w:val="0"/>
        <w:bidi w:val="0"/>
        <w:adjustRightInd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auto"/>
          <w:spacing w:val="0"/>
          <w:position w:val="0"/>
          <w:sz w:val="36"/>
          <w:szCs w:val="36"/>
          <w:highlight w:val="none"/>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5F4F631F">
      <w:pPr>
        <w:pStyle w:val="23"/>
        <w:keepNext w:val="0"/>
        <w:keepLines w:val="0"/>
        <w:pageBreakBefore w:val="0"/>
        <w:kinsoku/>
        <w:wordWrap/>
        <w:overflowPunct/>
        <w:topLinePunct w:val="0"/>
        <w:bidi w:val="0"/>
        <w:adjustRightInd w:val="0"/>
        <w:snapToGrid w:val="0"/>
        <w:spacing w:before="0" w:beforeAutospacing="0" w:after="0" w:afterAutospacing="0" w:line="14" w:lineRule="auto"/>
        <w:ind w:left="0" w:leftChars="0" w:right="0" w:rightChars="0"/>
        <w:jc w:val="center"/>
        <w:outlineLvl w:val="0"/>
        <w:rPr>
          <w:rFonts w:hint="default" w:ascii="Times New Roman" w:hAnsi="Times New Roman" w:eastAsia="宋体" w:cs="Times New Roman"/>
          <w:snapToGrid w:val="0"/>
          <w:color w:val="auto"/>
          <w:spacing w:val="0"/>
          <w:position w:val="0"/>
          <w:sz w:val="30"/>
          <w:szCs w:val="30"/>
          <w:highlight w:val="none"/>
        </w:rPr>
      </w:pPr>
    </w:p>
    <w:p w14:paraId="254C55AC">
      <w:pPr>
        <w:pStyle w:val="23"/>
        <w:keepNext w:val="0"/>
        <w:keepLines w:val="0"/>
        <w:pageBreakBefore w:val="0"/>
        <w:kinsoku/>
        <w:wordWrap/>
        <w:overflowPunct/>
        <w:topLinePunct w:val="0"/>
        <w:bidi w:val="0"/>
        <w:adjustRightInd w:val="0"/>
        <w:snapToGrid w:val="0"/>
        <w:spacing w:before="0" w:beforeAutospacing="0" w:after="0" w:afterAutospacing="0"/>
        <w:ind w:left="0" w:leftChars="0" w:right="0" w:rightChars="0"/>
        <w:jc w:val="center"/>
        <w:outlineLvl w:val="0"/>
        <w:rPr>
          <w:rFonts w:hint="default" w:ascii="Times New Roman" w:hAnsi="Times New Roman" w:eastAsia="宋体" w:cs="Times New Roman"/>
          <w:snapToGrid w:val="0"/>
          <w:color w:val="auto"/>
          <w:spacing w:val="0"/>
          <w:position w:val="0"/>
          <w:sz w:val="30"/>
          <w:szCs w:val="30"/>
          <w:highlight w:val="none"/>
        </w:rPr>
      </w:pPr>
      <w:bookmarkStart w:id="7" w:name="_Toc28539"/>
      <w:r>
        <w:rPr>
          <w:rFonts w:hint="default" w:ascii="Times New Roman" w:hAnsi="Times New Roman" w:eastAsia="宋体" w:cs="Times New Roman"/>
          <w:snapToGrid w:val="0"/>
          <w:color w:val="auto"/>
          <w:spacing w:val="0"/>
          <w:position w:val="0"/>
          <w:sz w:val="30"/>
          <w:szCs w:val="30"/>
          <w:highlight w:val="none"/>
        </w:rPr>
        <w:t>三、区域环境质量现状、环境保护目标及评价标准</w:t>
      </w:r>
      <w:bookmarkEnd w:id="7"/>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14:paraId="1CDC39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800" w:type="dxa"/>
            <w:noWrap w:val="0"/>
            <w:vAlign w:val="center"/>
          </w:tcPr>
          <w:p w14:paraId="3A928CD4">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区域</w:t>
            </w:r>
          </w:p>
          <w:p w14:paraId="6ED40A11">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环境</w:t>
            </w:r>
          </w:p>
          <w:p w14:paraId="3B245BF8">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质量</w:t>
            </w:r>
          </w:p>
          <w:p w14:paraId="2A674C52">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现状</w:t>
            </w:r>
          </w:p>
        </w:tc>
        <w:tc>
          <w:tcPr>
            <w:tcW w:w="8190" w:type="dxa"/>
            <w:noWrap w:val="0"/>
            <w:vAlign w:val="center"/>
          </w:tcPr>
          <w:p w14:paraId="0A35DD6B">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00" w:lineRule="exact"/>
              <w:ind w:left="0" w:leftChars="0" w:right="0" w:rightChars="0" w:firstLine="420"/>
              <w:jc w:val="both"/>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（一）环境空气质量现状</w:t>
            </w:r>
          </w:p>
          <w:p w14:paraId="76BC3854">
            <w:pPr>
              <w:keepNext w:val="0"/>
              <w:keepLines w:val="0"/>
              <w:pageBreakBefore w:val="0"/>
              <w:widowControl w:val="0"/>
              <w:kinsoku/>
              <w:wordWrap/>
              <w:overflowPunct/>
              <w:topLinePunct w:val="0"/>
              <w:autoSpaceDE/>
              <w:autoSpaceDN/>
              <w:bidi w:val="0"/>
              <w:adjustRightInd w:val="0"/>
              <w:snapToGrid w:val="0"/>
              <w:spacing w:beforeAutospacing="0" w:afterAutospacing="0" w:line="50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1、基本污染物</w:t>
            </w:r>
          </w:p>
          <w:p w14:paraId="304BBAD4">
            <w:pPr>
              <w:keepNext w:val="0"/>
              <w:keepLines w:val="0"/>
              <w:pageBreakBefore w:val="0"/>
              <w:widowControl w:val="0"/>
              <w:kinsoku/>
              <w:wordWrap/>
              <w:overflowPunct/>
              <w:topLinePunct w:val="0"/>
              <w:autoSpaceDE/>
              <w:autoSpaceDN/>
              <w:bidi w:val="0"/>
              <w:adjustRightInd w:val="0"/>
              <w:snapToGrid w:val="0"/>
              <w:spacing w:beforeAutospacing="0" w:afterAutospacing="0" w:line="500" w:lineRule="exact"/>
              <w:ind w:left="0" w:leftChars="0" w:right="0" w:rightChars="0" w:firstLine="480" w:firstLineChars="200"/>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smallCaps w:val="0"/>
                <w:color w:val="auto"/>
                <w:spacing w:val="0"/>
                <w:kern w:val="21"/>
                <w:position w:val="0"/>
                <w:sz w:val="24"/>
                <w:szCs w:val="24"/>
                <w:highlight w:val="none"/>
                <w:lang w:val="en-US" w:eastAsia="zh-CN"/>
              </w:rPr>
              <w:t>根据</w:t>
            </w:r>
            <w:r>
              <w:rPr>
                <w:rFonts w:hint="default" w:ascii="Times New Roman" w:hAnsi="Times New Roman" w:eastAsia="宋体" w:cs="Times New Roman"/>
                <w:smallCaps w:val="0"/>
                <w:color w:val="auto"/>
                <w:spacing w:val="0"/>
                <w:kern w:val="21"/>
                <w:position w:val="0"/>
                <w:sz w:val="24"/>
                <w:szCs w:val="24"/>
                <w:highlight w:val="none"/>
              </w:rPr>
              <w:t>《环境空气质量标准》（GB3095-2012）</w:t>
            </w:r>
            <w:r>
              <w:rPr>
                <w:rFonts w:hint="default" w:ascii="Times New Roman" w:hAnsi="Times New Roman" w:eastAsia="宋体" w:cs="Times New Roman"/>
                <w:smallCaps w:val="0"/>
                <w:color w:val="auto"/>
                <w:spacing w:val="0"/>
                <w:kern w:val="21"/>
                <w:position w:val="0"/>
                <w:sz w:val="24"/>
                <w:szCs w:val="24"/>
                <w:highlight w:val="none"/>
                <w:lang w:eastAsia="zh-CN"/>
              </w:rPr>
              <w:t>（</w:t>
            </w:r>
            <w:r>
              <w:rPr>
                <w:rFonts w:hint="default" w:ascii="Times New Roman" w:hAnsi="Times New Roman" w:eastAsia="宋体" w:cs="Times New Roman"/>
                <w:smallCaps w:val="0"/>
                <w:color w:val="auto"/>
                <w:spacing w:val="0"/>
                <w:kern w:val="21"/>
                <w:position w:val="0"/>
                <w:sz w:val="24"/>
                <w:szCs w:val="24"/>
                <w:highlight w:val="none"/>
                <w:lang w:val="en-US" w:eastAsia="zh-CN"/>
              </w:rPr>
              <w:t>2018年修改</w:t>
            </w:r>
            <w:r>
              <w:rPr>
                <w:rFonts w:hint="default" w:ascii="Times New Roman" w:hAnsi="Times New Roman" w:eastAsia="宋体" w:cs="Times New Roman"/>
                <w:smallCaps w:val="0"/>
                <w:color w:val="auto"/>
                <w:spacing w:val="0"/>
                <w:kern w:val="21"/>
                <w:position w:val="0"/>
                <w:sz w:val="24"/>
                <w:szCs w:val="24"/>
                <w:highlight w:val="none"/>
                <w:lang w:eastAsia="zh-CN"/>
              </w:rPr>
              <w:t>），</w:t>
            </w:r>
            <w:r>
              <w:rPr>
                <w:rFonts w:hint="default" w:ascii="Times New Roman" w:hAnsi="Times New Roman" w:eastAsia="宋体" w:cs="Times New Roman"/>
                <w:smallCaps w:val="0"/>
                <w:color w:val="auto"/>
                <w:spacing w:val="0"/>
                <w:kern w:val="21"/>
                <w:position w:val="0"/>
                <w:sz w:val="24"/>
                <w:szCs w:val="24"/>
                <w:highlight w:val="none"/>
                <w:lang w:val="en-US" w:eastAsia="zh-CN"/>
              </w:rPr>
              <w:t>本项目所在区域环境空气功能区为二类区，</w:t>
            </w:r>
            <w:r>
              <w:rPr>
                <w:rFonts w:hint="default" w:ascii="Times New Roman" w:hAnsi="Times New Roman" w:eastAsia="宋体" w:cs="Times New Roman"/>
                <w:smallCaps w:val="0"/>
                <w:color w:val="auto"/>
                <w:spacing w:val="0"/>
                <w:kern w:val="21"/>
                <w:position w:val="0"/>
                <w:sz w:val="24"/>
                <w:szCs w:val="24"/>
                <w:highlight w:val="none"/>
              </w:rPr>
              <w:t>根据《环境影响评价技术导则 大气环境 》（HJ 2.2-2018）区域达标判定，优先采用国家或地方生态环境主管部门公开发布的评价基准年环境质量公告或环境质量报告中的数据或结论。本项目区位于佳木斯市管辖范围内，故本项目引用202</w:t>
            </w:r>
            <w:r>
              <w:rPr>
                <w:rFonts w:hint="default" w:ascii="Times New Roman" w:hAnsi="Times New Roman" w:cs="Times New Roman"/>
                <w:smallCaps w:val="0"/>
                <w:color w:val="auto"/>
                <w:spacing w:val="0"/>
                <w:kern w:val="21"/>
                <w:position w:val="0"/>
                <w:sz w:val="24"/>
                <w:szCs w:val="24"/>
                <w:highlight w:val="none"/>
                <w:lang w:val="en-US" w:eastAsia="zh-CN"/>
              </w:rPr>
              <w:t>4</w:t>
            </w:r>
            <w:r>
              <w:rPr>
                <w:rFonts w:hint="default" w:ascii="Times New Roman" w:hAnsi="Times New Roman" w:eastAsia="宋体" w:cs="Times New Roman"/>
                <w:smallCaps w:val="0"/>
                <w:color w:val="auto"/>
                <w:spacing w:val="0"/>
                <w:kern w:val="21"/>
                <w:position w:val="0"/>
                <w:sz w:val="24"/>
                <w:szCs w:val="24"/>
                <w:highlight w:val="none"/>
              </w:rPr>
              <w:t>年佳木斯市环境质量现状。根据佳木斯市人民政府发布的《202</w:t>
            </w:r>
            <w:r>
              <w:rPr>
                <w:rFonts w:hint="default" w:ascii="Times New Roman" w:hAnsi="Times New Roman" w:cs="Times New Roman"/>
                <w:smallCaps w:val="0"/>
                <w:color w:val="auto"/>
                <w:spacing w:val="0"/>
                <w:kern w:val="21"/>
                <w:position w:val="0"/>
                <w:sz w:val="24"/>
                <w:szCs w:val="24"/>
                <w:highlight w:val="none"/>
                <w:lang w:val="en-US" w:eastAsia="zh-CN"/>
              </w:rPr>
              <w:t>4</w:t>
            </w:r>
            <w:r>
              <w:rPr>
                <w:rFonts w:hint="default" w:ascii="Times New Roman" w:hAnsi="Times New Roman" w:eastAsia="宋体" w:cs="Times New Roman"/>
                <w:smallCaps w:val="0"/>
                <w:color w:val="auto"/>
                <w:spacing w:val="0"/>
                <w:kern w:val="21"/>
                <w:position w:val="0"/>
                <w:sz w:val="24"/>
                <w:szCs w:val="24"/>
                <w:highlight w:val="none"/>
              </w:rPr>
              <w:t>年佳木斯市生态环境质量简报》：202</w:t>
            </w:r>
            <w:r>
              <w:rPr>
                <w:rFonts w:hint="default" w:ascii="Times New Roman" w:hAnsi="Times New Roman" w:cs="Times New Roman"/>
                <w:smallCaps w:val="0"/>
                <w:color w:val="auto"/>
                <w:spacing w:val="0"/>
                <w:kern w:val="21"/>
                <w:position w:val="0"/>
                <w:sz w:val="24"/>
                <w:szCs w:val="24"/>
                <w:highlight w:val="none"/>
                <w:lang w:val="en-US" w:eastAsia="zh-CN"/>
              </w:rPr>
              <w:t>4</w:t>
            </w:r>
            <w:r>
              <w:rPr>
                <w:rFonts w:hint="default" w:ascii="Times New Roman" w:hAnsi="Times New Roman" w:eastAsia="宋体" w:cs="Times New Roman"/>
                <w:smallCaps w:val="0"/>
                <w:color w:val="auto"/>
                <w:spacing w:val="0"/>
                <w:kern w:val="21"/>
                <w:position w:val="0"/>
                <w:sz w:val="24"/>
                <w:szCs w:val="24"/>
                <w:highlight w:val="none"/>
              </w:rPr>
              <w:t>年，</w:t>
            </w:r>
            <w:r>
              <w:rPr>
                <w:rFonts w:hint="default" w:ascii="Times New Roman" w:hAnsi="Times New Roman" w:eastAsia="宋体" w:cs="Times New Roman"/>
                <w:color w:val="auto"/>
                <w:spacing w:val="0"/>
                <w:kern w:val="21"/>
                <w:position w:val="0"/>
                <w:sz w:val="24"/>
                <w:szCs w:val="24"/>
                <w:highlight w:val="none"/>
              </w:rPr>
              <w:t>佳木斯市区环境空气质量</w:t>
            </w:r>
            <w:r>
              <w:rPr>
                <w:rFonts w:hint="default" w:ascii="Times New Roman" w:hAnsi="Times New Roman" w:cs="Times New Roman"/>
                <w:color w:val="auto"/>
                <w:spacing w:val="0"/>
                <w:kern w:val="21"/>
                <w:position w:val="0"/>
                <w:sz w:val="24"/>
                <w:szCs w:val="24"/>
                <w:highlight w:val="none"/>
                <w:lang w:eastAsia="zh-CN"/>
              </w:rPr>
              <w:t>“</w:t>
            </w:r>
            <w:r>
              <w:rPr>
                <w:rFonts w:hint="default" w:ascii="Times New Roman" w:hAnsi="Times New Roman" w:eastAsia="宋体" w:cs="Times New Roman"/>
                <w:color w:val="auto"/>
                <w:spacing w:val="0"/>
                <w:kern w:val="21"/>
                <w:position w:val="0"/>
                <w:sz w:val="24"/>
                <w:szCs w:val="24"/>
                <w:highlight w:val="none"/>
              </w:rPr>
              <w:t>优</w:t>
            </w:r>
            <w:r>
              <w:rPr>
                <w:rFonts w:hint="default" w:ascii="Times New Roman" w:hAnsi="Times New Roman" w:cs="Times New Roman"/>
                <w:color w:val="auto"/>
                <w:spacing w:val="0"/>
                <w:kern w:val="21"/>
                <w:position w:val="0"/>
                <w:sz w:val="24"/>
                <w:szCs w:val="24"/>
                <w:highlight w:val="none"/>
                <w:lang w:eastAsia="zh-CN"/>
              </w:rPr>
              <w:t>”</w:t>
            </w:r>
            <w:r>
              <w:rPr>
                <w:rFonts w:hint="default" w:ascii="Times New Roman" w:hAnsi="Times New Roman" w:eastAsia="宋体" w:cs="Times New Roman"/>
                <w:color w:val="auto"/>
                <w:spacing w:val="0"/>
                <w:kern w:val="21"/>
                <w:position w:val="0"/>
                <w:sz w:val="24"/>
                <w:szCs w:val="24"/>
                <w:highlight w:val="none"/>
              </w:rPr>
              <w:t>天数236天，</w:t>
            </w:r>
            <w:r>
              <w:rPr>
                <w:rFonts w:hint="default" w:ascii="Times New Roman" w:hAnsi="Times New Roman" w:cs="Times New Roman"/>
                <w:color w:val="auto"/>
                <w:spacing w:val="0"/>
                <w:kern w:val="21"/>
                <w:position w:val="0"/>
                <w:sz w:val="24"/>
                <w:szCs w:val="24"/>
                <w:highlight w:val="none"/>
                <w:lang w:eastAsia="zh-CN"/>
              </w:rPr>
              <w:t>“</w:t>
            </w:r>
            <w:r>
              <w:rPr>
                <w:rFonts w:hint="default" w:ascii="Times New Roman" w:hAnsi="Times New Roman" w:eastAsia="宋体" w:cs="Times New Roman"/>
                <w:color w:val="auto"/>
                <w:spacing w:val="0"/>
                <w:kern w:val="21"/>
                <w:position w:val="0"/>
                <w:sz w:val="24"/>
                <w:szCs w:val="24"/>
                <w:highlight w:val="none"/>
              </w:rPr>
              <w:t>良</w:t>
            </w:r>
            <w:r>
              <w:rPr>
                <w:rFonts w:hint="default" w:ascii="Times New Roman" w:hAnsi="Times New Roman" w:cs="Times New Roman"/>
                <w:color w:val="auto"/>
                <w:spacing w:val="0"/>
                <w:kern w:val="21"/>
                <w:position w:val="0"/>
                <w:sz w:val="24"/>
                <w:szCs w:val="24"/>
                <w:highlight w:val="none"/>
                <w:lang w:eastAsia="zh-CN"/>
              </w:rPr>
              <w:t>”</w:t>
            </w:r>
            <w:r>
              <w:rPr>
                <w:rFonts w:hint="default" w:ascii="Times New Roman" w:hAnsi="Times New Roman" w:eastAsia="宋体" w:cs="Times New Roman"/>
                <w:color w:val="auto"/>
                <w:spacing w:val="0"/>
                <w:kern w:val="21"/>
                <w:position w:val="0"/>
                <w:sz w:val="24"/>
                <w:szCs w:val="24"/>
                <w:highlight w:val="none"/>
              </w:rPr>
              <w:t>天数106天，优良天数比例93.4%，同比下降0.3个百分点；轻度及以上污染天数24天，同比增加1天。佳木斯市空气质量达标天数为342天</w:t>
            </w:r>
            <w:r>
              <w:rPr>
                <w:rFonts w:hint="default" w:ascii="Times New Roman" w:hAnsi="Times New Roman" w:cs="Times New Roman"/>
                <w:color w:val="auto"/>
                <w:spacing w:val="0"/>
                <w:kern w:val="21"/>
                <w:position w:val="0"/>
                <w:sz w:val="24"/>
                <w:szCs w:val="24"/>
                <w:highlight w:val="none"/>
                <w:lang w:eastAsia="zh-CN"/>
              </w:rPr>
              <w:t>（</w:t>
            </w:r>
            <w:r>
              <w:rPr>
                <w:rFonts w:hint="default" w:ascii="Times New Roman" w:hAnsi="Times New Roman" w:eastAsia="宋体" w:cs="Times New Roman"/>
                <w:color w:val="auto"/>
                <w:spacing w:val="0"/>
                <w:kern w:val="21"/>
                <w:position w:val="0"/>
                <w:sz w:val="24"/>
                <w:szCs w:val="24"/>
                <w:highlight w:val="none"/>
              </w:rPr>
              <w:t>93.4%</w:t>
            </w:r>
            <w:r>
              <w:rPr>
                <w:rFonts w:hint="default" w:ascii="Times New Roman" w:hAnsi="Times New Roman" w:cs="Times New Roman"/>
                <w:color w:val="auto"/>
                <w:spacing w:val="0"/>
                <w:kern w:val="21"/>
                <w:position w:val="0"/>
                <w:sz w:val="24"/>
                <w:szCs w:val="24"/>
                <w:highlight w:val="none"/>
                <w:lang w:eastAsia="zh-CN"/>
              </w:rPr>
              <w:t>）</w:t>
            </w:r>
            <w:r>
              <w:rPr>
                <w:rFonts w:hint="default" w:ascii="Times New Roman" w:hAnsi="Times New Roman" w:eastAsia="宋体" w:cs="Times New Roman"/>
                <w:color w:val="auto"/>
                <w:spacing w:val="0"/>
                <w:kern w:val="21"/>
                <w:position w:val="0"/>
                <w:sz w:val="24"/>
                <w:szCs w:val="24"/>
                <w:highlight w:val="none"/>
              </w:rPr>
              <w:t>。PM</w:t>
            </w:r>
            <w:r>
              <w:rPr>
                <w:rFonts w:hint="default" w:ascii="Times New Roman" w:hAnsi="Times New Roman" w:eastAsia="宋体" w:cs="Times New Roman"/>
                <w:color w:val="auto"/>
                <w:spacing w:val="0"/>
                <w:kern w:val="21"/>
                <w:position w:val="0"/>
                <w:sz w:val="24"/>
                <w:szCs w:val="24"/>
                <w:highlight w:val="none"/>
                <w:vertAlign w:val="subscript"/>
              </w:rPr>
              <w:t>2.5</w:t>
            </w:r>
            <w:r>
              <w:rPr>
                <w:rFonts w:hint="default" w:ascii="Times New Roman" w:hAnsi="Times New Roman" w:eastAsia="宋体" w:cs="Times New Roman"/>
                <w:color w:val="auto"/>
                <w:spacing w:val="0"/>
                <w:kern w:val="21"/>
                <w:position w:val="0"/>
                <w:sz w:val="24"/>
                <w:szCs w:val="24"/>
                <w:highlight w:val="none"/>
              </w:rPr>
              <w:t>、PM</w:t>
            </w:r>
            <w:r>
              <w:rPr>
                <w:rFonts w:hint="default" w:ascii="Times New Roman" w:hAnsi="Times New Roman" w:eastAsia="宋体" w:cs="Times New Roman"/>
                <w:color w:val="auto"/>
                <w:spacing w:val="0"/>
                <w:kern w:val="21"/>
                <w:position w:val="0"/>
                <w:sz w:val="24"/>
                <w:szCs w:val="24"/>
                <w:highlight w:val="none"/>
                <w:vertAlign w:val="subscript"/>
              </w:rPr>
              <w:t>1</w:t>
            </w:r>
            <w:r>
              <w:rPr>
                <w:rFonts w:hint="default" w:ascii="Times New Roman" w:hAnsi="Times New Roman" w:cs="Times New Roman"/>
                <w:color w:val="auto"/>
                <w:spacing w:val="0"/>
                <w:kern w:val="21"/>
                <w:position w:val="0"/>
                <w:sz w:val="24"/>
                <w:szCs w:val="24"/>
                <w:highlight w:val="none"/>
                <w:vertAlign w:val="subscript"/>
                <w:lang w:val="en-US" w:eastAsia="zh-CN"/>
              </w:rPr>
              <w:t>0</w:t>
            </w:r>
            <w:r>
              <w:rPr>
                <w:rFonts w:hint="default" w:ascii="Times New Roman" w:hAnsi="Times New Roman" w:eastAsia="宋体" w:cs="Times New Roman"/>
                <w:color w:val="auto"/>
                <w:spacing w:val="0"/>
                <w:kern w:val="21"/>
                <w:position w:val="0"/>
                <w:sz w:val="24"/>
                <w:szCs w:val="24"/>
                <w:highlight w:val="none"/>
              </w:rPr>
              <w:t>、SO₂、NO</w:t>
            </w:r>
            <w:r>
              <w:rPr>
                <w:rFonts w:hint="default" w:ascii="Times New Roman" w:hAnsi="Times New Roman" w:cs="Times New Roman"/>
                <w:color w:val="auto"/>
                <w:spacing w:val="0"/>
                <w:kern w:val="21"/>
                <w:position w:val="0"/>
                <w:sz w:val="24"/>
                <w:szCs w:val="24"/>
                <w:highlight w:val="none"/>
                <w:vertAlign w:val="subscript"/>
                <w:lang w:val="en-US" w:eastAsia="zh-CN"/>
              </w:rPr>
              <w:t>2</w:t>
            </w:r>
            <w:r>
              <w:rPr>
                <w:rFonts w:hint="default" w:ascii="Times New Roman" w:hAnsi="Times New Roman" w:eastAsia="宋体" w:cs="Times New Roman"/>
                <w:color w:val="auto"/>
                <w:spacing w:val="0"/>
                <w:kern w:val="21"/>
                <w:position w:val="0"/>
                <w:sz w:val="24"/>
                <w:szCs w:val="24"/>
                <w:highlight w:val="none"/>
              </w:rPr>
              <w:t>、CO-95per和O</w:t>
            </w:r>
            <w:r>
              <w:rPr>
                <w:rFonts w:hint="default" w:ascii="Times New Roman" w:hAnsi="Times New Roman" w:cs="Times New Roman"/>
                <w:color w:val="auto"/>
                <w:spacing w:val="0"/>
                <w:kern w:val="21"/>
                <w:position w:val="0"/>
                <w:sz w:val="24"/>
                <w:szCs w:val="24"/>
                <w:highlight w:val="none"/>
                <w:vertAlign w:val="subscript"/>
                <w:lang w:val="en-US" w:eastAsia="zh-CN"/>
              </w:rPr>
              <w:t>3</w:t>
            </w:r>
            <w:r>
              <w:rPr>
                <w:rFonts w:hint="default" w:ascii="Times New Roman" w:hAnsi="Times New Roman" w:eastAsia="宋体" w:cs="Times New Roman"/>
                <w:color w:val="auto"/>
                <w:spacing w:val="0"/>
                <w:kern w:val="21"/>
                <w:position w:val="0"/>
                <w:sz w:val="24"/>
                <w:szCs w:val="24"/>
                <w:highlight w:val="none"/>
              </w:rPr>
              <w:t>-8h-90per年均浓度分别为28μg/m</w:t>
            </w:r>
            <w:r>
              <w:rPr>
                <w:rFonts w:hint="default" w:ascii="Times New Roman" w:hAnsi="Times New Roman" w:cs="Times New Roman"/>
                <w:color w:val="auto"/>
                <w:spacing w:val="0"/>
                <w:kern w:val="21"/>
                <w:position w:val="0"/>
                <w:sz w:val="24"/>
                <w:szCs w:val="24"/>
                <w:highlight w:val="none"/>
                <w:vertAlign w:val="superscript"/>
                <w:lang w:val="en-US" w:eastAsia="zh-CN"/>
              </w:rPr>
              <w:t>3</w:t>
            </w:r>
            <w:r>
              <w:rPr>
                <w:rFonts w:hint="default" w:ascii="Times New Roman" w:hAnsi="Times New Roman" w:eastAsia="宋体" w:cs="Times New Roman"/>
                <w:color w:val="auto"/>
                <w:spacing w:val="0"/>
                <w:kern w:val="21"/>
                <w:position w:val="0"/>
                <w:sz w:val="24"/>
                <w:szCs w:val="24"/>
                <w:highlight w:val="none"/>
              </w:rPr>
              <w:t>、39μg/m</w:t>
            </w:r>
            <w:r>
              <w:rPr>
                <w:rFonts w:hint="default" w:ascii="Times New Roman" w:hAnsi="Times New Roman" w:cs="Times New Roman"/>
                <w:color w:val="auto"/>
                <w:spacing w:val="0"/>
                <w:kern w:val="21"/>
                <w:position w:val="0"/>
                <w:sz w:val="24"/>
                <w:szCs w:val="24"/>
                <w:highlight w:val="none"/>
                <w:vertAlign w:val="superscript"/>
                <w:lang w:val="en-US" w:eastAsia="zh-CN"/>
              </w:rPr>
              <w:t>3</w:t>
            </w:r>
            <w:r>
              <w:rPr>
                <w:rFonts w:hint="default" w:ascii="Times New Roman" w:hAnsi="Times New Roman" w:eastAsia="宋体" w:cs="Times New Roman"/>
                <w:color w:val="auto"/>
                <w:spacing w:val="0"/>
                <w:kern w:val="21"/>
                <w:position w:val="0"/>
                <w:sz w:val="24"/>
                <w:szCs w:val="24"/>
                <w:highlight w:val="none"/>
              </w:rPr>
              <w:t>、7μg/m</w:t>
            </w:r>
            <w:r>
              <w:rPr>
                <w:rFonts w:hint="default" w:ascii="Times New Roman" w:hAnsi="Times New Roman" w:cs="Times New Roman"/>
                <w:color w:val="auto"/>
                <w:spacing w:val="0"/>
                <w:kern w:val="21"/>
                <w:position w:val="0"/>
                <w:sz w:val="24"/>
                <w:szCs w:val="24"/>
                <w:highlight w:val="none"/>
                <w:vertAlign w:val="superscript"/>
                <w:lang w:val="en-US" w:eastAsia="zh-CN"/>
              </w:rPr>
              <w:t>3</w:t>
            </w:r>
            <w:r>
              <w:rPr>
                <w:rFonts w:hint="default" w:ascii="Times New Roman" w:hAnsi="Times New Roman" w:eastAsia="宋体" w:cs="Times New Roman"/>
                <w:color w:val="auto"/>
                <w:spacing w:val="0"/>
                <w:kern w:val="21"/>
                <w:position w:val="0"/>
                <w:sz w:val="24"/>
                <w:szCs w:val="24"/>
                <w:highlight w:val="none"/>
              </w:rPr>
              <w:t>、19μg/m</w:t>
            </w:r>
            <w:r>
              <w:rPr>
                <w:rFonts w:hint="default" w:ascii="Times New Roman" w:hAnsi="Times New Roman" w:cs="Times New Roman"/>
                <w:color w:val="auto"/>
                <w:spacing w:val="0"/>
                <w:kern w:val="21"/>
                <w:position w:val="0"/>
                <w:sz w:val="24"/>
                <w:szCs w:val="24"/>
                <w:highlight w:val="none"/>
                <w:vertAlign w:val="superscript"/>
                <w:lang w:val="en-US" w:eastAsia="zh-CN"/>
              </w:rPr>
              <w:t>3</w:t>
            </w:r>
            <w:r>
              <w:rPr>
                <w:rFonts w:hint="default" w:ascii="Times New Roman" w:hAnsi="Times New Roman" w:eastAsia="宋体" w:cs="Times New Roman"/>
                <w:color w:val="auto"/>
                <w:spacing w:val="0"/>
                <w:kern w:val="21"/>
                <w:position w:val="0"/>
                <w:sz w:val="24"/>
                <w:szCs w:val="24"/>
                <w:highlight w:val="none"/>
              </w:rPr>
              <w:t>、0.9mg/m</w:t>
            </w:r>
            <w:r>
              <w:rPr>
                <w:rFonts w:hint="default" w:ascii="Times New Roman" w:hAnsi="Times New Roman" w:cs="Times New Roman"/>
                <w:color w:val="auto"/>
                <w:spacing w:val="0"/>
                <w:kern w:val="21"/>
                <w:position w:val="0"/>
                <w:sz w:val="24"/>
                <w:szCs w:val="24"/>
                <w:highlight w:val="none"/>
                <w:vertAlign w:val="superscript"/>
                <w:lang w:val="en-US" w:eastAsia="zh-CN"/>
              </w:rPr>
              <w:t>3</w:t>
            </w:r>
            <w:r>
              <w:rPr>
                <w:rFonts w:hint="default" w:ascii="Times New Roman" w:hAnsi="Times New Roman" w:eastAsia="宋体" w:cs="Times New Roman"/>
                <w:color w:val="auto"/>
                <w:spacing w:val="0"/>
                <w:kern w:val="21"/>
                <w:position w:val="0"/>
                <w:sz w:val="24"/>
                <w:szCs w:val="24"/>
                <w:highlight w:val="none"/>
              </w:rPr>
              <w:t>和107μg/m</w:t>
            </w:r>
            <w:r>
              <w:rPr>
                <w:rFonts w:hint="default" w:ascii="Times New Roman" w:hAnsi="Times New Roman" w:cs="Times New Roman"/>
                <w:color w:val="auto"/>
                <w:spacing w:val="0"/>
                <w:kern w:val="21"/>
                <w:position w:val="0"/>
                <w:sz w:val="24"/>
                <w:szCs w:val="24"/>
                <w:highlight w:val="none"/>
                <w:vertAlign w:val="superscript"/>
                <w:lang w:val="en-US" w:eastAsia="zh-CN"/>
              </w:rPr>
              <w:t>3</w:t>
            </w:r>
            <w:r>
              <w:rPr>
                <w:rFonts w:hint="default" w:ascii="Times New Roman" w:hAnsi="Times New Roman" w:eastAsia="宋体" w:cs="Times New Roman"/>
                <w:color w:val="auto"/>
                <w:spacing w:val="0"/>
                <w:kern w:val="21"/>
                <w:position w:val="0"/>
                <w:sz w:val="24"/>
                <w:szCs w:val="24"/>
                <w:highlight w:val="none"/>
              </w:rPr>
              <w:t>。</w:t>
            </w:r>
          </w:p>
          <w:p w14:paraId="446CB651">
            <w:pPr>
              <w:pageBreakBefore w:val="0"/>
              <w:bidi w:val="0"/>
              <w:adjustRightInd w:val="0"/>
              <w:snapToGrid w:val="0"/>
              <w:spacing w:beforeAutospacing="0" w:afterAutospacing="0"/>
              <w:ind w:left="0" w:leftChars="0" w:right="0" w:rightChars="0"/>
              <w:jc w:val="center"/>
              <w:rPr>
                <w:rFonts w:hint="default" w:ascii="Times New Roman" w:hAnsi="Times New Roman" w:eastAsia="宋体" w:cs="Times New Roman"/>
                <w:b/>
                <w:bCs/>
                <w:smallCaps w:val="0"/>
                <w:color w:val="auto"/>
                <w:spacing w:val="0"/>
                <w:kern w:val="21"/>
                <w:position w:val="0"/>
                <w:sz w:val="24"/>
                <w:highlight w:val="none"/>
              </w:rPr>
            </w:pPr>
            <w:r>
              <w:rPr>
                <w:rFonts w:hint="default" w:ascii="Times New Roman" w:hAnsi="Times New Roman" w:eastAsia="宋体" w:cs="Times New Roman"/>
                <w:b/>
                <w:bCs/>
                <w:smallCaps w:val="0"/>
                <w:color w:val="auto"/>
                <w:spacing w:val="0"/>
                <w:kern w:val="21"/>
                <w:position w:val="0"/>
                <w:sz w:val="24"/>
                <w:highlight w:val="none"/>
              </w:rPr>
              <w:t>表3-</w:t>
            </w:r>
            <w:r>
              <w:rPr>
                <w:rFonts w:hint="default" w:ascii="Times New Roman" w:hAnsi="Times New Roman" w:cs="Times New Roman"/>
                <w:b/>
                <w:bCs/>
                <w:smallCaps w:val="0"/>
                <w:color w:val="auto"/>
                <w:spacing w:val="0"/>
                <w:kern w:val="21"/>
                <w:position w:val="0"/>
                <w:sz w:val="24"/>
                <w:highlight w:val="none"/>
                <w:lang w:val="en-US" w:eastAsia="zh-CN"/>
              </w:rPr>
              <w:t>1</w:t>
            </w:r>
            <w:r>
              <w:rPr>
                <w:rFonts w:hint="default" w:ascii="Times New Roman" w:hAnsi="Times New Roman" w:eastAsia="宋体" w:cs="Times New Roman"/>
                <w:b/>
                <w:bCs/>
                <w:smallCaps w:val="0"/>
                <w:color w:val="auto"/>
                <w:spacing w:val="0"/>
                <w:kern w:val="21"/>
                <w:position w:val="0"/>
                <w:sz w:val="24"/>
                <w:highlight w:val="none"/>
              </w:rPr>
              <w:t xml:space="preserve"> 区域空气环境质量部分现状评价表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236"/>
              <w:gridCol w:w="2128"/>
              <w:gridCol w:w="1143"/>
              <w:gridCol w:w="1143"/>
              <w:gridCol w:w="1143"/>
              <w:gridCol w:w="1181"/>
            </w:tblGrid>
            <w:tr w14:paraId="6C4D964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78" w:hRule="atLeast"/>
                <w:jc w:val="center"/>
              </w:trPr>
              <w:tc>
                <w:tcPr>
                  <w:tcW w:w="775" w:type="pct"/>
                  <w:tcBorders>
                    <w:top w:val="single" w:color="auto" w:sz="12" w:space="0"/>
                    <w:left w:val="nil"/>
                    <w:bottom w:val="single" w:color="auto" w:sz="2" w:space="0"/>
                    <w:right w:val="single" w:color="auto" w:sz="2" w:space="0"/>
                  </w:tcBorders>
                  <w:noWrap w:val="0"/>
                  <w:vAlign w:val="center"/>
                </w:tcPr>
                <w:p w14:paraId="0825C133">
                  <w:pPr>
                    <w:keepNext w:val="0"/>
                    <w:keepLines w:val="0"/>
                    <w:pageBreakBefore w:val="0"/>
                    <w:widowControl w:val="0"/>
                    <w:suppressLineNumbers w:val="0"/>
                    <w:tabs>
                      <w:tab w:val="center" w:pos="4153"/>
                      <w:tab w:val="right" w:pos="8306"/>
                    </w:tabs>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lang w:val="en-US" w:eastAsia="zh-CN"/>
                    </w:rPr>
                    <w:t>污染物</w:t>
                  </w:r>
                </w:p>
              </w:tc>
              <w:tc>
                <w:tcPr>
                  <w:tcW w:w="1334" w:type="pct"/>
                  <w:tcBorders>
                    <w:top w:val="single" w:color="auto" w:sz="12" w:space="0"/>
                    <w:left w:val="single" w:color="auto" w:sz="2" w:space="0"/>
                    <w:bottom w:val="single" w:color="auto" w:sz="2" w:space="0"/>
                    <w:right w:val="single" w:color="auto" w:sz="2" w:space="0"/>
                  </w:tcBorders>
                  <w:noWrap w:val="0"/>
                  <w:vAlign w:val="center"/>
                </w:tcPr>
                <w:p w14:paraId="54812096">
                  <w:pPr>
                    <w:keepNext w:val="0"/>
                    <w:keepLines w:val="0"/>
                    <w:pageBreakBefore w:val="0"/>
                    <w:widowControl w:val="0"/>
                    <w:suppressLineNumbers w:val="0"/>
                    <w:tabs>
                      <w:tab w:val="center" w:pos="4153"/>
                      <w:tab w:val="right" w:pos="8306"/>
                    </w:tabs>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lang w:val="en-US" w:eastAsia="zh-CN"/>
                    </w:rPr>
                    <w:t>年评价指标</w:t>
                  </w:r>
                </w:p>
              </w:tc>
              <w:tc>
                <w:tcPr>
                  <w:tcW w:w="716" w:type="pct"/>
                  <w:tcBorders>
                    <w:top w:val="single" w:color="auto" w:sz="12" w:space="0"/>
                    <w:left w:val="single" w:color="auto" w:sz="2" w:space="0"/>
                    <w:bottom w:val="single" w:color="auto" w:sz="2" w:space="0"/>
                    <w:right w:val="single" w:color="auto" w:sz="2" w:space="0"/>
                  </w:tcBorders>
                  <w:noWrap w:val="0"/>
                  <w:vAlign w:val="center"/>
                </w:tcPr>
                <w:p w14:paraId="2C6E7E0B">
                  <w:pPr>
                    <w:keepNext w:val="0"/>
                    <w:keepLines w:val="0"/>
                    <w:pageBreakBefore w:val="0"/>
                    <w:widowControl w:val="0"/>
                    <w:suppressLineNumbers w:val="0"/>
                    <w:tabs>
                      <w:tab w:val="center" w:pos="4153"/>
                      <w:tab w:val="right" w:pos="8306"/>
                    </w:tabs>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lang w:val="en-US" w:eastAsia="zh-CN"/>
                    </w:rPr>
                    <w:t>现状浓度/</w:t>
                  </w:r>
                </w:p>
                <w:p w14:paraId="03A0366B">
                  <w:pPr>
                    <w:keepNext w:val="0"/>
                    <w:keepLines w:val="0"/>
                    <w:pageBreakBefore w:val="0"/>
                    <w:widowControl w:val="0"/>
                    <w:suppressLineNumbers w:val="0"/>
                    <w:tabs>
                      <w:tab w:val="center" w:pos="4153"/>
                      <w:tab w:val="right" w:pos="8306"/>
                    </w:tabs>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lang w:val="en-US" w:eastAsia="zh-CN"/>
                    </w:rPr>
                    <w:t>（μg/m</w:t>
                  </w:r>
                  <w:r>
                    <w:rPr>
                      <w:rFonts w:hint="default" w:ascii="Times New Roman" w:hAnsi="Times New Roman" w:eastAsia="宋体" w:cs="Times New Roman"/>
                      <w:smallCaps w:val="0"/>
                      <w:color w:val="auto"/>
                      <w:spacing w:val="0"/>
                      <w:kern w:val="21"/>
                      <w:position w:val="0"/>
                      <w:highlight w:val="none"/>
                      <w:vertAlign w:val="superscript"/>
                      <w:lang w:val="en-US" w:eastAsia="zh-CN"/>
                    </w:rPr>
                    <w:t>3</w:t>
                  </w:r>
                  <w:r>
                    <w:rPr>
                      <w:rFonts w:hint="default" w:ascii="Times New Roman" w:hAnsi="Times New Roman" w:eastAsia="宋体" w:cs="Times New Roman"/>
                      <w:smallCaps w:val="0"/>
                      <w:color w:val="auto"/>
                      <w:spacing w:val="0"/>
                      <w:kern w:val="21"/>
                      <w:position w:val="0"/>
                      <w:highlight w:val="none"/>
                      <w:lang w:val="en-US" w:eastAsia="zh-CN"/>
                    </w:rPr>
                    <w:t>）</w:t>
                  </w:r>
                </w:p>
              </w:tc>
              <w:tc>
                <w:tcPr>
                  <w:tcW w:w="716" w:type="pct"/>
                  <w:tcBorders>
                    <w:top w:val="single" w:color="auto" w:sz="12" w:space="0"/>
                    <w:left w:val="single" w:color="auto" w:sz="2" w:space="0"/>
                    <w:bottom w:val="single" w:color="auto" w:sz="2" w:space="0"/>
                    <w:right w:val="single" w:color="auto" w:sz="2" w:space="0"/>
                  </w:tcBorders>
                  <w:noWrap w:val="0"/>
                  <w:vAlign w:val="center"/>
                </w:tcPr>
                <w:p w14:paraId="5F8305CF">
                  <w:pPr>
                    <w:keepNext w:val="0"/>
                    <w:keepLines w:val="0"/>
                    <w:pageBreakBefore w:val="0"/>
                    <w:widowControl w:val="0"/>
                    <w:suppressLineNumbers w:val="0"/>
                    <w:tabs>
                      <w:tab w:val="center" w:pos="4153"/>
                      <w:tab w:val="right" w:pos="8306"/>
                    </w:tabs>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lang w:val="en-US" w:eastAsia="zh-CN"/>
                    </w:rPr>
                    <w:t>标准值/</w:t>
                  </w:r>
                </w:p>
                <w:p w14:paraId="191D8ED7">
                  <w:pPr>
                    <w:keepNext w:val="0"/>
                    <w:keepLines w:val="0"/>
                    <w:pageBreakBefore w:val="0"/>
                    <w:widowControl w:val="0"/>
                    <w:suppressLineNumbers w:val="0"/>
                    <w:tabs>
                      <w:tab w:val="center" w:pos="4153"/>
                      <w:tab w:val="right" w:pos="8306"/>
                    </w:tabs>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lang w:val="en-US" w:eastAsia="zh-CN"/>
                    </w:rPr>
                    <w:t>（μg/m</w:t>
                  </w:r>
                  <w:r>
                    <w:rPr>
                      <w:rFonts w:hint="default" w:ascii="Times New Roman" w:hAnsi="Times New Roman" w:eastAsia="宋体" w:cs="Times New Roman"/>
                      <w:smallCaps w:val="0"/>
                      <w:color w:val="auto"/>
                      <w:spacing w:val="0"/>
                      <w:kern w:val="21"/>
                      <w:position w:val="0"/>
                      <w:highlight w:val="none"/>
                      <w:vertAlign w:val="superscript"/>
                      <w:lang w:val="en-US" w:eastAsia="zh-CN"/>
                    </w:rPr>
                    <w:t>3</w:t>
                  </w:r>
                  <w:r>
                    <w:rPr>
                      <w:rFonts w:hint="default" w:ascii="Times New Roman" w:hAnsi="Times New Roman" w:eastAsia="宋体" w:cs="Times New Roman"/>
                      <w:smallCaps w:val="0"/>
                      <w:color w:val="auto"/>
                      <w:spacing w:val="0"/>
                      <w:kern w:val="21"/>
                      <w:position w:val="0"/>
                      <w:highlight w:val="none"/>
                      <w:lang w:val="en-US" w:eastAsia="zh-CN"/>
                    </w:rPr>
                    <w:t>）</w:t>
                  </w:r>
                </w:p>
              </w:tc>
              <w:tc>
                <w:tcPr>
                  <w:tcW w:w="716" w:type="pct"/>
                  <w:tcBorders>
                    <w:top w:val="single" w:color="auto" w:sz="12" w:space="0"/>
                    <w:left w:val="single" w:color="auto" w:sz="2" w:space="0"/>
                    <w:bottom w:val="single" w:color="auto" w:sz="2" w:space="0"/>
                    <w:right w:val="single" w:color="auto" w:sz="2" w:space="0"/>
                  </w:tcBorders>
                  <w:noWrap w:val="0"/>
                  <w:vAlign w:val="center"/>
                </w:tcPr>
                <w:p w14:paraId="60977929">
                  <w:pPr>
                    <w:keepNext w:val="0"/>
                    <w:keepLines w:val="0"/>
                    <w:pageBreakBefore w:val="0"/>
                    <w:widowControl w:val="0"/>
                    <w:suppressLineNumbers w:val="0"/>
                    <w:tabs>
                      <w:tab w:val="center" w:pos="4153"/>
                      <w:tab w:val="right" w:pos="8306"/>
                    </w:tabs>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lang w:val="en-US" w:eastAsia="zh-CN"/>
                    </w:rPr>
                    <w:t>占标率/</w:t>
                  </w:r>
                </w:p>
                <w:p w14:paraId="6D4324C4">
                  <w:pPr>
                    <w:keepNext w:val="0"/>
                    <w:keepLines w:val="0"/>
                    <w:pageBreakBefore w:val="0"/>
                    <w:widowControl w:val="0"/>
                    <w:suppressLineNumbers w:val="0"/>
                    <w:tabs>
                      <w:tab w:val="center" w:pos="4153"/>
                      <w:tab w:val="right" w:pos="8306"/>
                    </w:tabs>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lang w:val="en-US" w:eastAsia="zh-CN"/>
                    </w:rPr>
                    <w:t>（%）</w:t>
                  </w:r>
                </w:p>
              </w:tc>
              <w:tc>
                <w:tcPr>
                  <w:tcW w:w="740" w:type="pct"/>
                  <w:tcBorders>
                    <w:top w:val="single" w:color="auto" w:sz="12" w:space="0"/>
                    <w:left w:val="single" w:color="auto" w:sz="2" w:space="0"/>
                    <w:bottom w:val="single" w:color="auto" w:sz="2" w:space="0"/>
                    <w:right w:val="nil"/>
                  </w:tcBorders>
                  <w:noWrap w:val="0"/>
                  <w:vAlign w:val="center"/>
                </w:tcPr>
                <w:p w14:paraId="25574FE9">
                  <w:pPr>
                    <w:keepNext w:val="0"/>
                    <w:keepLines w:val="0"/>
                    <w:pageBreakBefore w:val="0"/>
                    <w:widowControl w:val="0"/>
                    <w:suppressLineNumbers w:val="0"/>
                    <w:tabs>
                      <w:tab w:val="center" w:pos="4153"/>
                      <w:tab w:val="right" w:pos="8306"/>
                    </w:tabs>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lang w:val="en-US" w:eastAsia="zh-CN"/>
                    </w:rPr>
                    <w:t>达标情况</w:t>
                  </w:r>
                </w:p>
              </w:tc>
            </w:tr>
            <w:tr w14:paraId="0850E18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7" w:hRule="atLeast"/>
                <w:jc w:val="center"/>
              </w:trPr>
              <w:tc>
                <w:tcPr>
                  <w:tcW w:w="775" w:type="pct"/>
                  <w:tcBorders>
                    <w:top w:val="single" w:color="auto" w:sz="2" w:space="0"/>
                    <w:left w:val="nil"/>
                    <w:bottom w:val="single" w:color="auto" w:sz="2" w:space="0"/>
                    <w:right w:val="single" w:color="auto" w:sz="2" w:space="0"/>
                  </w:tcBorders>
                  <w:noWrap w:val="0"/>
                  <w:vAlign w:val="center"/>
                </w:tcPr>
                <w:p w14:paraId="4B0E8C67">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PM</w:t>
                  </w:r>
                  <w:r>
                    <w:rPr>
                      <w:rFonts w:hint="default" w:ascii="Times New Roman" w:hAnsi="Times New Roman" w:eastAsia="宋体" w:cs="Times New Roman"/>
                      <w:smallCaps w:val="0"/>
                      <w:color w:val="auto"/>
                      <w:spacing w:val="0"/>
                      <w:kern w:val="21"/>
                      <w:position w:val="0"/>
                      <w:highlight w:val="none"/>
                      <w:vertAlign w:val="subscript"/>
                    </w:rPr>
                    <w:t>2.5</w:t>
                  </w:r>
                </w:p>
              </w:tc>
              <w:tc>
                <w:tcPr>
                  <w:tcW w:w="1334" w:type="pct"/>
                  <w:tcBorders>
                    <w:top w:val="single" w:color="auto" w:sz="2" w:space="0"/>
                    <w:left w:val="single" w:color="auto" w:sz="2" w:space="0"/>
                    <w:bottom w:val="single" w:color="auto" w:sz="2" w:space="0"/>
                    <w:right w:val="single" w:color="auto" w:sz="2" w:space="0"/>
                  </w:tcBorders>
                  <w:noWrap w:val="0"/>
                  <w:vAlign w:val="center"/>
                </w:tcPr>
                <w:p w14:paraId="1474EC94">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年平均质量浓度</w:t>
                  </w:r>
                </w:p>
              </w:tc>
              <w:tc>
                <w:tcPr>
                  <w:tcW w:w="716" w:type="pct"/>
                  <w:tcBorders>
                    <w:top w:val="single" w:color="auto" w:sz="2" w:space="0"/>
                    <w:left w:val="single" w:color="auto" w:sz="2" w:space="0"/>
                    <w:bottom w:val="single" w:color="auto" w:sz="2" w:space="0"/>
                    <w:right w:val="single" w:color="auto" w:sz="2" w:space="0"/>
                  </w:tcBorders>
                  <w:noWrap w:val="0"/>
                  <w:vAlign w:val="center"/>
                </w:tcPr>
                <w:p w14:paraId="5AD48934">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lang w:val="en-US" w:eastAsia="zh-CN"/>
                    </w:rPr>
                    <w:t>27</w:t>
                  </w:r>
                </w:p>
              </w:tc>
              <w:tc>
                <w:tcPr>
                  <w:tcW w:w="716" w:type="pct"/>
                  <w:tcBorders>
                    <w:top w:val="single" w:color="auto" w:sz="2" w:space="0"/>
                    <w:left w:val="single" w:color="auto" w:sz="2" w:space="0"/>
                    <w:bottom w:val="single" w:color="auto" w:sz="2" w:space="0"/>
                    <w:right w:val="single" w:color="auto" w:sz="2" w:space="0"/>
                  </w:tcBorders>
                  <w:noWrap w:val="0"/>
                  <w:vAlign w:val="center"/>
                </w:tcPr>
                <w:p w14:paraId="7F9C82CE">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35</w:t>
                  </w:r>
                </w:p>
              </w:tc>
              <w:tc>
                <w:tcPr>
                  <w:tcW w:w="716" w:type="pct"/>
                  <w:tcBorders>
                    <w:top w:val="single" w:color="auto" w:sz="2" w:space="0"/>
                    <w:left w:val="single" w:color="auto" w:sz="2" w:space="0"/>
                    <w:bottom w:val="single" w:color="auto" w:sz="2" w:space="0"/>
                    <w:right w:val="single" w:color="auto" w:sz="2" w:space="0"/>
                  </w:tcBorders>
                  <w:noWrap w:val="0"/>
                  <w:vAlign w:val="center"/>
                </w:tcPr>
                <w:p w14:paraId="14B27600">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lang w:val="en-US" w:eastAsia="zh-CN"/>
                    </w:rPr>
                    <w:t>60.0</w:t>
                  </w:r>
                </w:p>
              </w:tc>
              <w:tc>
                <w:tcPr>
                  <w:tcW w:w="740" w:type="pct"/>
                  <w:tcBorders>
                    <w:top w:val="single" w:color="auto" w:sz="2" w:space="0"/>
                    <w:left w:val="single" w:color="auto" w:sz="2" w:space="0"/>
                    <w:bottom w:val="single" w:color="auto" w:sz="2" w:space="0"/>
                    <w:right w:val="nil"/>
                  </w:tcBorders>
                  <w:noWrap w:val="0"/>
                  <w:vAlign w:val="center"/>
                </w:tcPr>
                <w:p w14:paraId="4059C2ED">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达标</w:t>
                  </w:r>
                </w:p>
              </w:tc>
            </w:tr>
            <w:tr w14:paraId="0BD32A1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66" w:hRule="atLeast"/>
                <w:jc w:val="center"/>
              </w:trPr>
              <w:tc>
                <w:tcPr>
                  <w:tcW w:w="775" w:type="pct"/>
                  <w:tcBorders>
                    <w:top w:val="single" w:color="auto" w:sz="2" w:space="0"/>
                    <w:left w:val="nil"/>
                    <w:bottom w:val="single" w:color="auto" w:sz="2" w:space="0"/>
                    <w:right w:val="single" w:color="auto" w:sz="2" w:space="0"/>
                  </w:tcBorders>
                  <w:noWrap w:val="0"/>
                  <w:vAlign w:val="center"/>
                </w:tcPr>
                <w:p w14:paraId="4455B57C">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PM</w:t>
                  </w:r>
                  <w:r>
                    <w:rPr>
                      <w:rFonts w:hint="default" w:ascii="Times New Roman" w:hAnsi="Times New Roman" w:eastAsia="宋体" w:cs="Times New Roman"/>
                      <w:smallCaps w:val="0"/>
                      <w:color w:val="auto"/>
                      <w:spacing w:val="0"/>
                      <w:kern w:val="21"/>
                      <w:position w:val="0"/>
                      <w:highlight w:val="none"/>
                      <w:vertAlign w:val="subscript"/>
                    </w:rPr>
                    <w:t>10</w:t>
                  </w:r>
                </w:p>
              </w:tc>
              <w:tc>
                <w:tcPr>
                  <w:tcW w:w="1334" w:type="pct"/>
                  <w:tcBorders>
                    <w:top w:val="single" w:color="auto" w:sz="2" w:space="0"/>
                    <w:left w:val="single" w:color="auto" w:sz="2" w:space="0"/>
                    <w:bottom w:val="single" w:color="auto" w:sz="2" w:space="0"/>
                    <w:right w:val="single" w:color="auto" w:sz="2" w:space="0"/>
                  </w:tcBorders>
                  <w:noWrap w:val="0"/>
                  <w:vAlign w:val="center"/>
                </w:tcPr>
                <w:p w14:paraId="6BC0CC10">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年平均质量浓度</w:t>
                  </w:r>
                </w:p>
              </w:tc>
              <w:tc>
                <w:tcPr>
                  <w:tcW w:w="716" w:type="pct"/>
                  <w:tcBorders>
                    <w:top w:val="single" w:color="auto" w:sz="2" w:space="0"/>
                    <w:left w:val="single" w:color="auto" w:sz="2" w:space="0"/>
                    <w:bottom w:val="single" w:color="auto" w:sz="2" w:space="0"/>
                    <w:right w:val="single" w:color="auto" w:sz="2" w:space="0"/>
                  </w:tcBorders>
                  <w:noWrap w:val="0"/>
                  <w:vAlign w:val="center"/>
                </w:tcPr>
                <w:p w14:paraId="596C54D6">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lang w:val="en-US" w:eastAsia="zh-CN"/>
                    </w:rPr>
                    <w:t>40</w:t>
                  </w:r>
                </w:p>
              </w:tc>
              <w:tc>
                <w:tcPr>
                  <w:tcW w:w="716" w:type="pct"/>
                  <w:tcBorders>
                    <w:top w:val="single" w:color="auto" w:sz="2" w:space="0"/>
                    <w:left w:val="single" w:color="auto" w:sz="2" w:space="0"/>
                    <w:bottom w:val="single" w:color="auto" w:sz="2" w:space="0"/>
                    <w:right w:val="single" w:color="auto" w:sz="2" w:space="0"/>
                  </w:tcBorders>
                  <w:noWrap w:val="0"/>
                  <w:vAlign w:val="center"/>
                </w:tcPr>
                <w:p w14:paraId="4832BAD7">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70</w:t>
                  </w:r>
                </w:p>
              </w:tc>
              <w:tc>
                <w:tcPr>
                  <w:tcW w:w="716" w:type="pct"/>
                  <w:tcBorders>
                    <w:top w:val="single" w:color="auto" w:sz="2" w:space="0"/>
                    <w:left w:val="single" w:color="auto" w:sz="2" w:space="0"/>
                    <w:bottom w:val="single" w:color="auto" w:sz="2" w:space="0"/>
                    <w:right w:val="single" w:color="auto" w:sz="2" w:space="0"/>
                  </w:tcBorders>
                  <w:noWrap w:val="0"/>
                  <w:vAlign w:val="center"/>
                </w:tcPr>
                <w:p w14:paraId="60A53977">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lang w:val="en-US" w:eastAsia="zh-CN"/>
                    </w:rPr>
                    <w:t>57.1</w:t>
                  </w:r>
                </w:p>
              </w:tc>
              <w:tc>
                <w:tcPr>
                  <w:tcW w:w="740" w:type="pct"/>
                  <w:tcBorders>
                    <w:top w:val="single" w:color="auto" w:sz="2" w:space="0"/>
                    <w:left w:val="single" w:color="auto" w:sz="2" w:space="0"/>
                    <w:bottom w:val="single" w:color="auto" w:sz="2" w:space="0"/>
                    <w:right w:val="nil"/>
                  </w:tcBorders>
                  <w:noWrap w:val="0"/>
                  <w:vAlign w:val="center"/>
                </w:tcPr>
                <w:p w14:paraId="4CD418D1">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rPr>
                  </w:pPr>
                  <w:r>
                    <w:rPr>
                      <w:rFonts w:hint="default" w:ascii="Times New Roman" w:hAnsi="Times New Roman" w:eastAsia="宋体" w:cs="Times New Roman"/>
                      <w:smallCaps w:val="0"/>
                      <w:color w:val="auto"/>
                      <w:spacing w:val="0"/>
                      <w:kern w:val="21"/>
                      <w:position w:val="0"/>
                      <w:highlight w:val="none"/>
                    </w:rPr>
                    <w:t>达标</w:t>
                  </w:r>
                </w:p>
              </w:tc>
            </w:tr>
            <w:tr w14:paraId="117F634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7" w:hRule="atLeast"/>
                <w:jc w:val="center"/>
              </w:trPr>
              <w:tc>
                <w:tcPr>
                  <w:tcW w:w="775" w:type="pct"/>
                  <w:tcBorders>
                    <w:top w:val="single" w:color="auto" w:sz="2" w:space="0"/>
                    <w:left w:val="nil"/>
                    <w:bottom w:val="single" w:color="auto" w:sz="2" w:space="0"/>
                    <w:right w:val="single" w:color="auto" w:sz="2" w:space="0"/>
                  </w:tcBorders>
                  <w:noWrap w:val="0"/>
                  <w:vAlign w:val="center"/>
                </w:tcPr>
                <w:p w14:paraId="11A70CB1">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二氧化硫</w:t>
                  </w:r>
                </w:p>
              </w:tc>
              <w:tc>
                <w:tcPr>
                  <w:tcW w:w="1334" w:type="pct"/>
                  <w:tcBorders>
                    <w:top w:val="single" w:color="auto" w:sz="2" w:space="0"/>
                    <w:left w:val="single" w:color="auto" w:sz="2" w:space="0"/>
                    <w:bottom w:val="single" w:color="auto" w:sz="2" w:space="0"/>
                    <w:right w:val="single" w:color="auto" w:sz="2" w:space="0"/>
                  </w:tcBorders>
                  <w:noWrap w:val="0"/>
                  <w:vAlign w:val="center"/>
                </w:tcPr>
                <w:p w14:paraId="29DB1A31">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年平均质量浓度</w:t>
                  </w:r>
                </w:p>
              </w:tc>
              <w:tc>
                <w:tcPr>
                  <w:tcW w:w="716" w:type="pct"/>
                  <w:tcBorders>
                    <w:top w:val="single" w:color="auto" w:sz="2" w:space="0"/>
                    <w:left w:val="single" w:color="auto" w:sz="2" w:space="0"/>
                    <w:bottom w:val="single" w:color="auto" w:sz="2" w:space="0"/>
                    <w:right w:val="single" w:color="auto" w:sz="2" w:space="0"/>
                  </w:tcBorders>
                  <w:noWrap w:val="0"/>
                  <w:vAlign w:val="center"/>
                </w:tcPr>
                <w:p w14:paraId="1B2A67FA">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lang w:val="en-US" w:eastAsia="zh-CN"/>
                    </w:rPr>
                    <w:t>6</w:t>
                  </w:r>
                </w:p>
              </w:tc>
              <w:tc>
                <w:tcPr>
                  <w:tcW w:w="716" w:type="pct"/>
                  <w:tcBorders>
                    <w:top w:val="single" w:color="auto" w:sz="2" w:space="0"/>
                    <w:left w:val="single" w:color="auto" w:sz="2" w:space="0"/>
                    <w:bottom w:val="single" w:color="auto" w:sz="2" w:space="0"/>
                    <w:right w:val="single" w:color="auto" w:sz="2" w:space="0"/>
                  </w:tcBorders>
                  <w:noWrap w:val="0"/>
                  <w:vAlign w:val="center"/>
                </w:tcPr>
                <w:p w14:paraId="71680E5B">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60</w:t>
                  </w:r>
                </w:p>
              </w:tc>
              <w:tc>
                <w:tcPr>
                  <w:tcW w:w="716" w:type="pct"/>
                  <w:tcBorders>
                    <w:top w:val="single" w:color="auto" w:sz="2" w:space="0"/>
                    <w:left w:val="single" w:color="auto" w:sz="2" w:space="0"/>
                    <w:bottom w:val="single" w:color="auto" w:sz="2" w:space="0"/>
                    <w:right w:val="single" w:color="auto" w:sz="2" w:space="0"/>
                  </w:tcBorders>
                  <w:noWrap w:val="0"/>
                  <w:vAlign w:val="center"/>
                </w:tcPr>
                <w:p w14:paraId="49C6F3B0">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lang w:val="en-US" w:eastAsia="zh-CN"/>
                    </w:rPr>
                    <w:t>10.0</w:t>
                  </w:r>
                </w:p>
              </w:tc>
              <w:tc>
                <w:tcPr>
                  <w:tcW w:w="740" w:type="pct"/>
                  <w:tcBorders>
                    <w:top w:val="single" w:color="auto" w:sz="2" w:space="0"/>
                    <w:left w:val="single" w:color="auto" w:sz="2" w:space="0"/>
                    <w:bottom w:val="single" w:color="auto" w:sz="2" w:space="0"/>
                    <w:right w:val="nil"/>
                  </w:tcBorders>
                  <w:noWrap w:val="0"/>
                  <w:vAlign w:val="center"/>
                </w:tcPr>
                <w:p w14:paraId="0644A7D0">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rPr>
                  </w:pPr>
                  <w:r>
                    <w:rPr>
                      <w:rFonts w:hint="default" w:ascii="Times New Roman" w:hAnsi="Times New Roman" w:eastAsia="宋体" w:cs="Times New Roman"/>
                      <w:smallCaps w:val="0"/>
                      <w:color w:val="auto"/>
                      <w:spacing w:val="0"/>
                      <w:kern w:val="21"/>
                      <w:position w:val="0"/>
                      <w:highlight w:val="none"/>
                    </w:rPr>
                    <w:t>达标</w:t>
                  </w:r>
                </w:p>
              </w:tc>
            </w:tr>
            <w:tr w14:paraId="04E3217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7" w:hRule="atLeast"/>
                <w:jc w:val="center"/>
              </w:trPr>
              <w:tc>
                <w:tcPr>
                  <w:tcW w:w="775" w:type="pct"/>
                  <w:tcBorders>
                    <w:top w:val="single" w:color="auto" w:sz="2" w:space="0"/>
                    <w:left w:val="nil"/>
                    <w:bottom w:val="single" w:color="auto" w:sz="2" w:space="0"/>
                    <w:right w:val="single" w:color="auto" w:sz="2" w:space="0"/>
                  </w:tcBorders>
                  <w:noWrap w:val="0"/>
                  <w:vAlign w:val="center"/>
                </w:tcPr>
                <w:p w14:paraId="5A6D0AC0">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二氧化氮</w:t>
                  </w:r>
                </w:p>
              </w:tc>
              <w:tc>
                <w:tcPr>
                  <w:tcW w:w="1334" w:type="pct"/>
                  <w:tcBorders>
                    <w:top w:val="single" w:color="auto" w:sz="2" w:space="0"/>
                    <w:left w:val="single" w:color="auto" w:sz="2" w:space="0"/>
                    <w:bottom w:val="single" w:color="auto" w:sz="2" w:space="0"/>
                    <w:right w:val="single" w:color="auto" w:sz="2" w:space="0"/>
                  </w:tcBorders>
                  <w:noWrap w:val="0"/>
                  <w:vAlign w:val="center"/>
                </w:tcPr>
                <w:p w14:paraId="2002039F">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年平均质量浓度</w:t>
                  </w:r>
                </w:p>
              </w:tc>
              <w:tc>
                <w:tcPr>
                  <w:tcW w:w="716" w:type="pct"/>
                  <w:tcBorders>
                    <w:top w:val="single" w:color="auto" w:sz="2" w:space="0"/>
                    <w:left w:val="single" w:color="auto" w:sz="2" w:space="0"/>
                    <w:bottom w:val="single" w:color="auto" w:sz="2" w:space="0"/>
                    <w:right w:val="single" w:color="auto" w:sz="2" w:space="0"/>
                  </w:tcBorders>
                  <w:noWrap w:val="0"/>
                  <w:vAlign w:val="center"/>
                </w:tcPr>
                <w:p w14:paraId="38746F94">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lang w:val="en-US" w:eastAsia="zh-CN"/>
                    </w:rPr>
                    <w:t>20</w:t>
                  </w:r>
                </w:p>
              </w:tc>
              <w:tc>
                <w:tcPr>
                  <w:tcW w:w="716" w:type="pct"/>
                  <w:tcBorders>
                    <w:top w:val="single" w:color="auto" w:sz="2" w:space="0"/>
                    <w:left w:val="single" w:color="auto" w:sz="2" w:space="0"/>
                    <w:bottom w:val="single" w:color="auto" w:sz="2" w:space="0"/>
                    <w:right w:val="single" w:color="auto" w:sz="2" w:space="0"/>
                  </w:tcBorders>
                  <w:noWrap w:val="0"/>
                  <w:vAlign w:val="center"/>
                </w:tcPr>
                <w:p w14:paraId="53BDBBA9">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40</w:t>
                  </w:r>
                </w:p>
              </w:tc>
              <w:tc>
                <w:tcPr>
                  <w:tcW w:w="716" w:type="pct"/>
                  <w:tcBorders>
                    <w:top w:val="single" w:color="auto" w:sz="2" w:space="0"/>
                    <w:left w:val="single" w:color="auto" w:sz="2" w:space="0"/>
                    <w:bottom w:val="single" w:color="auto" w:sz="2" w:space="0"/>
                    <w:right w:val="single" w:color="auto" w:sz="2" w:space="0"/>
                  </w:tcBorders>
                  <w:noWrap w:val="0"/>
                  <w:vAlign w:val="center"/>
                </w:tcPr>
                <w:p w14:paraId="4CC0F42F">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lang w:val="en-US" w:eastAsia="zh-CN"/>
                    </w:rPr>
                    <w:t>50.0</w:t>
                  </w:r>
                </w:p>
              </w:tc>
              <w:tc>
                <w:tcPr>
                  <w:tcW w:w="740" w:type="pct"/>
                  <w:tcBorders>
                    <w:top w:val="single" w:color="auto" w:sz="2" w:space="0"/>
                    <w:left w:val="single" w:color="auto" w:sz="2" w:space="0"/>
                    <w:bottom w:val="single" w:color="auto" w:sz="2" w:space="0"/>
                    <w:right w:val="nil"/>
                  </w:tcBorders>
                  <w:noWrap w:val="0"/>
                  <w:vAlign w:val="center"/>
                </w:tcPr>
                <w:p w14:paraId="092AF3C4">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达标</w:t>
                  </w:r>
                </w:p>
              </w:tc>
            </w:tr>
            <w:tr w14:paraId="5E98F9B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7" w:hRule="atLeast"/>
                <w:jc w:val="center"/>
              </w:trPr>
              <w:tc>
                <w:tcPr>
                  <w:tcW w:w="775" w:type="pct"/>
                  <w:tcBorders>
                    <w:top w:val="single" w:color="auto" w:sz="2" w:space="0"/>
                    <w:left w:val="nil"/>
                    <w:bottom w:val="single" w:color="auto" w:sz="2" w:space="0"/>
                    <w:right w:val="single" w:color="auto" w:sz="2" w:space="0"/>
                  </w:tcBorders>
                  <w:noWrap w:val="0"/>
                  <w:vAlign w:val="center"/>
                </w:tcPr>
                <w:p w14:paraId="2ACFA8B6">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一氧化碳</w:t>
                  </w:r>
                </w:p>
              </w:tc>
              <w:tc>
                <w:tcPr>
                  <w:tcW w:w="1334" w:type="pct"/>
                  <w:tcBorders>
                    <w:top w:val="single" w:color="auto" w:sz="2" w:space="0"/>
                    <w:left w:val="single" w:color="auto" w:sz="2" w:space="0"/>
                    <w:bottom w:val="single" w:color="auto" w:sz="2" w:space="0"/>
                    <w:right w:val="single" w:color="auto" w:sz="2" w:space="0"/>
                  </w:tcBorders>
                  <w:noWrap w:val="0"/>
                  <w:vAlign w:val="center"/>
                </w:tcPr>
                <w:p w14:paraId="734F8BF8">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第95百分位数日平均质量浓度</w:t>
                  </w:r>
                </w:p>
              </w:tc>
              <w:tc>
                <w:tcPr>
                  <w:tcW w:w="716" w:type="pct"/>
                  <w:tcBorders>
                    <w:top w:val="single" w:color="auto" w:sz="2" w:space="0"/>
                    <w:left w:val="single" w:color="auto" w:sz="2" w:space="0"/>
                    <w:bottom w:val="single" w:color="auto" w:sz="2" w:space="0"/>
                    <w:right w:val="single" w:color="auto" w:sz="2" w:space="0"/>
                  </w:tcBorders>
                  <w:noWrap w:val="0"/>
                  <w:vAlign w:val="center"/>
                </w:tcPr>
                <w:p w14:paraId="760E26D5">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lang w:val="en-US" w:eastAsia="zh-CN"/>
                    </w:rPr>
                    <w:t>0.8</w:t>
                  </w:r>
                  <w:r>
                    <w:rPr>
                      <w:rFonts w:hint="default" w:ascii="Times New Roman" w:hAnsi="Times New Roman" w:eastAsia="宋体" w:cs="Times New Roman"/>
                      <w:smallCaps w:val="0"/>
                      <w:color w:val="auto"/>
                      <w:spacing w:val="0"/>
                      <w:kern w:val="21"/>
                      <w:position w:val="0"/>
                      <w:highlight w:val="none"/>
                    </w:rPr>
                    <w:t>mg/m</w:t>
                  </w:r>
                  <w:r>
                    <w:rPr>
                      <w:rFonts w:hint="default" w:ascii="Times New Roman" w:hAnsi="Times New Roman" w:eastAsia="宋体" w:cs="Times New Roman"/>
                      <w:smallCaps w:val="0"/>
                      <w:color w:val="auto"/>
                      <w:spacing w:val="0"/>
                      <w:kern w:val="21"/>
                      <w:position w:val="0"/>
                      <w:highlight w:val="none"/>
                      <w:vertAlign w:val="superscript"/>
                    </w:rPr>
                    <w:t>3</w:t>
                  </w:r>
                </w:p>
              </w:tc>
              <w:tc>
                <w:tcPr>
                  <w:tcW w:w="716" w:type="pct"/>
                  <w:tcBorders>
                    <w:top w:val="single" w:color="auto" w:sz="2" w:space="0"/>
                    <w:left w:val="single" w:color="auto" w:sz="2" w:space="0"/>
                    <w:bottom w:val="single" w:color="auto" w:sz="2" w:space="0"/>
                    <w:right w:val="single" w:color="auto" w:sz="2" w:space="0"/>
                  </w:tcBorders>
                  <w:noWrap w:val="0"/>
                  <w:vAlign w:val="center"/>
                </w:tcPr>
                <w:p w14:paraId="1A69F304">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4mg/m</w:t>
                  </w:r>
                  <w:r>
                    <w:rPr>
                      <w:rFonts w:hint="default" w:ascii="Times New Roman" w:hAnsi="Times New Roman" w:eastAsia="宋体" w:cs="Times New Roman"/>
                      <w:smallCaps w:val="0"/>
                      <w:color w:val="auto"/>
                      <w:spacing w:val="0"/>
                      <w:kern w:val="21"/>
                      <w:position w:val="0"/>
                      <w:highlight w:val="none"/>
                      <w:vertAlign w:val="superscript"/>
                    </w:rPr>
                    <w:t>3</w:t>
                  </w:r>
                </w:p>
              </w:tc>
              <w:tc>
                <w:tcPr>
                  <w:tcW w:w="716" w:type="pct"/>
                  <w:tcBorders>
                    <w:top w:val="single" w:color="auto" w:sz="2" w:space="0"/>
                    <w:left w:val="single" w:color="auto" w:sz="2" w:space="0"/>
                    <w:bottom w:val="single" w:color="auto" w:sz="2" w:space="0"/>
                    <w:right w:val="single" w:color="auto" w:sz="2" w:space="0"/>
                  </w:tcBorders>
                  <w:noWrap w:val="0"/>
                  <w:vAlign w:val="center"/>
                </w:tcPr>
                <w:p w14:paraId="2BACF4B1">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lang w:val="en-US" w:eastAsia="zh-CN"/>
                    </w:rPr>
                    <w:t>20.0</w:t>
                  </w:r>
                </w:p>
              </w:tc>
              <w:tc>
                <w:tcPr>
                  <w:tcW w:w="740" w:type="pct"/>
                  <w:tcBorders>
                    <w:top w:val="single" w:color="auto" w:sz="2" w:space="0"/>
                    <w:left w:val="single" w:color="auto" w:sz="2" w:space="0"/>
                    <w:bottom w:val="single" w:color="auto" w:sz="2" w:space="0"/>
                    <w:right w:val="nil"/>
                  </w:tcBorders>
                  <w:noWrap w:val="0"/>
                  <w:vAlign w:val="center"/>
                </w:tcPr>
                <w:p w14:paraId="09C055A2">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达标</w:t>
                  </w:r>
                </w:p>
              </w:tc>
            </w:tr>
            <w:tr w14:paraId="1BF1DA1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7" w:hRule="atLeast"/>
                <w:jc w:val="center"/>
              </w:trPr>
              <w:tc>
                <w:tcPr>
                  <w:tcW w:w="775" w:type="pct"/>
                  <w:tcBorders>
                    <w:top w:val="single" w:color="auto" w:sz="2" w:space="0"/>
                    <w:left w:val="nil"/>
                    <w:bottom w:val="single" w:color="auto" w:sz="12" w:space="0"/>
                    <w:right w:val="single" w:color="auto" w:sz="2" w:space="0"/>
                  </w:tcBorders>
                  <w:noWrap w:val="0"/>
                  <w:vAlign w:val="center"/>
                </w:tcPr>
                <w:p w14:paraId="729FF03B">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臭氧</w:t>
                  </w:r>
                </w:p>
              </w:tc>
              <w:tc>
                <w:tcPr>
                  <w:tcW w:w="1334" w:type="pct"/>
                  <w:tcBorders>
                    <w:top w:val="single" w:color="auto" w:sz="2" w:space="0"/>
                    <w:left w:val="single" w:color="auto" w:sz="2" w:space="0"/>
                    <w:bottom w:val="single" w:color="auto" w:sz="12" w:space="0"/>
                    <w:right w:val="single" w:color="auto" w:sz="2" w:space="0"/>
                  </w:tcBorders>
                  <w:noWrap w:val="0"/>
                  <w:vAlign w:val="center"/>
                </w:tcPr>
                <w:p w14:paraId="19A9F014">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第90百分位数8小时平均质量浓度</w:t>
                  </w:r>
                </w:p>
              </w:tc>
              <w:tc>
                <w:tcPr>
                  <w:tcW w:w="716" w:type="pct"/>
                  <w:tcBorders>
                    <w:top w:val="single" w:color="auto" w:sz="2" w:space="0"/>
                    <w:left w:val="single" w:color="auto" w:sz="2" w:space="0"/>
                    <w:bottom w:val="single" w:color="auto" w:sz="12" w:space="0"/>
                    <w:right w:val="single" w:color="auto" w:sz="2" w:space="0"/>
                  </w:tcBorders>
                  <w:noWrap w:val="0"/>
                  <w:vAlign w:val="center"/>
                </w:tcPr>
                <w:p w14:paraId="34145D6C">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106</w:t>
                  </w:r>
                </w:p>
              </w:tc>
              <w:tc>
                <w:tcPr>
                  <w:tcW w:w="716" w:type="pct"/>
                  <w:tcBorders>
                    <w:top w:val="single" w:color="auto" w:sz="2" w:space="0"/>
                    <w:left w:val="single" w:color="auto" w:sz="2" w:space="0"/>
                    <w:bottom w:val="single" w:color="auto" w:sz="12" w:space="0"/>
                    <w:right w:val="single" w:color="auto" w:sz="2" w:space="0"/>
                  </w:tcBorders>
                  <w:noWrap w:val="0"/>
                  <w:vAlign w:val="center"/>
                </w:tcPr>
                <w:p w14:paraId="31DBDFA6">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160</w:t>
                  </w:r>
                </w:p>
              </w:tc>
              <w:tc>
                <w:tcPr>
                  <w:tcW w:w="716" w:type="pct"/>
                  <w:tcBorders>
                    <w:top w:val="single" w:color="auto" w:sz="2" w:space="0"/>
                    <w:left w:val="single" w:color="auto" w:sz="2" w:space="0"/>
                    <w:bottom w:val="single" w:color="auto" w:sz="12" w:space="0"/>
                    <w:right w:val="single" w:color="auto" w:sz="2" w:space="0"/>
                  </w:tcBorders>
                  <w:noWrap w:val="0"/>
                  <w:vAlign w:val="center"/>
                </w:tcPr>
                <w:p w14:paraId="747975A0">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66.3</w:t>
                  </w:r>
                </w:p>
              </w:tc>
              <w:tc>
                <w:tcPr>
                  <w:tcW w:w="740" w:type="pct"/>
                  <w:tcBorders>
                    <w:top w:val="single" w:color="auto" w:sz="2" w:space="0"/>
                    <w:left w:val="single" w:color="auto" w:sz="2" w:space="0"/>
                    <w:bottom w:val="single" w:color="auto" w:sz="12" w:space="0"/>
                    <w:right w:val="nil"/>
                  </w:tcBorders>
                  <w:noWrap w:val="0"/>
                  <w:vAlign w:val="center"/>
                </w:tcPr>
                <w:p w14:paraId="704F7BA9">
                  <w:pPr>
                    <w:pageBreakBefore w:val="0"/>
                    <w:bidi w:val="0"/>
                    <w:adjustRightInd w:val="0"/>
                    <w:snapToGrid w:val="0"/>
                    <w:spacing w:beforeAutospacing="0" w:afterAutospacing="0" w:line="320" w:lineRule="exact"/>
                    <w:ind w:left="0" w:leftChars="0" w:right="0" w:rightChars="0"/>
                    <w:jc w:val="center"/>
                    <w:rPr>
                      <w:rFonts w:hint="default" w:ascii="Times New Roman" w:hAnsi="Times New Roman" w:eastAsia="宋体" w:cs="Times New Roman"/>
                      <w:smallCaps w:val="0"/>
                      <w:color w:val="auto"/>
                      <w:spacing w:val="0"/>
                      <w:kern w:val="21"/>
                      <w:position w:val="0"/>
                      <w:highlight w:val="none"/>
                      <w:lang w:val="en-US" w:eastAsia="zh-CN"/>
                    </w:rPr>
                  </w:pPr>
                  <w:r>
                    <w:rPr>
                      <w:rFonts w:hint="default" w:ascii="Times New Roman" w:hAnsi="Times New Roman" w:eastAsia="宋体" w:cs="Times New Roman"/>
                      <w:smallCaps w:val="0"/>
                      <w:color w:val="auto"/>
                      <w:spacing w:val="0"/>
                      <w:kern w:val="21"/>
                      <w:position w:val="0"/>
                      <w:highlight w:val="none"/>
                    </w:rPr>
                    <w:t>达标</w:t>
                  </w:r>
                </w:p>
              </w:tc>
            </w:tr>
          </w:tbl>
          <w:p w14:paraId="39D81DA8">
            <w:pPr>
              <w:keepNext w:val="0"/>
              <w:keepLines w:val="0"/>
              <w:pageBreakBefore w:val="0"/>
              <w:widowControl w:val="0"/>
              <w:kinsoku/>
              <w:wordWrap/>
              <w:overflowPunct/>
              <w:topLinePunct w:val="0"/>
              <w:autoSpaceDE/>
              <w:autoSpaceDN/>
              <w:bidi w:val="0"/>
              <w:adjustRightInd w:val="0"/>
              <w:snapToGrid w:val="0"/>
              <w:spacing w:beforeAutospacing="0" w:afterAutospacing="0" w:line="500" w:lineRule="exact"/>
              <w:ind w:left="0" w:leftChars="0" w:right="0" w:rightChars="0" w:firstLine="480" w:firstLineChars="200"/>
              <w:textAlignment w:val="auto"/>
              <w:rPr>
                <w:rFonts w:hint="default" w:ascii="Times New Roman" w:hAnsi="Times New Roman" w:eastAsia="宋体" w:cs="Times New Roman"/>
                <w:smallCaps w:val="0"/>
                <w:color w:val="auto"/>
                <w:spacing w:val="0"/>
                <w:kern w:val="21"/>
                <w:position w:val="0"/>
                <w:sz w:val="24"/>
                <w:szCs w:val="24"/>
                <w:highlight w:val="none"/>
                <w:lang w:val="en-US" w:eastAsia="zh-CN"/>
              </w:rPr>
            </w:pPr>
            <w:r>
              <w:rPr>
                <w:rFonts w:hint="default" w:ascii="Times New Roman" w:hAnsi="Times New Roman" w:eastAsia="宋体" w:cs="Times New Roman"/>
                <w:color w:val="auto"/>
                <w:spacing w:val="0"/>
                <w:kern w:val="21"/>
                <w:position w:val="0"/>
                <w:sz w:val="24"/>
                <w:szCs w:val="24"/>
                <w:highlight w:val="none"/>
              </w:rPr>
              <w:t>由上表可知，</w:t>
            </w:r>
            <w:r>
              <w:rPr>
                <w:rFonts w:hint="default" w:ascii="Times New Roman" w:hAnsi="Times New Roman" w:cs="Times New Roman"/>
                <w:color w:val="auto"/>
                <w:spacing w:val="0"/>
                <w:kern w:val="21"/>
                <w:position w:val="0"/>
                <w:sz w:val="24"/>
                <w:szCs w:val="24"/>
                <w:highlight w:val="none"/>
                <w:lang w:val="en-US" w:eastAsia="zh-CN"/>
              </w:rPr>
              <w:t>佳木斯市2024年SO</w:t>
            </w:r>
            <w:r>
              <w:rPr>
                <w:rFonts w:hint="default" w:ascii="Times New Roman" w:hAnsi="Times New Roman" w:cs="Times New Roman"/>
                <w:color w:val="auto"/>
                <w:spacing w:val="0"/>
                <w:kern w:val="21"/>
                <w:position w:val="0"/>
                <w:sz w:val="24"/>
                <w:szCs w:val="24"/>
                <w:highlight w:val="none"/>
                <w:vertAlign w:val="subscript"/>
                <w:lang w:val="en-US" w:eastAsia="zh-CN"/>
              </w:rPr>
              <w:t>2</w:t>
            </w:r>
            <w:r>
              <w:rPr>
                <w:rFonts w:hint="default" w:ascii="Times New Roman" w:hAnsi="Times New Roman" w:cs="Times New Roman"/>
                <w:color w:val="auto"/>
                <w:spacing w:val="0"/>
                <w:kern w:val="21"/>
                <w:position w:val="0"/>
                <w:sz w:val="24"/>
                <w:szCs w:val="24"/>
                <w:highlight w:val="none"/>
                <w:lang w:val="en-US" w:eastAsia="zh-CN"/>
              </w:rPr>
              <w:t>、NO</w:t>
            </w:r>
            <w:r>
              <w:rPr>
                <w:rFonts w:hint="default" w:ascii="Times New Roman" w:hAnsi="Times New Roman" w:cs="Times New Roman"/>
                <w:color w:val="auto"/>
                <w:spacing w:val="0"/>
                <w:kern w:val="21"/>
                <w:position w:val="0"/>
                <w:sz w:val="24"/>
                <w:szCs w:val="24"/>
                <w:highlight w:val="none"/>
                <w:vertAlign w:val="subscript"/>
                <w:lang w:val="en-US" w:eastAsia="zh-CN"/>
              </w:rPr>
              <w:t>2</w:t>
            </w:r>
            <w:r>
              <w:rPr>
                <w:rFonts w:hint="default" w:ascii="Times New Roman" w:hAnsi="Times New Roman" w:cs="Times New Roman"/>
                <w:color w:val="auto"/>
                <w:spacing w:val="0"/>
                <w:kern w:val="21"/>
                <w:position w:val="0"/>
                <w:sz w:val="24"/>
                <w:szCs w:val="24"/>
                <w:highlight w:val="none"/>
                <w:lang w:val="en-US" w:eastAsia="zh-CN"/>
              </w:rPr>
              <w:t>、PM</w:t>
            </w:r>
            <w:r>
              <w:rPr>
                <w:rFonts w:hint="default" w:ascii="Times New Roman" w:hAnsi="Times New Roman" w:cs="Times New Roman"/>
                <w:color w:val="auto"/>
                <w:spacing w:val="0"/>
                <w:kern w:val="21"/>
                <w:position w:val="0"/>
                <w:sz w:val="24"/>
                <w:szCs w:val="24"/>
                <w:highlight w:val="none"/>
                <w:vertAlign w:val="subscript"/>
                <w:lang w:val="en-US" w:eastAsia="zh-CN"/>
              </w:rPr>
              <w:t>10</w:t>
            </w:r>
            <w:r>
              <w:rPr>
                <w:rFonts w:hint="default" w:ascii="Times New Roman" w:hAnsi="Times New Roman" w:cs="Times New Roman"/>
                <w:color w:val="auto"/>
                <w:spacing w:val="0"/>
                <w:kern w:val="21"/>
                <w:position w:val="0"/>
                <w:sz w:val="24"/>
                <w:szCs w:val="24"/>
                <w:highlight w:val="none"/>
                <w:lang w:val="en-US" w:eastAsia="zh-CN"/>
              </w:rPr>
              <w:t>、PM</w:t>
            </w:r>
            <w:r>
              <w:rPr>
                <w:rFonts w:hint="default" w:ascii="Times New Roman" w:hAnsi="Times New Roman" w:cs="Times New Roman"/>
                <w:color w:val="auto"/>
                <w:spacing w:val="0"/>
                <w:kern w:val="21"/>
                <w:position w:val="0"/>
                <w:sz w:val="24"/>
                <w:szCs w:val="24"/>
                <w:highlight w:val="none"/>
                <w:vertAlign w:val="subscript"/>
                <w:lang w:val="en-US" w:eastAsia="zh-CN"/>
              </w:rPr>
              <w:t>2.5</w:t>
            </w:r>
            <w:r>
              <w:rPr>
                <w:rFonts w:hint="default" w:ascii="Times New Roman" w:hAnsi="Times New Roman" w:cs="Times New Roman"/>
                <w:color w:val="auto"/>
                <w:spacing w:val="0"/>
                <w:kern w:val="21"/>
                <w:position w:val="0"/>
                <w:sz w:val="24"/>
                <w:szCs w:val="24"/>
                <w:highlight w:val="none"/>
                <w:lang w:val="en-US" w:eastAsia="zh-CN"/>
              </w:rPr>
              <w:t>年均浓度，CO24小时平均第95百分位数，O</w:t>
            </w:r>
            <w:r>
              <w:rPr>
                <w:rFonts w:hint="default" w:ascii="Times New Roman" w:hAnsi="Times New Roman" w:cs="Times New Roman"/>
                <w:color w:val="auto"/>
                <w:spacing w:val="0"/>
                <w:kern w:val="21"/>
                <w:position w:val="0"/>
                <w:sz w:val="24"/>
                <w:szCs w:val="24"/>
                <w:highlight w:val="none"/>
                <w:vertAlign w:val="subscript"/>
                <w:lang w:val="en-US" w:eastAsia="zh-CN"/>
              </w:rPr>
              <w:t>3</w:t>
            </w:r>
            <w:r>
              <w:rPr>
                <w:rFonts w:hint="default" w:ascii="Times New Roman" w:hAnsi="Times New Roman" w:cs="Times New Roman"/>
                <w:color w:val="auto"/>
                <w:spacing w:val="0"/>
                <w:kern w:val="21"/>
                <w:position w:val="0"/>
                <w:sz w:val="24"/>
                <w:szCs w:val="24"/>
                <w:highlight w:val="none"/>
                <w:lang w:val="en-US" w:eastAsia="zh-CN"/>
              </w:rPr>
              <w:t>日最大8小时平均第90百分位数均未超过《环境空气质量标准》（GB3095-2012）及其修改单中二级标准限值，因此，</w:t>
            </w:r>
            <w:r>
              <w:rPr>
                <w:rFonts w:hint="default" w:ascii="Times New Roman" w:hAnsi="Times New Roman" w:eastAsia="宋体" w:cs="Times New Roman"/>
                <w:color w:val="auto"/>
                <w:spacing w:val="0"/>
                <w:kern w:val="21"/>
                <w:position w:val="0"/>
                <w:sz w:val="24"/>
                <w:szCs w:val="24"/>
                <w:highlight w:val="none"/>
              </w:rPr>
              <w:t>本项目</w:t>
            </w:r>
            <w:r>
              <w:rPr>
                <w:rFonts w:hint="default" w:ascii="Times New Roman" w:hAnsi="Times New Roman" w:cs="Times New Roman"/>
                <w:color w:val="auto"/>
                <w:spacing w:val="0"/>
                <w:kern w:val="21"/>
                <w:position w:val="0"/>
                <w:sz w:val="24"/>
                <w:szCs w:val="24"/>
                <w:highlight w:val="none"/>
                <w:lang w:val="en-US" w:eastAsia="zh-CN"/>
              </w:rPr>
              <w:t>所在</w:t>
            </w:r>
            <w:r>
              <w:rPr>
                <w:rFonts w:hint="default" w:ascii="Times New Roman" w:hAnsi="Times New Roman" w:eastAsia="宋体" w:cs="Times New Roman"/>
                <w:color w:val="auto"/>
                <w:spacing w:val="0"/>
                <w:kern w:val="21"/>
                <w:position w:val="0"/>
                <w:sz w:val="24"/>
                <w:szCs w:val="24"/>
                <w:highlight w:val="none"/>
              </w:rPr>
              <w:t>区域为环境空气质量达标区。</w:t>
            </w:r>
          </w:p>
          <w:p w14:paraId="140DCAB3">
            <w:pPr>
              <w:keepNext w:val="0"/>
              <w:keepLines w:val="0"/>
              <w:pageBreakBefore w:val="0"/>
              <w:kinsoku/>
              <w:wordWrap/>
              <w:overflowPunct/>
              <w:topLinePunct w:val="0"/>
              <w:bidi w:val="0"/>
              <w:adjustRightInd w:val="0"/>
              <w:snapToGrid w:val="0"/>
              <w:spacing w:beforeAutospacing="0" w:afterAutospacing="0" w:line="50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2、特征污染物</w:t>
            </w:r>
          </w:p>
          <w:p w14:paraId="0BE0ADFE">
            <w:pPr>
              <w:keepNext w:val="0"/>
              <w:keepLines w:val="0"/>
              <w:pageBreakBefore w:val="0"/>
              <w:kinsoku/>
              <w:wordWrap/>
              <w:overflowPunct/>
              <w:topLinePunct w:val="0"/>
              <w:bidi w:val="0"/>
              <w:adjustRightInd w:val="0"/>
              <w:snapToGrid w:val="0"/>
              <w:spacing w:beforeAutospacing="0" w:afterAutospacing="0" w:line="50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rPr>
              <w:t>根据《建设项目环境影响报告表编制技术指南（污染影响类）（试行）》（环办环评〔2020〕33号），</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排放国家、地方环境空气质量标准中有标准限值要求的特征污染物时，引用建设项目周边5千米范围内近3年的现有监测数据，无相关数据的选择当季主导风向下风向1个点位补充不少于3天的监测数据</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。本项目排放的其他污染物为TSP，</w:t>
            </w:r>
            <w:r>
              <w:rPr>
                <w:rFonts w:hint="default" w:ascii="Times New Roman" w:hAnsi="Times New Roman" w:cs="Times New Roman"/>
                <w:color w:val="auto"/>
                <w:spacing w:val="0"/>
                <w:position w:val="0"/>
                <w:sz w:val="24"/>
                <w:szCs w:val="24"/>
                <w:highlight w:val="none"/>
                <w:lang w:val="en-US" w:eastAsia="zh-CN"/>
              </w:rPr>
              <w:t>现状监测引用《桦川县荣玉塑料废料加工厂建设项目环境影响报告表》中现状监测数据，该项目监测点位位于本项目西北方向1.88km处，监测时间为2023年9月17日-9月19日，符合引用要求。</w:t>
            </w:r>
          </w:p>
          <w:p w14:paraId="03AC3530">
            <w:pPr>
              <w:keepNext w:val="0"/>
              <w:keepLines w:val="0"/>
              <w:pageBreakBefore w:val="0"/>
              <w:kinsoku/>
              <w:wordWrap/>
              <w:overflowPunct/>
              <w:topLinePunct w:val="0"/>
              <w:bidi w:val="0"/>
              <w:adjustRightInd w:val="0"/>
              <w:snapToGrid w:val="0"/>
              <w:spacing w:beforeAutospacing="0" w:afterAutospacing="0" w:line="50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（1）监测因子</w:t>
            </w:r>
          </w:p>
          <w:p w14:paraId="0313E6B3">
            <w:pPr>
              <w:keepNext w:val="0"/>
              <w:keepLines w:val="0"/>
              <w:pageBreakBefore w:val="0"/>
              <w:kinsoku/>
              <w:wordWrap/>
              <w:overflowPunct/>
              <w:topLinePunct w:val="0"/>
              <w:bidi w:val="0"/>
              <w:adjustRightInd w:val="0"/>
              <w:snapToGrid w:val="0"/>
              <w:spacing w:beforeAutospacing="0" w:afterAutospacing="0" w:line="50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根据本项目污染物排放特点及拟建厂址周围的环境特征，补充监测因子为：TSP。</w:t>
            </w:r>
          </w:p>
          <w:p w14:paraId="41331255">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bCs/>
                <w:color w:val="auto"/>
                <w:spacing w:val="0"/>
                <w:position w:val="0"/>
                <w:sz w:val="24"/>
                <w:szCs w:val="24"/>
                <w:highlight w:val="none"/>
              </w:rPr>
            </w:pPr>
            <w:r>
              <w:rPr>
                <w:rFonts w:hint="default" w:ascii="Times New Roman" w:hAnsi="Times New Roman" w:eastAsia="宋体" w:cs="Times New Roman"/>
                <w:bCs/>
                <w:color w:val="auto"/>
                <w:spacing w:val="0"/>
                <w:position w:val="0"/>
                <w:sz w:val="24"/>
                <w:szCs w:val="24"/>
                <w:highlight w:val="none"/>
              </w:rPr>
              <w:t>（2）监测点位</w:t>
            </w:r>
          </w:p>
          <w:p w14:paraId="6870471F">
            <w:pPr>
              <w:keepNext w:val="0"/>
              <w:keepLines w:val="0"/>
              <w:pageBreakBefore w:val="0"/>
              <w:tabs>
                <w:tab w:val="left" w:pos="6480"/>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bCs/>
                <w:color w:val="auto"/>
                <w:spacing w:val="0"/>
                <w:position w:val="0"/>
                <w:sz w:val="24"/>
                <w:szCs w:val="24"/>
                <w:highlight w:val="none"/>
              </w:rPr>
            </w:pPr>
            <w:r>
              <w:rPr>
                <w:rFonts w:hint="default" w:ascii="Times New Roman" w:hAnsi="Times New Roman" w:cs="Times New Roman"/>
                <w:bCs/>
                <w:color w:val="auto"/>
                <w:spacing w:val="0"/>
                <w:position w:val="0"/>
                <w:sz w:val="24"/>
                <w:szCs w:val="24"/>
                <w:highlight w:val="none"/>
                <w:lang w:val="en-US" w:eastAsia="zh-CN"/>
              </w:rPr>
              <w:t>引用监测点位位于本项目西北方向1.88km处</w:t>
            </w:r>
            <w:r>
              <w:rPr>
                <w:rFonts w:hint="default" w:ascii="Times New Roman" w:hAnsi="Times New Roman" w:eastAsia="宋体" w:cs="Times New Roman"/>
                <w:bCs/>
                <w:color w:val="auto"/>
                <w:spacing w:val="0"/>
                <w:position w:val="0"/>
                <w:sz w:val="24"/>
                <w:szCs w:val="24"/>
                <w:highlight w:val="none"/>
              </w:rPr>
              <w:t>。</w:t>
            </w:r>
          </w:p>
          <w:p w14:paraId="0178880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color w:val="auto"/>
                <w:spacing w:val="0"/>
                <w:position w:val="0"/>
                <w:sz w:val="24"/>
                <w:szCs w:val="24"/>
                <w:highlight w:val="none"/>
              </w:rPr>
              <w:t>表3-2  其他污染物补充监测点基本信息</w:t>
            </w:r>
          </w:p>
          <w:tbl>
            <w:tblPr>
              <w:tblStyle w:val="29"/>
              <w:tblW w:w="4994" w:type="pct"/>
              <w:tblInd w:w="0" w:type="dxa"/>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
            <w:tblGrid>
              <w:gridCol w:w="881"/>
              <w:gridCol w:w="1267"/>
              <w:gridCol w:w="1170"/>
              <w:gridCol w:w="780"/>
              <w:gridCol w:w="1545"/>
              <w:gridCol w:w="1110"/>
              <w:gridCol w:w="1212"/>
            </w:tblGrid>
            <w:tr w14:paraId="4B0A684F">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01" w:hRule="atLeast"/>
              </w:trPr>
              <w:tc>
                <w:tcPr>
                  <w:tcW w:w="553" w:type="pct"/>
                  <w:vMerge w:val="restart"/>
                  <w:noWrap w:val="0"/>
                  <w:vAlign w:val="center"/>
                </w:tcPr>
                <w:p w14:paraId="6E0FED56">
                  <w:pPr>
                    <w:keepNext w:val="0"/>
                    <w:keepLines w:val="0"/>
                    <w:pageBreakBefore w:val="0"/>
                    <w:kinsoku/>
                    <w:wordWrap/>
                    <w:overflowPunct/>
                    <w:topLinePunct w:val="0"/>
                    <w:bidi w:val="0"/>
                    <w:adjustRightInd w:val="0"/>
                    <w:snapToGrid w:val="0"/>
                    <w:spacing w:beforeAutospacing="0" w:afterAutospacing="0" w:line="240" w:lineRule="atLeast"/>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监测点名称</w:t>
                  </w:r>
                </w:p>
              </w:tc>
              <w:tc>
                <w:tcPr>
                  <w:tcW w:w="1529" w:type="pct"/>
                  <w:gridSpan w:val="2"/>
                  <w:noWrap w:val="0"/>
                  <w:vAlign w:val="center"/>
                </w:tcPr>
                <w:p w14:paraId="216A5675">
                  <w:pPr>
                    <w:keepNext w:val="0"/>
                    <w:keepLines w:val="0"/>
                    <w:pageBreakBefore w:val="0"/>
                    <w:kinsoku/>
                    <w:wordWrap/>
                    <w:overflowPunct/>
                    <w:topLinePunct w:val="0"/>
                    <w:bidi w:val="0"/>
                    <w:adjustRightInd w:val="0"/>
                    <w:snapToGrid w:val="0"/>
                    <w:spacing w:beforeAutospacing="0" w:afterAutospacing="0" w:line="240" w:lineRule="atLeast"/>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监测点坐标/°</w:t>
                  </w:r>
                </w:p>
              </w:tc>
              <w:tc>
                <w:tcPr>
                  <w:tcW w:w="489" w:type="pct"/>
                  <w:vMerge w:val="restart"/>
                  <w:noWrap w:val="0"/>
                  <w:vAlign w:val="center"/>
                </w:tcPr>
                <w:p w14:paraId="629DA3F7">
                  <w:pPr>
                    <w:keepNext w:val="0"/>
                    <w:keepLines w:val="0"/>
                    <w:pageBreakBefore w:val="0"/>
                    <w:kinsoku/>
                    <w:wordWrap/>
                    <w:overflowPunct/>
                    <w:topLinePunct w:val="0"/>
                    <w:bidi w:val="0"/>
                    <w:adjustRightInd w:val="0"/>
                    <w:snapToGrid w:val="0"/>
                    <w:spacing w:beforeAutospacing="0" w:afterAutospacing="0" w:line="240" w:lineRule="atLeast"/>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监测因子</w:t>
                  </w:r>
                </w:p>
              </w:tc>
              <w:tc>
                <w:tcPr>
                  <w:tcW w:w="969" w:type="pct"/>
                  <w:vMerge w:val="restart"/>
                  <w:noWrap w:val="0"/>
                  <w:vAlign w:val="center"/>
                </w:tcPr>
                <w:p w14:paraId="63F4D70D">
                  <w:pPr>
                    <w:keepNext w:val="0"/>
                    <w:keepLines w:val="0"/>
                    <w:pageBreakBefore w:val="0"/>
                    <w:kinsoku/>
                    <w:wordWrap/>
                    <w:overflowPunct/>
                    <w:topLinePunct w:val="0"/>
                    <w:bidi w:val="0"/>
                    <w:adjustRightInd w:val="0"/>
                    <w:snapToGrid w:val="0"/>
                    <w:spacing w:beforeAutospacing="0" w:afterAutospacing="0" w:line="240" w:lineRule="atLeast"/>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监测时段</w:t>
                  </w:r>
                </w:p>
              </w:tc>
              <w:tc>
                <w:tcPr>
                  <w:tcW w:w="696" w:type="pct"/>
                  <w:vMerge w:val="restart"/>
                  <w:noWrap w:val="0"/>
                  <w:vAlign w:val="center"/>
                </w:tcPr>
                <w:p w14:paraId="03362915">
                  <w:pPr>
                    <w:keepNext w:val="0"/>
                    <w:keepLines w:val="0"/>
                    <w:pageBreakBefore w:val="0"/>
                    <w:kinsoku/>
                    <w:wordWrap/>
                    <w:overflowPunct/>
                    <w:topLinePunct w:val="0"/>
                    <w:bidi w:val="0"/>
                    <w:adjustRightInd w:val="0"/>
                    <w:snapToGrid w:val="0"/>
                    <w:spacing w:beforeAutospacing="0" w:afterAutospacing="0" w:line="240" w:lineRule="atLeast"/>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相对厂址方位</w:t>
                  </w:r>
                </w:p>
              </w:tc>
              <w:tc>
                <w:tcPr>
                  <w:tcW w:w="760" w:type="pct"/>
                  <w:vMerge w:val="restart"/>
                  <w:noWrap w:val="0"/>
                  <w:vAlign w:val="center"/>
                </w:tcPr>
                <w:p w14:paraId="22CF6776">
                  <w:pPr>
                    <w:keepNext w:val="0"/>
                    <w:keepLines w:val="0"/>
                    <w:pageBreakBefore w:val="0"/>
                    <w:kinsoku/>
                    <w:wordWrap/>
                    <w:overflowPunct/>
                    <w:topLinePunct w:val="0"/>
                    <w:bidi w:val="0"/>
                    <w:adjustRightInd w:val="0"/>
                    <w:snapToGrid w:val="0"/>
                    <w:spacing w:beforeAutospacing="0" w:afterAutospacing="0" w:line="240" w:lineRule="atLeast"/>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相对厂界距离/m</w:t>
                  </w:r>
                </w:p>
              </w:tc>
            </w:tr>
            <w:tr w14:paraId="37623B5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33" w:hRule="atLeast"/>
              </w:trPr>
              <w:tc>
                <w:tcPr>
                  <w:tcW w:w="553" w:type="pct"/>
                  <w:vMerge w:val="continue"/>
                  <w:noWrap w:val="0"/>
                  <w:vAlign w:val="center"/>
                </w:tcPr>
                <w:p w14:paraId="4AEF37E2">
                  <w:pPr>
                    <w:keepNext w:val="0"/>
                    <w:keepLines w:val="0"/>
                    <w:pageBreakBefore w:val="0"/>
                    <w:kinsoku/>
                    <w:wordWrap/>
                    <w:overflowPunct/>
                    <w:topLinePunct w:val="0"/>
                    <w:bidi w:val="0"/>
                    <w:adjustRightInd w:val="0"/>
                    <w:snapToGrid w:val="0"/>
                    <w:spacing w:beforeAutospacing="0" w:afterAutospacing="0" w:line="240" w:lineRule="atLeast"/>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795" w:type="pct"/>
                  <w:noWrap w:val="0"/>
                  <w:vAlign w:val="center"/>
                </w:tcPr>
                <w:p w14:paraId="2B3017C1">
                  <w:pPr>
                    <w:keepNext w:val="0"/>
                    <w:keepLines w:val="0"/>
                    <w:pageBreakBefore w:val="0"/>
                    <w:kinsoku/>
                    <w:wordWrap/>
                    <w:overflowPunct/>
                    <w:topLinePunct w:val="0"/>
                    <w:bidi w:val="0"/>
                    <w:adjustRightInd w:val="0"/>
                    <w:snapToGrid w:val="0"/>
                    <w:spacing w:beforeAutospacing="0" w:afterAutospacing="0" w:line="240" w:lineRule="atLeast"/>
                    <w:ind w:left="0" w:leftChars="0" w:right="0" w:rightChars="0"/>
                    <w:jc w:val="center"/>
                    <w:rPr>
                      <w:rFonts w:hint="default" w:ascii="Times New Roman" w:hAnsi="Times New Roman" w:eastAsia="宋体" w:cs="Times New Roman"/>
                      <w:color w:val="auto"/>
                      <w:spacing w:val="0"/>
                      <w:position w:val="0"/>
                      <w:szCs w:val="21"/>
                      <w:highlight w:val="none"/>
                      <w:lang w:eastAsia="zh-CN"/>
                    </w:rPr>
                  </w:pPr>
                  <w:r>
                    <w:rPr>
                      <w:rFonts w:hint="default" w:ascii="Times New Roman" w:hAnsi="Times New Roman" w:cs="Times New Roman"/>
                      <w:color w:val="auto"/>
                      <w:spacing w:val="0"/>
                      <w:position w:val="0"/>
                      <w:szCs w:val="21"/>
                      <w:highlight w:val="none"/>
                      <w:lang w:val="en-US" w:eastAsia="zh-CN"/>
                    </w:rPr>
                    <w:t>经度</w:t>
                  </w:r>
                </w:p>
              </w:tc>
              <w:tc>
                <w:tcPr>
                  <w:tcW w:w="734" w:type="pct"/>
                  <w:noWrap w:val="0"/>
                  <w:vAlign w:val="center"/>
                </w:tcPr>
                <w:p w14:paraId="208C58CB">
                  <w:pPr>
                    <w:keepNext w:val="0"/>
                    <w:keepLines w:val="0"/>
                    <w:pageBreakBefore w:val="0"/>
                    <w:kinsoku/>
                    <w:wordWrap/>
                    <w:overflowPunct/>
                    <w:topLinePunct w:val="0"/>
                    <w:bidi w:val="0"/>
                    <w:adjustRightInd w:val="0"/>
                    <w:snapToGrid w:val="0"/>
                    <w:spacing w:beforeAutospacing="0" w:afterAutospacing="0" w:line="240" w:lineRule="atLeast"/>
                    <w:ind w:left="0" w:leftChars="0" w:right="0" w:rightChars="0"/>
                    <w:jc w:val="center"/>
                    <w:rPr>
                      <w:rFonts w:hint="default" w:ascii="Times New Roman" w:hAnsi="Times New Roman" w:eastAsia="宋体" w:cs="Times New Roman"/>
                      <w:color w:val="auto"/>
                      <w:spacing w:val="0"/>
                      <w:position w:val="0"/>
                      <w:szCs w:val="21"/>
                      <w:highlight w:val="none"/>
                      <w:lang w:eastAsia="zh-CN"/>
                    </w:rPr>
                  </w:pPr>
                  <w:r>
                    <w:rPr>
                      <w:rFonts w:hint="default" w:ascii="Times New Roman" w:hAnsi="Times New Roman" w:cs="Times New Roman"/>
                      <w:color w:val="auto"/>
                      <w:spacing w:val="0"/>
                      <w:position w:val="0"/>
                      <w:szCs w:val="21"/>
                      <w:highlight w:val="none"/>
                      <w:lang w:val="en-US" w:eastAsia="zh-CN"/>
                    </w:rPr>
                    <w:t>纬度</w:t>
                  </w:r>
                </w:p>
              </w:tc>
              <w:tc>
                <w:tcPr>
                  <w:tcW w:w="489" w:type="pct"/>
                  <w:vMerge w:val="continue"/>
                  <w:noWrap w:val="0"/>
                  <w:vAlign w:val="center"/>
                </w:tcPr>
                <w:p w14:paraId="60E951F6">
                  <w:pPr>
                    <w:keepNext w:val="0"/>
                    <w:keepLines w:val="0"/>
                    <w:pageBreakBefore w:val="0"/>
                    <w:kinsoku/>
                    <w:wordWrap/>
                    <w:overflowPunct/>
                    <w:topLinePunct w:val="0"/>
                    <w:bidi w:val="0"/>
                    <w:adjustRightInd w:val="0"/>
                    <w:snapToGrid w:val="0"/>
                    <w:spacing w:beforeAutospacing="0" w:afterAutospacing="0" w:line="240" w:lineRule="atLeast"/>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969" w:type="pct"/>
                  <w:vMerge w:val="continue"/>
                  <w:noWrap w:val="0"/>
                  <w:vAlign w:val="center"/>
                </w:tcPr>
                <w:p w14:paraId="1F43C695">
                  <w:pPr>
                    <w:keepNext w:val="0"/>
                    <w:keepLines w:val="0"/>
                    <w:pageBreakBefore w:val="0"/>
                    <w:kinsoku/>
                    <w:wordWrap/>
                    <w:overflowPunct/>
                    <w:topLinePunct w:val="0"/>
                    <w:bidi w:val="0"/>
                    <w:adjustRightInd w:val="0"/>
                    <w:snapToGrid w:val="0"/>
                    <w:spacing w:beforeAutospacing="0" w:afterAutospacing="0" w:line="240" w:lineRule="atLeast"/>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696" w:type="pct"/>
                  <w:vMerge w:val="continue"/>
                  <w:noWrap w:val="0"/>
                  <w:vAlign w:val="center"/>
                </w:tcPr>
                <w:p w14:paraId="41724BB0">
                  <w:pPr>
                    <w:keepNext w:val="0"/>
                    <w:keepLines w:val="0"/>
                    <w:pageBreakBefore w:val="0"/>
                    <w:kinsoku/>
                    <w:wordWrap/>
                    <w:overflowPunct/>
                    <w:topLinePunct w:val="0"/>
                    <w:bidi w:val="0"/>
                    <w:adjustRightInd w:val="0"/>
                    <w:snapToGrid w:val="0"/>
                    <w:spacing w:beforeAutospacing="0" w:afterAutospacing="0" w:line="240" w:lineRule="atLeast"/>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760" w:type="pct"/>
                  <w:vMerge w:val="continue"/>
                  <w:noWrap w:val="0"/>
                  <w:vAlign w:val="center"/>
                </w:tcPr>
                <w:p w14:paraId="12ADBE17">
                  <w:pPr>
                    <w:keepNext w:val="0"/>
                    <w:keepLines w:val="0"/>
                    <w:pageBreakBefore w:val="0"/>
                    <w:kinsoku/>
                    <w:wordWrap/>
                    <w:overflowPunct/>
                    <w:topLinePunct w:val="0"/>
                    <w:bidi w:val="0"/>
                    <w:adjustRightInd w:val="0"/>
                    <w:snapToGrid w:val="0"/>
                    <w:spacing w:beforeAutospacing="0" w:afterAutospacing="0" w:line="240" w:lineRule="atLeast"/>
                    <w:ind w:left="0" w:leftChars="0" w:right="0" w:rightChars="0"/>
                    <w:jc w:val="center"/>
                    <w:rPr>
                      <w:rFonts w:hint="default" w:ascii="Times New Roman" w:hAnsi="Times New Roman" w:eastAsia="宋体" w:cs="Times New Roman"/>
                      <w:color w:val="auto"/>
                      <w:spacing w:val="0"/>
                      <w:position w:val="0"/>
                      <w:szCs w:val="21"/>
                      <w:highlight w:val="none"/>
                    </w:rPr>
                  </w:pPr>
                </w:p>
              </w:tc>
            </w:tr>
            <w:tr w14:paraId="4A60DEC3">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90" w:hRule="atLeast"/>
              </w:trPr>
              <w:tc>
                <w:tcPr>
                  <w:tcW w:w="553" w:type="pct"/>
                  <w:noWrap w:val="0"/>
                  <w:vAlign w:val="center"/>
                </w:tcPr>
                <w:p w14:paraId="3F7D0B40">
                  <w:pPr>
                    <w:keepNext w:val="0"/>
                    <w:keepLines w:val="0"/>
                    <w:pageBreakBefore w:val="0"/>
                    <w:kinsoku/>
                    <w:wordWrap/>
                    <w:overflowPunct/>
                    <w:topLinePunct w:val="0"/>
                    <w:bidi w:val="0"/>
                    <w:adjustRightInd w:val="0"/>
                    <w:snapToGrid w:val="0"/>
                    <w:spacing w:beforeAutospacing="0" w:afterAutospacing="0" w:line="240" w:lineRule="atLeast"/>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厂界下风向</w:t>
                  </w:r>
                </w:p>
              </w:tc>
              <w:tc>
                <w:tcPr>
                  <w:tcW w:w="795" w:type="pct"/>
                  <w:noWrap w:val="0"/>
                  <w:vAlign w:val="center"/>
                </w:tcPr>
                <w:p w14:paraId="59EEFBFA">
                  <w:pPr>
                    <w:keepNext w:val="0"/>
                    <w:keepLines w:val="0"/>
                    <w:pageBreakBefore w:val="0"/>
                    <w:kinsoku/>
                    <w:wordWrap/>
                    <w:overflowPunct/>
                    <w:topLinePunct w:val="0"/>
                    <w:bidi w:val="0"/>
                    <w:adjustRightInd w:val="0"/>
                    <w:snapToGrid w:val="0"/>
                    <w:spacing w:beforeAutospacing="0" w:afterAutospacing="0" w:line="240" w:lineRule="atLeast"/>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130.705901</w:t>
                  </w:r>
                </w:p>
              </w:tc>
              <w:tc>
                <w:tcPr>
                  <w:tcW w:w="734" w:type="pct"/>
                  <w:noWrap w:val="0"/>
                  <w:vAlign w:val="center"/>
                </w:tcPr>
                <w:p w14:paraId="1EFF4566">
                  <w:pPr>
                    <w:keepNext w:val="0"/>
                    <w:keepLines w:val="0"/>
                    <w:pageBreakBefore w:val="0"/>
                    <w:kinsoku/>
                    <w:wordWrap/>
                    <w:overflowPunct/>
                    <w:topLinePunct w:val="0"/>
                    <w:bidi w:val="0"/>
                    <w:adjustRightInd w:val="0"/>
                    <w:snapToGrid w:val="0"/>
                    <w:spacing w:beforeAutospacing="0" w:afterAutospacing="0" w:line="240" w:lineRule="atLeast"/>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47.013444</w:t>
                  </w:r>
                </w:p>
              </w:tc>
              <w:tc>
                <w:tcPr>
                  <w:tcW w:w="489" w:type="pct"/>
                  <w:noWrap w:val="0"/>
                  <w:vAlign w:val="center"/>
                </w:tcPr>
                <w:p w14:paraId="0563A053">
                  <w:pPr>
                    <w:keepNext w:val="0"/>
                    <w:keepLines w:val="0"/>
                    <w:pageBreakBefore w:val="0"/>
                    <w:kinsoku/>
                    <w:wordWrap/>
                    <w:overflowPunct/>
                    <w:topLinePunct w:val="0"/>
                    <w:bidi w:val="0"/>
                    <w:adjustRightInd w:val="0"/>
                    <w:snapToGrid w:val="0"/>
                    <w:spacing w:beforeAutospacing="0" w:afterAutospacing="0" w:line="240" w:lineRule="atLeast"/>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TSP</w:t>
                  </w:r>
                </w:p>
              </w:tc>
              <w:tc>
                <w:tcPr>
                  <w:tcW w:w="969" w:type="pct"/>
                  <w:noWrap w:val="0"/>
                  <w:vAlign w:val="center"/>
                </w:tcPr>
                <w:p w14:paraId="188831CE">
                  <w:pPr>
                    <w:keepNext w:val="0"/>
                    <w:keepLines w:val="0"/>
                    <w:pageBreakBefore w:val="0"/>
                    <w:kinsoku/>
                    <w:wordWrap/>
                    <w:overflowPunct/>
                    <w:topLinePunct w:val="0"/>
                    <w:bidi w:val="0"/>
                    <w:adjustRightInd w:val="0"/>
                    <w:snapToGrid w:val="0"/>
                    <w:spacing w:beforeAutospacing="0" w:afterAutospacing="0" w:line="240" w:lineRule="atLeast"/>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eastAsia="宋体" w:cs="Times New Roman"/>
                      <w:color w:val="auto"/>
                      <w:spacing w:val="0"/>
                      <w:position w:val="0"/>
                      <w:szCs w:val="21"/>
                      <w:highlight w:val="none"/>
                    </w:rPr>
                    <w:t>202</w:t>
                  </w:r>
                  <w:r>
                    <w:rPr>
                      <w:rFonts w:hint="default" w:ascii="Times New Roman" w:hAnsi="Times New Roman" w:cs="Times New Roman"/>
                      <w:color w:val="auto"/>
                      <w:spacing w:val="0"/>
                      <w:position w:val="0"/>
                      <w:szCs w:val="21"/>
                      <w:highlight w:val="none"/>
                      <w:lang w:val="en-US" w:eastAsia="zh-CN"/>
                    </w:rPr>
                    <w:t>3.09.17</w:t>
                  </w:r>
                  <w:r>
                    <w:rPr>
                      <w:rFonts w:hint="default" w:ascii="Times New Roman" w:hAnsi="Times New Roman" w:eastAsia="宋体" w:cs="Times New Roman"/>
                      <w:color w:val="auto"/>
                      <w:spacing w:val="0"/>
                      <w:position w:val="0"/>
                      <w:szCs w:val="21"/>
                      <w:highlight w:val="none"/>
                    </w:rPr>
                    <w:t>-</w:t>
                  </w:r>
                  <w:r>
                    <w:rPr>
                      <w:rFonts w:hint="default" w:ascii="Times New Roman" w:hAnsi="Times New Roman" w:cs="Times New Roman"/>
                      <w:color w:val="auto"/>
                      <w:spacing w:val="0"/>
                      <w:position w:val="0"/>
                      <w:szCs w:val="21"/>
                      <w:highlight w:val="none"/>
                      <w:lang w:val="en-US" w:eastAsia="zh-CN"/>
                    </w:rPr>
                    <w:t>2023.09.19</w:t>
                  </w:r>
                </w:p>
              </w:tc>
              <w:tc>
                <w:tcPr>
                  <w:tcW w:w="696" w:type="pct"/>
                  <w:noWrap w:val="0"/>
                  <w:vAlign w:val="center"/>
                </w:tcPr>
                <w:p w14:paraId="6B956D37">
                  <w:pPr>
                    <w:keepNext w:val="0"/>
                    <w:keepLines w:val="0"/>
                    <w:pageBreakBefore w:val="0"/>
                    <w:kinsoku/>
                    <w:wordWrap/>
                    <w:overflowPunct/>
                    <w:topLinePunct w:val="0"/>
                    <w:bidi w:val="0"/>
                    <w:adjustRightInd w:val="0"/>
                    <w:snapToGrid w:val="0"/>
                    <w:spacing w:beforeAutospacing="0" w:afterAutospacing="0" w:line="240" w:lineRule="atLeast"/>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NE</w:t>
                  </w:r>
                </w:p>
              </w:tc>
              <w:tc>
                <w:tcPr>
                  <w:tcW w:w="760" w:type="pct"/>
                  <w:noWrap w:val="0"/>
                  <w:vAlign w:val="center"/>
                </w:tcPr>
                <w:p w14:paraId="1749D8A6">
                  <w:pPr>
                    <w:keepNext w:val="0"/>
                    <w:keepLines w:val="0"/>
                    <w:pageBreakBefore w:val="0"/>
                    <w:kinsoku/>
                    <w:wordWrap/>
                    <w:overflowPunct/>
                    <w:topLinePunct w:val="0"/>
                    <w:bidi w:val="0"/>
                    <w:adjustRightInd w:val="0"/>
                    <w:snapToGrid w:val="0"/>
                    <w:spacing w:beforeAutospacing="0" w:afterAutospacing="0" w:line="240" w:lineRule="atLeast"/>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20</w:t>
                  </w:r>
                </w:p>
              </w:tc>
            </w:tr>
          </w:tbl>
          <w:p w14:paraId="682FFFB4">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val="0"/>
                <w:color w:val="auto"/>
                <w:spacing w:val="0"/>
                <w:position w:val="0"/>
                <w:highlight w:val="none"/>
              </w:rPr>
            </w:pPr>
            <w:r>
              <w:rPr>
                <w:rFonts w:hint="default" w:ascii="Times New Roman" w:hAnsi="Times New Roman" w:cs="Times New Roman"/>
                <w:color w:val="auto"/>
                <w:spacing w:val="0"/>
                <w:position w:val="0"/>
                <w:highlight w:val="none"/>
              </w:rPr>
              <w:drawing>
                <wp:inline distT="0" distB="0" distL="114300" distR="114300">
                  <wp:extent cx="3753485" cy="2879725"/>
                  <wp:effectExtent l="0" t="0" r="18415" b="15875"/>
                  <wp:docPr id="1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
                          <pic:cNvPicPr>
                            <a:picLocks noChangeAspect="1"/>
                          </pic:cNvPicPr>
                        </pic:nvPicPr>
                        <pic:blipFill>
                          <a:blip r:embed="rId24"/>
                          <a:stretch>
                            <a:fillRect/>
                          </a:stretch>
                        </pic:blipFill>
                        <pic:spPr>
                          <a:xfrm>
                            <a:off x="0" y="0"/>
                            <a:ext cx="3753485" cy="2879725"/>
                          </a:xfrm>
                          <a:prstGeom prst="rect">
                            <a:avLst/>
                          </a:prstGeom>
                          <a:noFill/>
                          <a:ln>
                            <a:noFill/>
                          </a:ln>
                        </pic:spPr>
                      </pic:pic>
                    </a:graphicData>
                  </a:graphic>
                </wp:inline>
              </w:drawing>
            </w:r>
          </w:p>
          <w:p w14:paraId="51ACB43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图3-1</w:t>
            </w:r>
            <w:r>
              <w:rPr>
                <w:rFonts w:hint="default" w:ascii="Times New Roman" w:hAnsi="Times New Roman" w:cs="Times New Roman"/>
                <w:b/>
                <w:bCs/>
                <w:color w:val="auto"/>
                <w:spacing w:val="0"/>
                <w:position w:val="0"/>
                <w:sz w:val="24"/>
                <w:szCs w:val="24"/>
                <w:highlight w:val="none"/>
                <w:lang w:val="en-US" w:eastAsia="zh-CN"/>
              </w:rPr>
              <w:t xml:space="preserve"> </w:t>
            </w:r>
            <w:r>
              <w:rPr>
                <w:rFonts w:hint="default" w:ascii="Times New Roman" w:hAnsi="Times New Roman" w:eastAsia="宋体" w:cs="Times New Roman"/>
                <w:b/>
                <w:bCs/>
                <w:color w:val="auto"/>
                <w:spacing w:val="0"/>
                <w:position w:val="0"/>
                <w:sz w:val="24"/>
                <w:szCs w:val="24"/>
                <w:highlight w:val="none"/>
              </w:rPr>
              <w:t>TSP监测点位图</w:t>
            </w:r>
          </w:p>
          <w:p w14:paraId="6993AD5D">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bCs/>
                <w:color w:val="auto"/>
                <w:spacing w:val="0"/>
                <w:position w:val="0"/>
                <w:sz w:val="24"/>
                <w:szCs w:val="24"/>
                <w:highlight w:val="none"/>
              </w:rPr>
            </w:pPr>
            <w:r>
              <w:rPr>
                <w:rFonts w:hint="default" w:ascii="Times New Roman" w:hAnsi="Times New Roman" w:eastAsia="宋体" w:cs="Times New Roman"/>
                <w:bCs/>
                <w:color w:val="auto"/>
                <w:spacing w:val="0"/>
                <w:position w:val="0"/>
                <w:sz w:val="24"/>
                <w:szCs w:val="24"/>
                <w:highlight w:val="none"/>
              </w:rPr>
              <w:t>（3）监测时间</w:t>
            </w:r>
          </w:p>
          <w:p w14:paraId="2305CAD3">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bCs/>
                <w:color w:val="auto"/>
                <w:spacing w:val="0"/>
                <w:position w:val="0"/>
                <w:szCs w:val="21"/>
                <w:highlight w:val="none"/>
              </w:rPr>
            </w:pPr>
            <w:r>
              <w:rPr>
                <w:rFonts w:hint="default" w:ascii="Times New Roman" w:hAnsi="Times New Roman" w:eastAsia="宋体" w:cs="Times New Roman"/>
                <w:bCs/>
                <w:color w:val="auto"/>
                <w:spacing w:val="0"/>
                <w:position w:val="0"/>
                <w:sz w:val="24"/>
                <w:szCs w:val="24"/>
                <w:highlight w:val="none"/>
              </w:rPr>
              <w:t>根据《建设项目环境影响评价报告表编制技术指南》（污染影响类）中要求，本次</w:t>
            </w:r>
            <w:r>
              <w:rPr>
                <w:rFonts w:hint="default" w:ascii="Times New Roman" w:hAnsi="Times New Roman" w:cs="Times New Roman"/>
                <w:bCs/>
                <w:color w:val="auto"/>
                <w:spacing w:val="0"/>
                <w:position w:val="0"/>
                <w:sz w:val="24"/>
                <w:szCs w:val="24"/>
                <w:highlight w:val="none"/>
                <w:lang w:val="en-US" w:eastAsia="zh-CN"/>
              </w:rPr>
              <w:t>引用项目现状</w:t>
            </w:r>
            <w:r>
              <w:rPr>
                <w:rFonts w:hint="default" w:ascii="Times New Roman" w:hAnsi="Times New Roman" w:eastAsia="宋体" w:cs="Times New Roman"/>
                <w:bCs/>
                <w:color w:val="auto"/>
                <w:spacing w:val="0"/>
                <w:position w:val="0"/>
                <w:sz w:val="24"/>
                <w:szCs w:val="24"/>
                <w:highlight w:val="none"/>
              </w:rPr>
              <w:t>评价连续监测3天，监测时间为202</w:t>
            </w:r>
            <w:r>
              <w:rPr>
                <w:rFonts w:hint="default" w:ascii="Times New Roman" w:hAnsi="Times New Roman" w:cs="Times New Roman"/>
                <w:bCs/>
                <w:color w:val="auto"/>
                <w:spacing w:val="0"/>
                <w:position w:val="0"/>
                <w:sz w:val="24"/>
                <w:szCs w:val="24"/>
                <w:highlight w:val="none"/>
                <w:lang w:val="en-US" w:eastAsia="zh-CN"/>
              </w:rPr>
              <w:t>3</w:t>
            </w:r>
            <w:r>
              <w:rPr>
                <w:rFonts w:hint="default" w:ascii="Times New Roman" w:hAnsi="Times New Roman" w:eastAsia="宋体" w:cs="Times New Roman"/>
                <w:bCs/>
                <w:color w:val="auto"/>
                <w:spacing w:val="0"/>
                <w:position w:val="0"/>
                <w:sz w:val="24"/>
                <w:szCs w:val="24"/>
                <w:highlight w:val="none"/>
              </w:rPr>
              <w:t>年</w:t>
            </w:r>
            <w:r>
              <w:rPr>
                <w:rFonts w:hint="default" w:ascii="Times New Roman" w:hAnsi="Times New Roman" w:cs="Times New Roman"/>
                <w:bCs/>
                <w:color w:val="auto"/>
                <w:spacing w:val="0"/>
                <w:position w:val="0"/>
                <w:sz w:val="24"/>
                <w:szCs w:val="24"/>
                <w:highlight w:val="none"/>
                <w:lang w:val="en-US" w:eastAsia="zh-CN"/>
              </w:rPr>
              <w:t>9</w:t>
            </w:r>
            <w:r>
              <w:rPr>
                <w:rFonts w:hint="default" w:ascii="Times New Roman" w:hAnsi="Times New Roman" w:eastAsia="宋体" w:cs="Times New Roman"/>
                <w:bCs/>
                <w:color w:val="auto"/>
                <w:spacing w:val="0"/>
                <w:position w:val="0"/>
                <w:sz w:val="24"/>
                <w:szCs w:val="24"/>
                <w:highlight w:val="none"/>
              </w:rPr>
              <w:t>月</w:t>
            </w:r>
            <w:r>
              <w:rPr>
                <w:rFonts w:hint="default" w:ascii="Times New Roman" w:hAnsi="Times New Roman" w:cs="Times New Roman"/>
                <w:bCs/>
                <w:color w:val="auto"/>
                <w:spacing w:val="0"/>
                <w:position w:val="0"/>
                <w:sz w:val="24"/>
                <w:szCs w:val="24"/>
                <w:highlight w:val="none"/>
                <w:lang w:val="en-US" w:eastAsia="zh-CN"/>
              </w:rPr>
              <w:t>17</w:t>
            </w:r>
            <w:r>
              <w:rPr>
                <w:rFonts w:hint="default" w:ascii="Times New Roman" w:hAnsi="Times New Roman" w:eastAsia="宋体" w:cs="Times New Roman"/>
                <w:bCs/>
                <w:color w:val="auto"/>
                <w:spacing w:val="0"/>
                <w:position w:val="0"/>
                <w:sz w:val="24"/>
                <w:szCs w:val="24"/>
                <w:highlight w:val="none"/>
              </w:rPr>
              <w:t>日至202</w:t>
            </w:r>
            <w:r>
              <w:rPr>
                <w:rFonts w:hint="default" w:ascii="Times New Roman" w:hAnsi="Times New Roman" w:cs="Times New Roman"/>
                <w:bCs/>
                <w:color w:val="auto"/>
                <w:spacing w:val="0"/>
                <w:position w:val="0"/>
                <w:sz w:val="24"/>
                <w:szCs w:val="24"/>
                <w:highlight w:val="none"/>
                <w:lang w:val="en-US" w:eastAsia="zh-CN"/>
              </w:rPr>
              <w:t>3</w:t>
            </w:r>
            <w:r>
              <w:rPr>
                <w:rFonts w:hint="default" w:ascii="Times New Roman" w:hAnsi="Times New Roman" w:eastAsia="宋体" w:cs="Times New Roman"/>
                <w:bCs/>
                <w:color w:val="auto"/>
                <w:spacing w:val="0"/>
                <w:position w:val="0"/>
                <w:sz w:val="24"/>
                <w:szCs w:val="24"/>
                <w:highlight w:val="none"/>
              </w:rPr>
              <w:t>年</w:t>
            </w:r>
            <w:r>
              <w:rPr>
                <w:rFonts w:hint="default" w:ascii="Times New Roman" w:hAnsi="Times New Roman" w:cs="Times New Roman"/>
                <w:bCs/>
                <w:color w:val="auto"/>
                <w:spacing w:val="0"/>
                <w:position w:val="0"/>
                <w:sz w:val="24"/>
                <w:szCs w:val="24"/>
                <w:highlight w:val="none"/>
                <w:lang w:val="en-US" w:eastAsia="zh-CN"/>
              </w:rPr>
              <w:t>9</w:t>
            </w:r>
            <w:r>
              <w:rPr>
                <w:rFonts w:hint="default" w:ascii="Times New Roman" w:hAnsi="Times New Roman" w:eastAsia="宋体" w:cs="Times New Roman"/>
                <w:bCs/>
                <w:color w:val="auto"/>
                <w:spacing w:val="0"/>
                <w:position w:val="0"/>
                <w:sz w:val="24"/>
                <w:szCs w:val="24"/>
                <w:highlight w:val="none"/>
              </w:rPr>
              <w:t>月</w:t>
            </w:r>
            <w:r>
              <w:rPr>
                <w:rFonts w:hint="default" w:ascii="Times New Roman" w:hAnsi="Times New Roman" w:cs="Times New Roman"/>
                <w:bCs/>
                <w:color w:val="auto"/>
                <w:spacing w:val="0"/>
                <w:position w:val="0"/>
                <w:sz w:val="24"/>
                <w:szCs w:val="24"/>
                <w:highlight w:val="none"/>
                <w:lang w:val="en-US" w:eastAsia="zh-CN"/>
              </w:rPr>
              <w:t>19</w:t>
            </w:r>
            <w:r>
              <w:rPr>
                <w:rFonts w:hint="default" w:ascii="Times New Roman" w:hAnsi="Times New Roman" w:eastAsia="宋体" w:cs="Times New Roman"/>
                <w:bCs/>
                <w:color w:val="auto"/>
                <w:spacing w:val="0"/>
                <w:position w:val="0"/>
                <w:sz w:val="24"/>
                <w:szCs w:val="24"/>
                <w:highlight w:val="none"/>
              </w:rPr>
              <w:t>日。</w:t>
            </w:r>
          </w:p>
          <w:p w14:paraId="522EEB03">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b/>
                <w:color w:val="auto"/>
                <w:spacing w:val="0"/>
                <w:position w:val="0"/>
                <w:sz w:val="24"/>
                <w:szCs w:val="24"/>
                <w:highlight w:val="none"/>
              </w:rPr>
            </w:pPr>
            <w:r>
              <w:rPr>
                <w:rFonts w:hint="default" w:ascii="Times New Roman" w:hAnsi="Times New Roman" w:eastAsia="宋体" w:cs="Times New Roman"/>
                <w:bCs/>
                <w:color w:val="auto"/>
                <w:spacing w:val="0"/>
                <w:position w:val="0"/>
                <w:sz w:val="24"/>
                <w:szCs w:val="24"/>
                <w:highlight w:val="none"/>
              </w:rPr>
              <w:t>（4）监测结果</w:t>
            </w:r>
          </w:p>
          <w:p w14:paraId="7B1E53E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color w:val="auto"/>
                <w:spacing w:val="0"/>
                <w:position w:val="0"/>
                <w:sz w:val="24"/>
                <w:szCs w:val="24"/>
                <w:highlight w:val="none"/>
              </w:rPr>
            </w:pPr>
            <w:r>
              <w:rPr>
                <w:rFonts w:hint="default" w:ascii="Times New Roman" w:hAnsi="Times New Roman" w:eastAsia="宋体" w:cs="Times New Roman"/>
                <w:b/>
                <w:color w:val="auto"/>
                <w:spacing w:val="0"/>
                <w:position w:val="0"/>
                <w:sz w:val="24"/>
                <w:szCs w:val="24"/>
                <w:highlight w:val="none"/>
              </w:rPr>
              <w:t>表3-3 其他污染物环境质量现状（监测结果）</w:t>
            </w:r>
          </w:p>
          <w:tbl>
            <w:tblPr>
              <w:tblStyle w:val="29"/>
              <w:tblW w:w="4998" w:type="pct"/>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
            <w:tblGrid>
              <w:gridCol w:w="887"/>
              <w:gridCol w:w="870"/>
              <w:gridCol w:w="750"/>
              <w:gridCol w:w="585"/>
              <w:gridCol w:w="930"/>
              <w:gridCol w:w="1035"/>
              <w:gridCol w:w="1036"/>
              <w:gridCol w:w="838"/>
              <w:gridCol w:w="507"/>
              <w:gridCol w:w="533"/>
            </w:tblGrid>
            <w:tr w14:paraId="4BDB5A87">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31" w:hRule="atLeast"/>
                <w:jc w:val="center"/>
              </w:trPr>
              <w:tc>
                <w:tcPr>
                  <w:tcW w:w="556" w:type="pct"/>
                  <w:vMerge w:val="restart"/>
                  <w:noWrap w:val="0"/>
                  <w:vAlign w:val="center"/>
                </w:tcPr>
                <w:p w14:paraId="3A1EF110">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监测点位</w:t>
                  </w:r>
                </w:p>
              </w:tc>
              <w:tc>
                <w:tcPr>
                  <w:tcW w:w="1016" w:type="pct"/>
                  <w:gridSpan w:val="2"/>
                  <w:noWrap w:val="0"/>
                  <w:vAlign w:val="center"/>
                </w:tcPr>
                <w:p w14:paraId="6C6E673F">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监测点坐标/°</w:t>
                  </w:r>
                </w:p>
              </w:tc>
              <w:tc>
                <w:tcPr>
                  <w:tcW w:w="366" w:type="pct"/>
                  <w:vMerge w:val="restart"/>
                  <w:noWrap w:val="0"/>
                  <w:vAlign w:val="center"/>
                </w:tcPr>
                <w:p w14:paraId="7B69FBDF">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污染物</w:t>
                  </w:r>
                </w:p>
              </w:tc>
              <w:tc>
                <w:tcPr>
                  <w:tcW w:w="583" w:type="pct"/>
                  <w:vMerge w:val="restart"/>
                  <w:noWrap w:val="0"/>
                  <w:vAlign w:val="center"/>
                </w:tcPr>
                <w:p w14:paraId="582A9E0B">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平均时间</w:t>
                  </w:r>
                </w:p>
              </w:tc>
              <w:tc>
                <w:tcPr>
                  <w:tcW w:w="649" w:type="pct"/>
                  <w:vMerge w:val="restart"/>
                  <w:noWrap w:val="0"/>
                  <w:vAlign w:val="center"/>
                </w:tcPr>
                <w:p w14:paraId="3854AF1A">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评价标准</w:t>
                  </w:r>
                  <w:r>
                    <w:rPr>
                      <w:rFonts w:hint="default" w:ascii="Times New Roman" w:hAnsi="Times New Roman" w:cs="Times New Roman"/>
                      <w:color w:val="auto"/>
                      <w:spacing w:val="0"/>
                      <w:position w:val="0"/>
                      <w:sz w:val="21"/>
                      <w:szCs w:val="21"/>
                      <w:highlight w:val="none"/>
                      <w:lang w:val="en-US" w:eastAsia="zh-CN"/>
                    </w:rPr>
                    <w:t>/</w:t>
                  </w:r>
                  <w:r>
                    <w:rPr>
                      <w:rFonts w:hint="default" w:ascii="Times New Roman" w:hAnsi="Times New Roman" w:eastAsia="宋体" w:cs="Times New Roman"/>
                      <w:color w:val="auto"/>
                      <w:spacing w:val="0"/>
                      <w:position w:val="0"/>
                      <w:sz w:val="21"/>
                      <w:szCs w:val="21"/>
                      <w:highlight w:val="none"/>
                    </w:rPr>
                    <w:t>μg/m</w:t>
                  </w:r>
                  <w:r>
                    <w:rPr>
                      <w:rFonts w:hint="default" w:ascii="Times New Roman" w:hAnsi="Times New Roman" w:eastAsia="宋体" w:cs="Times New Roman"/>
                      <w:color w:val="auto"/>
                      <w:spacing w:val="0"/>
                      <w:position w:val="0"/>
                      <w:sz w:val="21"/>
                      <w:szCs w:val="21"/>
                      <w:highlight w:val="none"/>
                      <w:vertAlign w:val="superscript"/>
                    </w:rPr>
                    <w:t>3</w:t>
                  </w:r>
                </w:p>
              </w:tc>
              <w:tc>
                <w:tcPr>
                  <w:tcW w:w="649" w:type="pct"/>
                  <w:vMerge w:val="restart"/>
                  <w:noWrap w:val="0"/>
                  <w:vAlign w:val="center"/>
                </w:tcPr>
                <w:p w14:paraId="1ECA98F5">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监测浓度范围</w:t>
                  </w:r>
                  <w:r>
                    <w:rPr>
                      <w:rFonts w:hint="default" w:ascii="Times New Roman" w:hAnsi="Times New Roman" w:cs="Times New Roman"/>
                      <w:color w:val="auto"/>
                      <w:spacing w:val="0"/>
                      <w:position w:val="0"/>
                      <w:sz w:val="21"/>
                      <w:szCs w:val="21"/>
                      <w:highlight w:val="none"/>
                      <w:lang w:val="en-US" w:eastAsia="zh-CN"/>
                    </w:rPr>
                    <w:t>/</w:t>
                  </w:r>
                  <w:r>
                    <w:rPr>
                      <w:rFonts w:hint="default" w:ascii="Times New Roman" w:hAnsi="Times New Roman" w:eastAsia="宋体" w:cs="Times New Roman"/>
                      <w:color w:val="auto"/>
                      <w:spacing w:val="0"/>
                      <w:position w:val="0"/>
                      <w:sz w:val="21"/>
                      <w:szCs w:val="21"/>
                      <w:highlight w:val="none"/>
                    </w:rPr>
                    <w:t>μg/m</w:t>
                  </w:r>
                  <w:r>
                    <w:rPr>
                      <w:rFonts w:hint="default" w:ascii="Times New Roman" w:hAnsi="Times New Roman" w:eastAsia="宋体" w:cs="Times New Roman"/>
                      <w:color w:val="auto"/>
                      <w:spacing w:val="0"/>
                      <w:position w:val="0"/>
                      <w:sz w:val="21"/>
                      <w:szCs w:val="21"/>
                      <w:highlight w:val="none"/>
                      <w:vertAlign w:val="superscript"/>
                    </w:rPr>
                    <w:t>3</w:t>
                  </w:r>
                </w:p>
              </w:tc>
              <w:tc>
                <w:tcPr>
                  <w:tcW w:w="525" w:type="pct"/>
                  <w:vMerge w:val="restart"/>
                  <w:noWrap w:val="0"/>
                  <w:vAlign w:val="center"/>
                </w:tcPr>
                <w:p w14:paraId="79400407">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最大浓度占标率/%</w:t>
                  </w:r>
                </w:p>
              </w:tc>
              <w:tc>
                <w:tcPr>
                  <w:tcW w:w="318" w:type="pct"/>
                  <w:vMerge w:val="restart"/>
                  <w:noWrap w:val="0"/>
                  <w:vAlign w:val="center"/>
                </w:tcPr>
                <w:p w14:paraId="17D7F255">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超标率/%</w:t>
                  </w:r>
                </w:p>
              </w:tc>
              <w:tc>
                <w:tcPr>
                  <w:tcW w:w="334" w:type="pct"/>
                  <w:vMerge w:val="restart"/>
                  <w:noWrap w:val="0"/>
                  <w:vAlign w:val="center"/>
                </w:tcPr>
                <w:p w14:paraId="145ED171">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达标情况</w:t>
                  </w:r>
                </w:p>
              </w:tc>
            </w:tr>
            <w:tr w14:paraId="6F60EC5B">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556" w:type="pct"/>
                  <w:vMerge w:val="continue"/>
                  <w:noWrap w:val="0"/>
                  <w:vAlign w:val="center"/>
                </w:tcPr>
                <w:p w14:paraId="3911F471">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p>
              </w:tc>
              <w:tc>
                <w:tcPr>
                  <w:tcW w:w="545" w:type="pct"/>
                  <w:noWrap w:val="0"/>
                  <w:vAlign w:val="center"/>
                </w:tcPr>
                <w:p w14:paraId="6CA03737">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X</w:t>
                  </w:r>
                </w:p>
              </w:tc>
              <w:tc>
                <w:tcPr>
                  <w:tcW w:w="470" w:type="pct"/>
                  <w:noWrap w:val="0"/>
                  <w:vAlign w:val="center"/>
                </w:tcPr>
                <w:p w14:paraId="34B66544">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Y</w:t>
                  </w:r>
                </w:p>
              </w:tc>
              <w:tc>
                <w:tcPr>
                  <w:tcW w:w="366" w:type="pct"/>
                  <w:vMerge w:val="continue"/>
                  <w:noWrap w:val="0"/>
                  <w:vAlign w:val="center"/>
                </w:tcPr>
                <w:p w14:paraId="1EDC1ADC">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p>
              </w:tc>
              <w:tc>
                <w:tcPr>
                  <w:tcW w:w="583" w:type="pct"/>
                  <w:vMerge w:val="continue"/>
                  <w:noWrap w:val="0"/>
                  <w:vAlign w:val="center"/>
                </w:tcPr>
                <w:p w14:paraId="2E25F4FD">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p>
              </w:tc>
              <w:tc>
                <w:tcPr>
                  <w:tcW w:w="649" w:type="pct"/>
                  <w:vMerge w:val="continue"/>
                  <w:noWrap w:val="0"/>
                  <w:vAlign w:val="center"/>
                </w:tcPr>
                <w:p w14:paraId="1FCF3836">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p>
              </w:tc>
              <w:tc>
                <w:tcPr>
                  <w:tcW w:w="649" w:type="pct"/>
                  <w:vMerge w:val="continue"/>
                  <w:noWrap w:val="0"/>
                  <w:vAlign w:val="center"/>
                </w:tcPr>
                <w:p w14:paraId="7FB814DC">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p>
              </w:tc>
              <w:tc>
                <w:tcPr>
                  <w:tcW w:w="525" w:type="pct"/>
                  <w:vMerge w:val="continue"/>
                  <w:noWrap w:val="0"/>
                  <w:vAlign w:val="center"/>
                </w:tcPr>
                <w:p w14:paraId="60ED59C8">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p>
              </w:tc>
              <w:tc>
                <w:tcPr>
                  <w:tcW w:w="318" w:type="pct"/>
                  <w:vMerge w:val="continue"/>
                  <w:noWrap w:val="0"/>
                  <w:vAlign w:val="center"/>
                </w:tcPr>
                <w:p w14:paraId="05924361">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p>
              </w:tc>
              <w:tc>
                <w:tcPr>
                  <w:tcW w:w="334" w:type="pct"/>
                  <w:vMerge w:val="continue"/>
                  <w:noWrap w:val="0"/>
                  <w:vAlign w:val="center"/>
                </w:tcPr>
                <w:p w14:paraId="67E508E7">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p>
              </w:tc>
            </w:tr>
            <w:tr w14:paraId="63DF2C3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427" w:hRule="atLeast"/>
                <w:jc w:val="center"/>
              </w:trPr>
              <w:tc>
                <w:tcPr>
                  <w:tcW w:w="556" w:type="pct"/>
                  <w:noWrap w:val="0"/>
                  <w:vAlign w:val="center"/>
                </w:tcPr>
                <w:p w14:paraId="3F286631">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引用监测点位</w:t>
                  </w:r>
                </w:p>
              </w:tc>
              <w:tc>
                <w:tcPr>
                  <w:tcW w:w="545" w:type="pct"/>
                  <w:noWrap w:val="0"/>
                  <w:vAlign w:val="center"/>
                </w:tcPr>
                <w:p w14:paraId="3C1C1C27">
                  <w:pPr>
                    <w:keepNext w:val="0"/>
                    <w:keepLines w:val="0"/>
                    <w:pageBreakBefore w:val="0"/>
                    <w:kinsoku/>
                    <w:wordWrap/>
                    <w:overflowPunct/>
                    <w:topLinePunct w:val="0"/>
                    <w:bidi w:val="0"/>
                    <w:adjustRightInd w:val="0"/>
                    <w:snapToGrid w:val="0"/>
                    <w:spacing w:beforeAutospacing="0" w:afterAutospacing="0" w:line="240" w:lineRule="atLeast"/>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cs="Times New Roman"/>
                      <w:color w:val="auto"/>
                      <w:spacing w:val="0"/>
                      <w:position w:val="0"/>
                      <w:szCs w:val="21"/>
                      <w:highlight w:val="none"/>
                      <w:lang w:val="en-US" w:eastAsia="zh-CN"/>
                    </w:rPr>
                    <w:t>130.705901</w:t>
                  </w:r>
                </w:p>
              </w:tc>
              <w:tc>
                <w:tcPr>
                  <w:tcW w:w="470" w:type="pct"/>
                  <w:noWrap w:val="0"/>
                  <w:vAlign w:val="center"/>
                </w:tcPr>
                <w:p w14:paraId="4FBD3783">
                  <w:pPr>
                    <w:keepNext w:val="0"/>
                    <w:keepLines w:val="0"/>
                    <w:pageBreakBefore w:val="0"/>
                    <w:kinsoku/>
                    <w:wordWrap/>
                    <w:overflowPunct/>
                    <w:topLinePunct w:val="0"/>
                    <w:bidi w:val="0"/>
                    <w:adjustRightInd w:val="0"/>
                    <w:snapToGrid w:val="0"/>
                    <w:spacing w:beforeAutospacing="0" w:afterAutospacing="0" w:line="240" w:lineRule="atLeast"/>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cs="Times New Roman"/>
                      <w:color w:val="auto"/>
                      <w:spacing w:val="0"/>
                      <w:position w:val="0"/>
                      <w:szCs w:val="21"/>
                      <w:highlight w:val="none"/>
                      <w:lang w:val="en-US" w:eastAsia="zh-CN"/>
                    </w:rPr>
                    <w:t>47.013444</w:t>
                  </w:r>
                </w:p>
              </w:tc>
              <w:tc>
                <w:tcPr>
                  <w:tcW w:w="366" w:type="pct"/>
                  <w:noWrap w:val="0"/>
                  <w:vAlign w:val="center"/>
                </w:tcPr>
                <w:p w14:paraId="3BDE6658">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TSP</w:t>
                  </w:r>
                </w:p>
              </w:tc>
              <w:tc>
                <w:tcPr>
                  <w:tcW w:w="583" w:type="pct"/>
                  <w:noWrap w:val="0"/>
                  <w:vAlign w:val="center"/>
                </w:tcPr>
                <w:p w14:paraId="0AFF0B8A">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24小时平均值</w:t>
                  </w:r>
                </w:p>
              </w:tc>
              <w:tc>
                <w:tcPr>
                  <w:tcW w:w="649" w:type="pct"/>
                  <w:noWrap w:val="0"/>
                  <w:vAlign w:val="center"/>
                </w:tcPr>
                <w:p w14:paraId="0FD4DBFD">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300</w:t>
                  </w:r>
                </w:p>
              </w:tc>
              <w:tc>
                <w:tcPr>
                  <w:tcW w:w="649" w:type="pct"/>
                  <w:noWrap w:val="0"/>
                  <w:vAlign w:val="center"/>
                </w:tcPr>
                <w:p w14:paraId="40C8D3F7">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rPr>
                    <w:t>1</w:t>
                  </w:r>
                  <w:r>
                    <w:rPr>
                      <w:rFonts w:hint="default" w:ascii="Times New Roman" w:hAnsi="Times New Roman" w:cs="Times New Roman"/>
                      <w:color w:val="auto"/>
                      <w:spacing w:val="0"/>
                      <w:position w:val="0"/>
                      <w:sz w:val="21"/>
                      <w:szCs w:val="21"/>
                      <w:highlight w:val="none"/>
                      <w:lang w:val="en-US" w:eastAsia="zh-CN"/>
                    </w:rPr>
                    <w:t>54</w:t>
                  </w:r>
                  <w:r>
                    <w:rPr>
                      <w:rFonts w:hint="default" w:ascii="Times New Roman" w:hAnsi="Times New Roman" w:eastAsia="宋体" w:cs="Times New Roman"/>
                      <w:color w:val="auto"/>
                      <w:spacing w:val="0"/>
                      <w:position w:val="0"/>
                      <w:sz w:val="21"/>
                      <w:szCs w:val="21"/>
                      <w:highlight w:val="none"/>
                    </w:rPr>
                    <w:t>~</w:t>
                  </w:r>
                  <w:r>
                    <w:rPr>
                      <w:rFonts w:hint="default" w:ascii="Times New Roman" w:hAnsi="Times New Roman" w:cs="Times New Roman"/>
                      <w:color w:val="auto"/>
                      <w:spacing w:val="0"/>
                      <w:position w:val="0"/>
                      <w:sz w:val="21"/>
                      <w:szCs w:val="21"/>
                      <w:highlight w:val="none"/>
                      <w:lang w:val="en-US" w:eastAsia="zh-CN"/>
                    </w:rPr>
                    <w:t>171</w:t>
                  </w:r>
                </w:p>
              </w:tc>
              <w:tc>
                <w:tcPr>
                  <w:tcW w:w="525" w:type="pct"/>
                  <w:noWrap w:val="0"/>
                  <w:vAlign w:val="center"/>
                </w:tcPr>
                <w:p w14:paraId="60B9F313">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lang w:val="en-US" w:eastAsia="zh-CN"/>
                    </w:rPr>
                    <w:t>57</w:t>
                  </w:r>
                  <w:r>
                    <w:rPr>
                      <w:rFonts w:hint="default" w:ascii="Times New Roman" w:hAnsi="Times New Roman" w:eastAsia="宋体" w:cs="Times New Roman"/>
                      <w:color w:val="auto"/>
                      <w:spacing w:val="0"/>
                      <w:position w:val="0"/>
                      <w:sz w:val="21"/>
                      <w:szCs w:val="21"/>
                      <w:highlight w:val="none"/>
                    </w:rPr>
                    <w:t>%</w:t>
                  </w:r>
                </w:p>
              </w:tc>
              <w:tc>
                <w:tcPr>
                  <w:tcW w:w="318" w:type="pct"/>
                  <w:noWrap w:val="0"/>
                  <w:vAlign w:val="center"/>
                </w:tcPr>
                <w:p w14:paraId="573D7099">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w:t>
                  </w:r>
                </w:p>
              </w:tc>
              <w:tc>
                <w:tcPr>
                  <w:tcW w:w="334" w:type="pct"/>
                  <w:noWrap w:val="0"/>
                  <w:vAlign w:val="center"/>
                </w:tcPr>
                <w:p w14:paraId="56214A2D">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达标</w:t>
                  </w:r>
                </w:p>
              </w:tc>
            </w:tr>
          </w:tbl>
          <w:p w14:paraId="0E25BA80">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jc w:val="both"/>
              <w:rPr>
                <w:rFonts w:hint="default" w:ascii="Times New Roman" w:hAnsi="Times New Roman" w:eastAsia="宋体" w:cs="Times New Roman"/>
                <w:b/>
                <w:bCs w:val="0"/>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根据监测结果可知：本项目下风向TSP 24小时平均浓度满足《环境空气质量标准》（GB3095</w:t>
            </w:r>
            <w:r>
              <w:rPr>
                <w:rFonts w:hint="default" w:ascii="Times New Roman" w:hAnsi="Times New Roman" w:eastAsia="宋体" w:cs="Times New Roman"/>
                <w:color w:val="auto"/>
                <w:spacing w:val="0"/>
                <w:position w:val="0"/>
                <w:sz w:val="24"/>
                <w:szCs w:val="24"/>
                <w:highlight w:val="none"/>
              </w:rPr>
              <w:sym w:font="Symbol" w:char="F02D"/>
            </w:r>
            <w:r>
              <w:rPr>
                <w:rFonts w:hint="default" w:ascii="Times New Roman" w:hAnsi="Times New Roman" w:eastAsia="宋体" w:cs="Times New Roman"/>
                <w:color w:val="auto"/>
                <w:spacing w:val="0"/>
                <w:position w:val="0"/>
                <w:sz w:val="24"/>
                <w:szCs w:val="24"/>
                <w:highlight w:val="none"/>
              </w:rPr>
              <w:t>20</w:t>
            </w:r>
            <w:r>
              <w:rPr>
                <w:rFonts w:hint="default" w:ascii="Times New Roman" w:hAnsi="Times New Roman" w:cs="Times New Roman"/>
                <w:color w:val="auto"/>
                <w:spacing w:val="0"/>
                <w:position w:val="0"/>
                <w:sz w:val="24"/>
                <w:szCs w:val="24"/>
                <w:highlight w:val="none"/>
                <w:lang w:val="en-US" w:eastAsia="zh-CN"/>
              </w:rPr>
              <w:t>26</w:t>
            </w:r>
            <w:r>
              <w:rPr>
                <w:rFonts w:hint="default" w:ascii="Times New Roman" w:hAnsi="Times New Roman" w:eastAsia="宋体" w:cs="Times New Roman"/>
                <w:color w:val="auto"/>
                <w:spacing w:val="0"/>
                <w:position w:val="0"/>
                <w:sz w:val="24"/>
                <w:szCs w:val="24"/>
                <w:highlight w:val="none"/>
              </w:rPr>
              <w:t>）</w:t>
            </w:r>
            <w:r>
              <w:rPr>
                <w:rFonts w:hint="default" w:ascii="Times New Roman" w:hAnsi="Times New Roman" w:cs="Times New Roman"/>
                <w:color w:val="auto"/>
                <w:spacing w:val="0"/>
                <w:position w:val="0"/>
                <w:sz w:val="24"/>
                <w:szCs w:val="24"/>
                <w:highlight w:val="none"/>
                <w:lang w:val="en-US" w:eastAsia="zh-CN"/>
              </w:rPr>
              <w:t>表2</w:t>
            </w:r>
            <w:r>
              <w:rPr>
                <w:rFonts w:hint="default" w:ascii="Times New Roman" w:hAnsi="Times New Roman" w:eastAsia="宋体" w:cs="Times New Roman"/>
                <w:color w:val="auto"/>
                <w:spacing w:val="0"/>
                <w:position w:val="0"/>
                <w:sz w:val="24"/>
                <w:szCs w:val="24"/>
                <w:highlight w:val="none"/>
              </w:rPr>
              <w:t>二级标准的要求。</w:t>
            </w:r>
          </w:p>
          <w:p w14:paraId="21CF6275">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jc w:val="both"/>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（二）水环境质量现状</w:t>
            </w:r>
          </w:p>
          <w:p w14:paraId="6A1A1697">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根据《全国重要江河湖泊水功能区划》（2011-2030年），</w:t>
            </w:r>
            <w:r>
              <w:rPr>
                <w:rFonts w:hint="default" w:ascii="Times New Roman" w:hAnsi="Times New Roman" w:cs="Times New Roman"/>
                <w:color w:val="auto"/>
                <w:spacing w:val="0"/>
                <w:position w:val="0"/>
                <w:sz w:val="24"/>
                <w:szCs w:val="24"/>
                <w:highlight w:val="none"/>
                <w:lang w:val="en-US" w:eastAsia="zh-CN"/>
              </w:rPr>
              <w:t>本项目地表水体为松花江（中和村—福合村断面），松花江该段</w:t>
            </w:r>
            <w:r>
              <w:rPr>
                <w:rFonts w:hint="default" w:ascii="Times New Roman" w:hAnsi="Times New Roman" w:eastAsia="宋体" w:cs="Times New Roman"/>
                <w:color w:val="auto"/>
                <w:spacing w:val="0"/>
                <w:position w:val="0"/>
                <w:sz w:val="24"/>
                <w:szCs w:val="24"/>
                <w:highlight w:val="none"/>
              </w:rPr>
              <w:t>水环境质量属</w:t>
            </w:r>
            <w:r>
              <w:rPr>
                <w:rFonts w:hint="default" w:ascii="Times New Roman" w:hAnsi="Times New Roman" w:eastAsia="微软雅黑" w:cs="Times New Roman"/>
                <w:color w:val="auto"/>
                <w:spacing w:val="0"/>
                <w:position w:val="0"/>
                <w:sz w:val="24"/>
                <w:szCs w:val="24"/>
                <w:highlight w:val="none"/>
              </w:rPr>
              <w:t>Ⅲ</w:t>
            </w:r>
            <w:r>
              <w:rPr>
                <w:rFonts w:hint="default" w:ascii="Times New Roman" w:hAnsi="Times New Roman" w:eastAsia="宋体" w:cs="Times New Roman"/>
                <w:color w:val="auto"/>
                <w:spacing w:val="0"/>
                <w:position w:val="0"/>
                <w:sz w:val="24"/>
                <w:szCs w:val="24"/>
                <w:highlight w:val="none"/>
              </w:rPr>
              <w:t>类功能区。</w:t>
            </w:r>
          </w:p>
          <w:p w14:paraId="23F65F78">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lang w:eastAsia="zh-CN"/>
              </w:rPr>
            </w:pPr>
            <w:r>
              <w:rPr>
                <w:rFonts w:hint="default" w:ascii="Times New Roman" w:hAnsi="Times New Roman" w:eastAsia="宋体" w:cs="Times New Roman"/>
                <w:smallCaps w:val="0"/>
                <w:color w:val="auto"/>
                <w:spacing w:val="0"/>
                <w:kern w:val="21"/>
                <w:position w:val="0"/>
                <w:sz w:val="24"/>
                <w:szCs w:val="24"/>
                <w:highlight w:val="none"/>
              </w:rPr>
              <w:t>根据佳木斯市人民政府发布的《202</w:t>
            </w:r>
            <w:r>
              <w:rPr>
                <w:rFonts w:hint="default" w:ascii="Times New Roman" w:hAnsi="Times New Roman" w:eastAsia="宋体" w:cs="Times New Roman"/>
                <w:smallCaps w:val="0"/>
                <w:color w:val="auto"/>
                <w:spacing w:val="0"/>
                <w:kern w:val="21"/>
                <w:position w:val="0"/>
                <w:sz w:val="24"/>
                <w:szCs w:val="24"/>
                <w:highlight w:val="none"/>
                <w:lang w:val="en-US" w:eastAsia="zh-CN"/>
              </w:rPr>
              <w:t>4</w:t>
            </w:r>
            <w:r>
              <w:rPr>
                <w:rFonts w:hint="default" w:ascii="Times New Roman" w:hAnsi="Times New Roman" w:eastAsia="宋体" w:cs="Times New Roman"/>
                <w:smallCaps w:val="0"/>
                <w:color w:val="auto"/>
                <w:spacing w:val="0"/>
                <w:kern w:val="21"/>
                <w:position w:val="0"/>
                <w:sz w:val="24"/>
                <w:szCs w:val="24"/>
                <w:highlight w:val="none"/>
              </w:rPr>
              <w:t>年佳木斯市生态环境质量简报》</w:t>
            </w:r>
            <w:r>
              <w:rPr>
                <w:rFonts w:hint="default" w:ascii="Times New Roman" w:hAnsi="Times New Roman" w:eastAsia="宋体" w:cs="Times New Roman"/>
                <w:color w:val="auto"/>
                <w:spacing w:val="0"/>
                <w:position w:val="0"/>
                <w:sz w:val="24"/>
                <w:szCs w:val="24"/>
                <w:highlight w:val="none"/>
                <w:lang w:eastAsia="zh-CN"/>
              </w:rPr>
              <w:t>，2024年，松花江佳木斯江段干流及支流断面共6个，Ⅰ-Ⅲ类水质比例为100%。</w:t>
            </w:r>
            <w:r>
              <w:rPr>
                <w:rFonts w:hint="default" w:ascii="Times New Roman" w:hAnsi="Times New Roman" w:eastAsia="宋体" w:cs="Times New Roman"/>
                <w:color w:val="auto"/>
                <w:spacing w:val="0"/>
                <w:position w:val="0"/>
                <w:sz w:val="24"/>
                <w:szCs w:val="24"/>
                <w:highlight w:val="none"/>
                <w:lang w:val="en-US" w:eastAsia="zh-CN"/>
              </w:rPr>
              <w:t>因此，</w:t>
            </w:r>
            <w:r>
              <w:rPr>
                <w:rFonts w:hint="default" w:ascii="Times New Roman" w:hAnsi="Times New Roman" w:eastAsia="宋体" w:cs="Times New Roman"/>
                <w:color w:val="auto"/>
                <w:spacing w:val="0"/>
                <w:position w:val="0"/>
                <w:sz w:val="24"/>
                <w:szCs w:val="24"/>
                <w:highlight w:val="none"/>
                <w:lang w:eastAsia="zh-CN"/>
              </w:rPr>
              <w:t>202</w:t>
            </w:r>
            <w:r>
              <w:rPr>
                <w:rFonts w:hint="default" w:ascii="Times New Roman" w:hAnsi="Times New Roman" w:eastAsia="宋体" w:cs="Times New Roman"/>
                <w:color w:val="auto"/>
                <w:spacing w:val="0"/>
                <w:position w:val="0"/>
                <w:sz w:val="24"/>
                <w:szCs w:val="24"/>
                <w:highlight w:val="none"/>
                <w:lang w:val="en-US" w:eastAsia="zh-CN"/>
              </w:rPr>
              <w:t>4</w:t>
            </w:r>
            <w:r>
              <w:rPr>
                <w:rFonts w:hint="default" w:ascii="Times New Roman" w:hAnsi="Times New Roman" w:eastAsia="宋体" w:cs="Times New Roman"/>
                <w:color w:val="auto"/>
                <w:spacing w:val="0"/>
                <w:position w:val="0"/>
                <w:sz w:val="24"/>
                <w:szCs w:val="24"/>
                <w:highlight w:val="none"/>
                <w:lang w:eastAsia="zh-CN"/>
              </w:rPr>
              <w:t>年松花江（中和村</w:t>
            </w:r>
            <w:r>
              <w:rPr>
                <w:rFonts w:hint="default" w:ascii="Times New Roman" w:hAnsi="Times New Roman" w:cs="Times New Roman"/>
                <w:color w:val="auto"/>
                <w:spacing w:val="0"/>
                <w:position w:val="0"/>
                <w:sz w:val="24"/>
                <w:szCs w:val="24"/>
                <w:highlight w:val="none"/>
                <w:lang w:val="en-US" w:eastAsia="zh-CN"/>
              </w:rPr>
              <w:t>—</w:t>
            </w:r>
            <w:r>
              <w:rPr>
                <w:rFonts w:hint="default" w:ascii="Times New Roman" w:hAnsi="Times New Roman" w:eastAsia="宋体" w:cs="Times New Roman"/>
                <w:color w:val="auto"/>
                <w:spacing w:val="0"/>
                <w:position w:val="0"/>
                <w:sz w:val="24"/>
                <w:szCs w:val="24"/>
                <w:highlight w:val="none"/>
                <w:lang w:eastAsia="zh-CN"/>
              </w:rPr>
              <w:t>福合村断面）水质现状符合《地表水环境质量标准》（GB3838-2002）Ⅲ类标准</w:t>
            </w:r>
            <w:r>
              <w:rPr>
                <w:rFonts w:hint="default" w:ascii="Times New Roman" w:hAnsi="Times New Roman" w:eastAsia="宋体" w:cs="Times New Roman"/>
                <w:color w:val="auto"/>
                <w:spacing w:val="0"/>
                <w:position w:val="0"/>
                <w:sz w:val="24"/>
                <w:szCs w:val="24"/>
                <w:highlight w:val="none"/>
                <w:lang w:val="en-US" w:eastAsia="zh-CN"/>
              </w:rPr>
              <w:t>要求</w:t>
            </w:r>
            <w:r>
              <w:rPr>
                <w:rFonts w:hint="default" w:ascii="Times New Roman" w:hAnsi="Times New Roman" w:eastAsia="宋体" w:cs="Times New Roman"/>
                <w:color w:val="auto"/>
                <w:spacing w:val="0"/>
                <w:position w:val="0"/>
                <w:sz w:val="24"/>
                <w:szCs w:val="24"/>
                <w:highlight w:val="none"/>
                <w:lang w:eastAsia="zh-CN"/>
              </w:rPr>
              <w:t>。</w:t>
            </w:r>
          </w:p>
          <w:p w14:paraId="78937C6E">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（三）声环境质量现状</w:t>
            </w:r>
          </w:p>
          <w:p w14:paraId="31EE8E69">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根据《建设项目环境影响报告表编制技术指南（污染影响类）（试行）》，厂界外周边50米范围内无声环境保护目标的建设项目，应监测保护目标声环境质量现状并评价达标情况。本项目周边50m范围内无居民点，因此不进行监测。</w:t>
            </w:r>
          </w:p>
          <w:p w14:paraId="201C71C1">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smallCaps w:val="0"/>
                <w:color w:val="auto"/>
                <w:spacing w:val="0"/>
                <w:kern w:val="21"/>
                <w:position w:val="0"/>
                <w:sz w:val="24"/>
                <w:szCs w:val="24"/>
                <w:highlight w:val="none"/>
              </w:rPr>
              <w:t>根据佳木斯市人民政府发布的《202</w:t>
            </w:r>
            <w:r>
              <w:rPr>
                <w:rFonts w:hint="default" w:ascii="Times New Roman" w:hAnsi="Times New Roman" w:eastAsia="宋体" w:cs="Times New Roman"/>
                <w:smallCaps w:val="0"/>
                <w:color w:val="auto"/>
                <w:spacing w:val="0"/>
                <w:kern w:val="21"/>
                <w:position w:val="0"/>
                <w:sz w:val="24"/>
                <w:szCs w:val="24"/>
                <w:highlight w:val="none"/>
                <w:lang w:val="en-US" w:eastAsia="zh-CN"/>
              </w:rPr>
              <w:t>4</w:t>
            </w:r>
            <w:r>
              <w:rPr>
                <w:rFonts w:hint="default" w:ascii="Times New Roman" w:hAnsi="Times New Roman" w:eastAsia="宋体" w:cs="Times New Roman"/>
                <w:smallCaps w:val="0"/>
                <w:color w:val="auto"/>
                <w:spacing w:val="0"/>
                <w:kern w:val="21"/>
                <w:position w:val="0"/>
                <w:sz w:val="24"/>
                <w:szCs w:val="24"/>
                <w:highlight w:val="none"/>
              </w:rPr>
              <w:t>年佳木斯市生态环境质量简报》</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2024年，佳木斯市功能区声环境质量平均等效声级昼间为55.1分贝，夜间为46.8分贝。昼间功能区声环境质量平均等效声级范围为52.1-59.9分贝，夜间范围为41.4-51.8分贝。与上年相比，昼间、夜间平均等效声级保持稳定，均无明显变化。</w:t>
            </w:r>
          </w:p>
          <w:p w14:paraId="66E5C2A7">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（四）生态环境</w:t>
            </w:r>
          </w:p>
          <w:p w14:paraId="25CDEE57">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kern w:val="0"/>
                <w:position w:val="0"/>
                <w:szCs w:val="21"/>
                <w:highlight w:val="none"/>
                <w:lang w:eastAsia="zh-CN"/>
              </w:rPr>
            </w:pPr>
            <w:r>
              <w:rPr>
                <w:rFonts w:hint="default" w:ascii="Times New Roman" w:hAnsi="Times New Roman" w:eastAsia="宋体" w:cs="Times New Roman"/>
                <w:color w:val="auto"/>
                <w:spacing w:val="0"/>
                <w:position w:val="0"/>
                <w:sz w:val="24"/>
                <w:szCs w:val="24"/>
                <w:highlight w:val="none"/>
              </w:rPr>
              <w:t>本项目在现有</w:t>
            </w:r>
            <w:r>
              <w:rPr>
                <w:rFonts w:hint="default" w:ascii="Times New Roman" w:hAnsi="Times New Roman" w:cs="Times New Roman"/>
                <w:color w:val="auto"/>
                <w:spacing w:val="0"/>
                <w:position w:val="0"/>
                <w:sz w:val="24"/>
                <w:szCs w:val="24"/>
                <w:highlight w:val="none"/>
                <w:lang w:val="en-US" w:eastAsia="zh-CN"/>
              </w:rPr>
              <w:t>厂区院</w:t>
            </w:r>
            <w:r>
              <w:rPr>
                <w:rFonts w:hint="default" w:ascii="Times New Roman" w:hAnsi="Times New Roman" w:eastAsia="宋体" w:cs="Times New Roman"/>
                <w:color w:val="auto"/>
                <w:spacing w:val="0"/>
                <w:position w:val="0"/>
                <w:sz w:val="24"/>
                <w:szCs w:val="24"/>
                <w:highlight w:val="none"/>
              </w:rPr>
              <w:t>内</w:t>
            </w:r>
            <w:r>
              <w:rPr>
                <w:rFonts w:hint="default" w:ascii="Times New Roman" w:hAnsi="Times New Roman" w:cs="Times New Roman"/>
                <w:color w:val="auto"/>
                <w:spacing w:val="0"/>
                <w:position w:val="0"/>
                <w:sz w:val="24"/>
                <w:szCs w:val="24"/>
                <w:highlight w:val="none"/>
                <w:lang w:val="en-US" w:eastAsia="zh-CN"/>
              </w:rPr>
              <w:t>建设</w:t>
            </w:r>
            <w:r>
              <w:rPr>
                <w:rFonts w:hint="default" w:ascii="Times New Roman" w:hAnsi="Times New Roman" w:eastAsia="宋体" w:cs="Times New Roman"/>
                <w:color w:val="auto"/>
                <w:spacing w:val="0"/>
                <w:position w:val="0"/>
                <w:sz w:val="24"/>
                <w:szCs w:val="24"/>
                <w:highlight w:val="none"/>
              </w:rPr>
              <w:t>，</w:t>
            </w:r>
            <w:r>
              <w:rPr>
                <w:rFonts w:hint="default" w:ascii="Times New Roman" w:hAnsi="Times New Roman" w:cs="Times New Roman"/>
                <w:color w:val="auto"/>
                <w:spacing w:val="0"/>
                <w:position w:val="0"/>
                <w:sz w:val="24"/>
                <w:szCs w:val="24"/>
                <w:highlight w:val="none"/>
                <w:lang w:val="en-US" w:eastAsia="zh-CN"/>
              </w:rPr>
              <w:t>用地性质为工业用地</w:t>
            </w:r>
            <w:r>
              <w:rPr>
                <w:rFonts w:hint="default" w:ascii="Times New Roman" w:hAnsi="Times New Roman" w:eastAsia="宋体" w:cs="Times New Roman"/>
                <w:color w:val="auto"/>
                <w:spacing w:val="0"/>
                <w:position w:val="0"/>
                <w:sz w:val="24"/>
                <w:szCs w:val="24"/>
                <w:highlight w:val="none"/>
              </w:rPr>
              <w:t>，占地范围内有无生态保护目标</w:t>
            </w:r>
            <w:r>
              <w:rPr>
                <w:rFonts w:hint="default" w:ascii="Times New Roman" w:hAnsi="Times New Roman" w:eastAsia="宋体" w:cs="Times New Roman"/>
                <w:color w:val="auto"/>
                <w:spacing w:val="0"/>
                <w:position w:val="0"/>
                <w:sz w:val="24"/>
                <w:szCs w:val="24"/>
                <w:highlight w:val="none"/>
                <w:lang w:eastAsia="zh-CN"/>
              </w:rPr>
              <w:t>。</w:t>
            </w:r>
          </w:p>
        </w:tc>
      </w:tr>
      <w:tr w14:paraId="3B35EF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95" w:hRule="atLeast"/>
          <w:jc w:val="center"/>
        </w:trPr>
        <w:tc>
          <w:tcPr>
            <w:tcW w:w="800" w:type="dxa"/>
            <w:noWrap w:val="0"/>
            <w:vAlign w:val="center"/>
          </w:tcPr>
          <w:p w14:paraId="28D9538B">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环境</w:t>
            </w:r>
          </w:p>
          <w:p w14:paraId="29678864">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保护</w:t>
            </w:r>
          </w:p>
          <w:p w14:paraId="3D3232E6">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目标</w:t>
            </w:r>
          </w:p>
        </w:tc>
        <w:tc>
          <w:tcPr>
            <w:tcW w:w="8190" w:type="dxa"/>
            <w:noWrap w:val="0"/>
            <w:vAlign w:val="center"/>
          </w:tcPr>
          <w:p w14:paraId="19B385CE">
            <w:pPr>
              <w:pStyle w:val="87"/>
              <w:keepNext w:val="0"/>
              <w:keepLines w:val="0"/>
              <w:pageBreakBefore w:val="0"/>
              <w:numPr>
                <w:ilvl w:val="0"/>
                <w:numId w:val="0"/>
              </w:numPr>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Cs/>
                <w:color w:val="auto"/>
                <w:spacing w:val="0"/>
                <w:kern w:val="2"/>
                <w:position w:val="0"/>
                <w:sz w:val="24"/>
                <w:szCs w:val="24"/>
                <w:highlight w:val="none"/>
                <w:lang w:val="en-US" w:eastAsia="zh-CN" w:bidi="ar-SA"/>
              </w:rPr>
              <w:t>1、</w:t>
            </w:r>
            <w:r>
              <w:rPr>
                <w:rFonts w:hint="default" w:ascii="Times New Roman" w:hAnsi="Times New Roman" w:eastAsia="宋体" w:cs="Times New Roman"/>
                <w:color w:val="auto"/>
                <w:spacing w:val="0"/>
                <w:position w:val="0"/>
                <w:sz w:val="24"/>
                <w:szCs w:val="24"/>
                <w:highlight w:val="none"/>
              </w:rPr>
              <w:t>大气环境</w:t>
            </w:r>
          </w:p>
          <w:p w14:paraId="1FF16BBD">
            <w:pPr>
              <w:pStyle w:val="87"/>
              <w:keepNext w:val="0"/>
              <w:keepLines w:val="0"/>
              <w:pageBreakBefore w:val="0"/>
              <w:numPr>
                <w:ilvl w:val="0"/>
                <w:numId w:val="0"/>
              </w:numPr>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根据《建设项目环境影响评价报告表编制技术指南》（污染影响类）及现状调查结果，本项目厂界外500m范围内无自然保护区、风景名胜区等保护目标，500米范围内大气环境保护目标为小区居民以及桦川县书香小学。本项目厂区占地范围为建设用地无主要生态影响。本项目涉及的大气环境保护目标详见表3-</w:t>
            </w:r>
            <w:r>
              <w:rPr>
                <w:rFonts w:hint="default" w:ascii="Times New Roman" w:hAnsi="Times New Roman" w:cs="Times New Roman"/>
                <w:color w:val="auto"/>
                <w:spacing w:val="0"/>
                <w:position w:val="0"/>
                <w:sz w:val="24"/>
                <w:szCs w:val="24"/>
                <w:highlight w:val="none"/>
                <w:lang w:val="en-US" w:eastAsia="zh-CN"/>
              </w:rPr>
              <w:t>4</w:t>
            </w:r>
            <w:r>
              <w:rPr>
                <w:rFonts w:hint="default" w:ascii="Times New Roman" w:hAnsi="Times New Roman" w:eastAsia="宋体" w:cs="Times New Roman"/>
                <w:color w:val="auto"/>
                <w:spacing w:val="0"/>
                <w:position w:val="0"/>
                <w:sz w:val="24"/>
                <w:szCs w:val="24"/>
                <w:highlight w:val="none"/>
              </w:rPr>
              <w:t>。</w:t>
            </w:r>
          </w:p>
          <w:p w14:paraId="20A162F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color w:val="auto"/>
                <w:spacing w:val="0"/>
                <w:position w:val="0"/>
                <w:sz w:val="24"/>
                <w:szCs w:val="24"/>
                <w:highlight w:val="none"/>
              </w:rPr>
            </w:pPr>
            <w:r>
              <w:rPr>
                <w:rFonts w:hint="default" w:ascii="Times New Roman" w:hAnsi="Times New Roman" w:eastAsia="宋体" w:cs="Times New Roman"/>
                <w:b/>
                <w:color w:val="auto"/>
                <w:spacing w:val="0"/>
                <w:position w:val="0"/>
                <w:sz w:val="24"/>
                <w:szCs w:val="24"/>
                <w:highlight w:val="none"/>
              </w:rPr>
              <w:t>表3-</w:t>
            </w:r>
            <w:r>
              <w:rPr>
                <w:rFonts w:hint="default" w:ascii="Times New Roman" w:hAnsi="Times New Roman" w:cs="Times New Roman"/>
                <w:b/>
                <w:color w:val="auto"/>
                <w:spacing w:val="0"/>
                <w:position w:val="0"/>
                <w:sz w:val="24"/>
                <w:szCs w:val="24"/>
                <w:highlight w:val="none"/>
                <w:lang w:val="en-US" w:eastAsia="zh-CN"/>
              </w:rPr>
              <w:t>4</w:t>
            </w:r>
            <w:r>
              <w:rPr>
                <w:rFonts w:hint="default" w:ascii="Times New Roman" w:hAnsi="Times New Roman" w:eastAsia="宋体" w:cs="Times New Roman"/>
                <w:b/>
                <w:color w:val="auto"/>
                <w:spacing w:val="0"/>
                <w:position w:val="0"/>
                <w:sz w:val="24"/>
                <w:szCs w:val="24"/>
                <w:highlight w:val="none"/>
              </w:rPr>
              <w:t xml:space="preserve"> 环境保护目标</w:t>
            </w:r>
          </w:p>
          <w:tbl>
            <w:tblPr>
              <w:tblStyle w:val="29"/>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591"/>
              <w:gridCol w:w="851"/>
              <w:gridCol w:w="1249"/>
              <w:gridCol w:w="1230"/>
              <w:gridCol w:w="585"/>
              <w:gridCol w:w="570"/>
              <w:gridCol w:w="1185"/>
              <w:gridCol w:w="810"/>
              <w:gridCol w:w="897"/>
            </w:tblGrid>
            <w:tr w14:paraId="75ED39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227" w:hRule="atLeast"/>
                <w:tblHeader/>
              </w:trPr>
              <w:tc>
                <w:tcPr>
                  <w:tcW w:w="370" w:type="pct"/>
                  <w:vMerge w:val="restart"/>
                  <w:noWrap w:val="0"/>
                  <w:vAlign w:val="center"/>
                </w:tcPr>
                <w:p w14:paraId="62210C5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环境要素</w:t>
                  </w:r>
                </w:p>
              </w:tc>
              <w:tc>
                <w:tcPr>
                  <w:tcW w:w="534" w:type="pct"/>
                  <w:vMerge w:val="restart"/>
                  <w:noWrap w:val="0"/>
                  <w:vAlign w:val="center"/>
                </w:tcPr>
                <w:p w14:paraId="16B4B77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名称</w:t>
                  </w:r>
                </w:p>
              </w:tc>
              <w:tc>
                <w:tcPr>
                  <w:tcW w:w="1555" w:type="pct"/>
                  <w:gridSpan w:val="2"/>
                  <w:noWrap w:val="0"/>
                  <w:vAlign w:val="center"/>
                </w:tcPr>
                <w:p w14:paraId="7F5D037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坐标</w:t>
                  </w:r>
                </w:p>
              </w:tc>
              <w:tc>
                <w:tcPr>
                  <w:tcW w:w="367" w:type="pct"/>
                  <w:vMerge w:val="restart"/>
                  <w:noWrap w:val="0"/>
                  <w:vAlign w:val="center"/>
                </w:tcPr>
                <w:p w14:paraId="47C6CE2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保护对象</w:t>
                  </w:r>
                </w:p>
              </w:tc>
              <w:tc>
                <w:tcPr>
                  <w:tcW w:w="357" w:type="pct"/>
                  <w:vMerge w:val="restart"/>
                  <w:noWrap w:val="0"/>
                  <w:vAlign w:val="center"/>
                </w:tcPr>
                <w:p w14:paraId="7928222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保护</w:t>
                  </w:r>
                </w:p>
                <w:p w14:paraId="1BA0949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内容</w:t>
                  </w:r>
                </w:p>
              </w:tc>
              <w:tc>
                <w:tcPr>
                  <w:tcW w:w="743" w:type="pct"/>
                  <w:vMerge w:val="restart"/>
                  <w:noWrap w:val="0"/>
                  <w:vAlign w:val="center"/>
                </w:tcPr>
                <w:p w14:paraId="1B37C4D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环境功能区</w:t>
                  </w:r>
                </w:p>
              </w:tc>
              <w:tc>
                <w:tcPr>
                  <w:tcW w:w="508" w:type="pct"/>
                  <w:vMerge w:val="restart"/>
                  <w:noWrap w:val="0"/>
                  <w:vAlign w:val="center"/>
                </w:tcPr>
                <w:p w14:paraId="3BDF48F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相对</w:t>
                  </w:r>
                  <w:r>
                    <w:rPr>
                      <w:rFonts w:hint="default" w:ascii="Times New Roman" w:hAnsi="Times New Roman" w:cs="Times New Roman"/>
                      <w:color w:val="auto"/>
                      <w:spacing w:val="0"/>
                      <w:position w:val="0"/>
                      <w:sz w:val="21"/>
                      <w:szCs w:val="21"/>
                      <w:highlight w:val="none"/>
                      <w:lang w:val="en-US" w:eastAsia="zh-CN"/>
                    </w:rPr>
                    <w:t>厂址</w:t>
                  </w:r>
                  <w:r>
                    <w:rPr>
                      <w:rFonts w:hint="default" w:ascii="Times New Roman" w:hAnsi="Times New Roman" w:eastAsia="宋体" w:cs="Times New Roman"/>
                      <w:color w:val="auto"/>
                      <w:spacing w:val="0"/>
                      <w:position w:val="0"/>
                      <w:sz w:val="21"/>
                      <w:szCs w:val="21"/>
                      <w:highlight w:val="none"/>
                    </w:rPr>
                    <w:t>方位</w:t>
                  </w:r>
                </w:p>
              </w:tc>
              <w:tc>
                <w:tcPr>
                  <w:tcW w:w="562" w:type="pct"/>
                  <w:vMerge w:val="restart"/>
                  <w:noWrap w:val="0"/>
                  <w:vAlign w:val="center"/>
                </w:tcPr>
                <w:p w14:paraId="7953558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相对</w:t>
                  </w:r>
                  <w:r>
                    <w:rPr>
                      <w:rFonts w:hint="default" w:ascii="Times New Roman" w:hAnsi="Times New Roman" w:cs="Times New Roman"/>
                      <w:color w:val="auto"/>
                      <w:spacing w:val="0"/>
                      <w:position w:val="0"/>
                      <w:sz w:val="21"/>
                      <w:szCs w:val="21"/>
                      <w:highlight w:val="none"/>
                      <w:lang w:val="en-US" w:eastAsia="zh-CN"/>
                    </w:rPr>
                    <w:t>厂界</w:t>
                  </w:r>
                  <w:r>
                    <w:rPr>
                      <w:rFonts w:hint="default" w:ascii="Times New Roman" w:hAnsi="Times New Roman" w:eastAsia="宋体" w:cs="Times New Roman"/>
                      <w:color w:val="auto"/>
                      <w:spacing w:val="0"/>
                      <w:position w:val="0"/>
                      <w:sz w:val="21"/>
                      <w:szCs w:val="21"/>
                      <w:highlight w:val="none"/>
                    </w:rPr>
                    <w:t>距离/m</w:t>
                  </w:r>
                </w:p>
              </w:tc>
            </w:tr>
            <w:tr w14:paraId="49B6E12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227" w:hRule="atLeast"/>
                <w:tblHeader/>
              </w:trPr>
              <w:tc>
                <w:tcPr>
                  <w:tcW w:w="370" w:type="pct"/>
                  <w:vMerge w:val="continue"/>
                  <w:noWrap w:val="0"/>
                  <w:vAlign w:val="center"/>
                </w:tcPr>
                <w:p w14:paraId="550B0B4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p>
              </w:tc>
              <w:tc>
                <w:tcPr>
                  <w:tcW w:w="534" w:type="pct"/>
                  <w:vMerge w:val="continue"/>
                  <w:noWrap w:val="0"/>
                  <w:vAlign w:val="center"/>
                </w:tcPr>
                <w:p w14:paraId="213F7E4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p>
              </w:tc>
              <w:tc>
                <w:tcPr>
                  <w:tcW w:w="783" w:type="pct"/>
                  <w:noWrap w:val="0"/>
                  <w:vAlign w:val="center"/>
                </w:tcPr>
                <w:p w14:paraId="4DF0B16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纬度（°）</w:t>
                  </w:r>
                </w:p>
              </w:tc>
              <w:tc>
                <w:tcPr>
                  <w:tcW w:w="771" w:type="pct"/>
                  <w:noWrap w:val="0"/>
                  <w:vAlign w:val="center"/>
                </w:tcPr>
                <w:p w14:paraId="1EF8A54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经度（°）</w:t>
                  </w:r>
                </w:p>
              </w:tc>
              <w:tc>
                <w:tcPr>
                  <w:tcW w:w="367" w:type="pct"/>
                  <w:vMerge w:val="continue"/>
                  <w:noWrap w:val="0"/>
                  <w:vAlign w:val="center"/>
                </w:tcPr>
                <w:p w14:paraId="1CE25A3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p>
              </w:tc>
              <w:tc>
                <w:tcPr>
                  <w:tcW w:w="357" w:type="pct"/>
                  <w:vMerge w:val="continue"/>
                  <w:noWrap w:val="0"/>
                  <w:vAlign w:val="center"/>
                </w:tcPr>
                <w:p w14:paraId="78BEA4A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p>
              </w:tc>
              <w:tc>
                <w:tcPr>
                  <w:tcW w:w="743" w:type="pct"/>
                  <w:vMerge w:val="continue"/>
                  <w:noWrap w:val="0"/>
                  <w:vAlign w:val="center"/>
                </w:tcPr>
                <w:p w14:paraId="3C1BDF1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p>
              </w:tc>
              <w:tc>
                <w:tcPr>
                  <w:tcW w:w="508" w:type="pct"/>
                  <w:vMerge w:val="continue"/>
                  <w:noWrap w:val="0"/>
                  <w:vAlign w:val="center"/>
                </w:tcPr>
                <w:p w14:paraId="09D3452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p>
              </w:tc>
              <w:tc>
                <w:tcPr>
                  <w:tcW w:w="562" w:type="pct"/>
                  <w:vMerge w:val="continue"/>
                  <w:noWrap w:val="0"/>
                  <w:vAlign w:val="center"/>
                </w:tcPr>
                <w:p w14:paraId="4B379D3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p>
              </w:tc>
            </w:tr>
            <w:tr w14:paraId="1698A33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620" w:hRule="atLeast"/>
                <w:tblHeader/>
              </w:trPr>
              <w:tc>
                <w:tcPr>
                  <w:tcW w:w="370" w:type="pct"/>
                  <w:vMerge w:val="restart"/>
                  <w:noWrap w:val="0"/>
                  <w:vAlign w:val="center"/>
                </w:tcPr>
                <w:p w14:paraId="0413742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大气环境</w:t>
                  </w:r>
                </w:p>
              </w:tc>
              <w:tc>
                <w:tcPr>
                  <w:tcW w:w="534" w:type="pct"/>
                  <w:shd w:val="clear" w:color="auto" w:fill="auto"/>
                  <w:noWrap w:val="0"/>
                  <w:vAlign w:val="center"/>
                </w:tcPr>
                <w:p w14:paraId="69E0C8F5">
                  <w:pPr>
                    <w:spacing w:line="320" w:lineRule="exact"/>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rPr>
                    <w:t>复烤场小区</w:t>
                  </w:r>
                </w:p>
              </w:tc>
              <w:tc>
                <w:tcPr>
                  <w:tcW w:w="783" w:type="pct"/>
                  <w:noWrap w:val="0"/>
                  <w:vAlign w:val="center"/>
                </w:tcPr>
                <w:p w14:paraId="6DBA309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130.725224</w:t>
                  </w:r>
                </w:p>
              </w:tc>
              <w:tc>
                <w:tcPr>
                  <w:tcW w:w="771" w:type="pct"/>
                  <w:noWrap w:val="0"/>
                  <w:vAlign w:val="center"/>
                </w:tcPr>
                <w:p w14:paraId="70D6C1E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47.004219</w:t>
                  </w:r>
                </w:p>
              </w:tc>
              <w:tc>
                <w:tcPr>
                  <w:tcW w:w="367" w:type="pct"/>
                  <w:vMerge w:val="restart"/>
                  <w:noWrap w:val="0"/>
                  <w:vAlign w:val="center"/>
                </w:tcPr>
                <w:p w14:paraId="27BB9AA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居住区</w:t>
                  </w:r>
                </w:p>
              </w:tc>
              <w:tc>
                <w:tcPr>
                  <w:tcW w:w="357" w:type="pct"/>
                  <w:vMerge w:val="restart"/>
                  <w:noWrap w:val="0"/>
                  <w:vAlign w:val="center"/>
                </w:tcPr>
                <w:p w14:paraId="0BB4B2C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人群</w:t>
                  </w:r>
                </w:p>
              </w:tc>
              <w:tc>
                <w:tcPr>
                  <w:tcW w:w="743" w:type="pct"/>
                  <w:vMerge w:val="restart"/>
                  <w:noWrap w:val="0"/>
                  <w:vAlign w:val="center"/>
                </w:tcPr>
                <w:p w14:paraId="563CA4F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《环境空气质量标准》</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GB3095-20</w:t>
                  </w:r>
                  <w:r>
                    <w:rPr>
                      <w:rFonts w:hint="default" w:ascii="Times New Roman" w:hAnsi="Times New Roman" w:cs="Times New Roman"/>
                      <w:color w:val="auto"/>
                      <w:spacing w:val="0"/>
                      <w:position w:val="0"/>
                      <w:sz w:val="21"/>
                      <w:szCs w:val="21"/>
                      <w:highlight w:val="none"/>
                      <w:lang w:val="en-US" w:eastAsia="zh-CN"/>
                    </w:rPr>
                    <w:t>26</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中的二级标准</w:t>
                  </w:r>
                </w:p>
              </w:tc>
              <w:tc>
                <w:tcPr>
                  <w:tcW w:w="508" w:type="pct"/>
                  <w:noWrap w:val="0"/>
                  <w:vAlign w:val="center"/>
                </w:tcPr>
                <w:p w14:paraId="343E3F5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NW</w:t>
                  </w:r>
                </w:p>
              </w:tc>
              <w:tc>
                <w:tcPr>
                  <w:tcW w:w="562" w:type="pct"/>
                  <w:noWrap w:val="0"/>
                  <w:vAlign w:val="center"/>
                </w:tcPr>
                <w:p w14:paraId="1B0F64D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240</w:t>
                  </w:r>
                </w:p>
              </w:tc>
            </w:tr>
            <w:tr w14:paraId="6E61BC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620" w:hRule="atLeast"/>
                <w:tblHeader/>
              </w:trPr>
              <w:tc>
                <w:tcPr>
                  <w:tcW w:w="370" w:type="pct"/>
                  <w:vMerge w:val="continue"/>
                  <w:noWrap w:val="0"/>
                  <w:vAlign w:val="center"/>
                </w:tcPr>
                <w:p w14:paraId="255F3F6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p>
              </w:tc>
              <w:tc>
                <w:tcPr>
                  <w:tcW w:w="534" w:type="pct"/>
                  <w:shd w:val="clear" w:color="auto" w:fill="auto"/>
                  <w:noWrap w:val="0"/>
                  <w:vAlign w:val="center"/>
                </w:tcPr>
                <w:p w14:paraId="0F206BFF">
                  <w:pPr>
                    <w:spacing w:line="240" w:lineRule="atLeast"/>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rPr>
                    <w:t>枫林嘉苑小区</w:t>
                  </w:r>
                </w:p>
              </w:tc>
              <w:tc>
                <w:tcPr>
                  <w:tcW w:w="783" w:type="pct"/>
                  <w:noWrap w:val="0"/>
                  <w:vAlign w:val="center"/>
                </w:tcPr>
                <w:p w14:paraId="4FCF3B2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130.724859</w:t>
                  </w:r>
                </w:p>
              </w:tc>
              <w:tc>
                <w:tcPr>
                  <w:tcW w:w="771" w:type="pct"/>
                  <w:noWrap w:val="0"/>
                  <w:vAlign w:val="center"/>
                </w:tcPr>
                <w:p w14:paraId="1D4088B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47.005178</w:t>
                  </w:r>
                </w:p>
              </w:tc>
              <w:tc>
                <w:tcPr>
                  <w:tcW w:w="367" w:type="pct"/>
                  <w:vMerge w:val="continue"/>
                  <w:noWrap w:val="0"/>
                  <w:vAlign w:val="center"/>
                </w:tcPr>
                <w:p w14:paraId="6ACCE5B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p>
              </w:tc>
              <w:tc>
                <w:tcPr>
                  <w:tcW w:w="357" w:type="pct"/>
                  <w:vMerge w:val="continue"/>
                  <w:noWrap w:val="0"/>
                  <w:vAlign w:val="center"/>
                </w:tcPr>
                <w:p w14:paraId="6E21741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p>
              </w:tc>
              <w:tc>
                <w:tcPr>
                  <w:tcW w:w="743" w:type="pct"/>
                  <w:vMerge w:val="continue"/>
                  <w:noWrap w:val="0"/>
                  <w:vAlign w:val="center"/>
                </w:tcPr>
                <w:p w14:paraId="62D8163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p>
              </w:tc>
              <w:tc>
                <w:tcPr>
                  <w:tcW w:w="508" w:type="pct"/>
                  <w:noWrap w:val="0"/>
                  <w:vAlign w:val="center"/>
                </w:tcPr>
                <w:p w14:paraId="31AFA9E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NW</w:t>
                  </w:r>
                </w:p>
              </w:tc>
              <w:tc>
                <w:tcPr>
                  <w:tcW w:w="562" w:type="pct"/>
                  <w:noWrap w:val="0"/>
                  <w:vAlign w:val="center"/>
                </w:tcPr>
                <w:p w14:paraId="1851DB7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rPr>
                    <w:t>3</w:t>
                  </w:r>
                  <w:r>
                    <w:rPr>
                      <w:rFonts w:hint="default" w:ascii="Times New Roman" w:hAnsi="Times New Roman" w:eastAsia="宋体" w:cs="Times New Roman"/>
                      <w:color w:val="auto"/>
                      <w:spacing w:val="0"/>
                      <w:position w:val="0"/>
                      <w:sz w:val="21"/>
                      <w:szCs w:val="21"/>
                      <w:highlight w:val="none"/>
                      <w:lang w:val="en-US" w:eastAsia="zh-CN"/>
                    </w:rPr>
                    <w:t>30</w:t>
                  </w:r>
                </w:p>
              </w:tc>
            </w:tr>
            <w:tr w14:paraId="3FFE0B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620" w:hRule="atLeast"/>
                <w:tblHeader/>
              </w:trPr>
              <w:tc>
                <w:tcPr>
                  <w:tcW w:w="370" w:type="pct"/>
                  <w:vMerge w:val="continue"/>
                  <w:noWrap w:val="0"/>
                  <w:vAlign w:val="center"/>
                </w:tcPr>
                <w:p w14:paraId="5110289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p>
              </w:tc>
              <w:tc>
                <w:tcPr>
                  <w:tcW w:w="534" w:type="pct"/>
                  <w:shd w:val="clear" w:color="auto" w:fill="auto"/>
                  <w:noWrap w:val="0"/>
                  <w:vAlign w:val="center"/>
                </w:tcPr>
                <w:p w14:paraId="6815B88D">
                  <w:pPr>
                    <w:spacing w:line="320" w:lineRule="exact"/>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rPr>
                    <w:t>枫林学府</w:t>
                  </w:r>
                </w:p>
              </w:tc>
              <w:tc>
                <w:tcPr>
                  <w:tcW w:w="783" w:type="pct"/>
                  <w:noWrap w:val="0"/>
                  <w:vAlign w:val="center"/>
                </w:tcPr>
                <w:p w14:paraId="2342994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130.724484</w:t>
                  </w:r>
                </w:p>
              </w:tc>
              <w:tc>
                <w:tcPr>
                  <w:tcW w:w="771" w:type="pct"/>
                  <w:noWrap w:val="0"/>
                  <w:vAlign w:val="center"/>
                </w:tcPr>
                <w:p w14:paraId="15ED73E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47.005924</w:t>
                  </w:r>
                </w:p>
              </w:tc>
              <w:tc>
                <w:tcPr>
                  <w:tcW w:w="367" w:type="pct"/>
                  <w:vMerge w:val="continue"/>
                  <w:noWrap w:val="0"/>
                  <w:vAlign w:val="center"/>
                </w:tcPr>
                <w:p w14:paraId="05A1526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p>
              </w:tc>
              <w:tc>
                <w:tcPr>
                  <w:tcW w:w="357" w:type="pct"/>
                  <w:vMerge w:val="continue"/>
                  <w:noWrap w:val="0"/>
                  <w:vAlign w:val="center"/>
                </w:tcPr>
                <w:p w14:paraId="06B14DF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p>
              </w:tc>
              <w:tc>
                <w:tcPr>
                  <w:tcW w:w="743" w:type="pct"/>
                  <w:vMerge w:val="continue"/>
                  <w:noWrap w:val="0"/>
                  <w:vAlign w:val="center"/>
                </w:tcPr>
                <w:p w14:paraId="05F91BB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p>
              </w:tc>
              <w:tc>
                <w:tcPr>
                  <w:tcW w:w="508" w:type="pct"/>
                  <w:noWrap w:val="0"/>
                  <w:vAlign w:val="center"/>
                </w:tcPr>
                <w:p w14:paraId="4E139CB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NW</w:t>
                  </w:r>
                </w:p>
              </w:tc>
              <w:tc>
                <w:tcPr>
                  <w:tcW w:w="562" w:type="pct"/>
                  <w:noWrap w:val="0"/>
                  <w:vAlign w:val="center"/>
                </w:tcPr>
                <w:p w14:paraId="3CABEDE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lang w:val="en-US" w:eastAsia="zh-CN"/>
                    </w:rPr>
                    <w:t>48</w:t>
                  </w:r>
                  <w:r>
                    <w:rPr>
                      <w:rFonts w:hint="default" w:ascii="Times New Roman" w:hAnsi="Times New Roman" w:eastAsia="宋体" w:cs="Times New Roman"/>
                      <w:color w:val="auto"/>
                      <w:spacing w:val="0"/>
                      <w:position w:val="0"/>
                      <w:sz w:val="21"/>
                      <w:szCs w:val="21"/>
                      <w:highlight w:val="none"/>
                    </w:rPr>
                    <w:t>0</w:t>
                  </w:r>
                </w:p>
              </w:tc>
            </w:tr>
          </w:tbl>
          <w:p w14:paraId="56E0BAD4">
            <w:pPr>
              <w:pStyle w:val="87"/>
              <w:keepNext w:val="0"/>
              <w:keepLines w:val="0"/>
              <w:pageBreakBefore w:val="0"/>
              <w:numPr>
                <w:ilvl w:val="0"/>
                <w:numId w:val="0"/>
              </w:numPr>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p>
          <w:p w14:paraId="3DB19AA7">
            <w:pPr>
              <w:pStyle w:val="87"/>
              <w:keepNext w:val="0"/>
              <w:keepLines w:val="0"/>
              <w:pageBreakBefore w:val="0"/>
              <w:numPr>
                <w:ilvl w:val="0"/>
                <w:numId w:val="0"/>
              </w:numPr>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p>
          <w:p w14:paraId="26E44AC8">
            <w:pPr>
              <w:pStyle w:val="87"/>
              <w:keepNext w:val="0"/>
              <w:keepLines w:val="0"/>
              <w:pageBreakBefore w:val="0"/>
              <w:numPr>
                <w:ilvl w:val="0"/>
                <w:numId w:val="0"/>
              </w:numPr>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p>
          <w:p w14:paraId="4C10EC9C">
            <w:pPr>
              <w:pStyle w:val="87"/>
              <w:keepNext w:val="0"/>
              <w:keepLines w:val="0"/>
              <w:pageBreakBefore w:val="0"/>
              <w:numPr>
                <w:ilvl w:val="0"/>
                <w:numId w:val="0"/>
              </w:numPr>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p>
          <w:p w14:paraId="53A5B3B9">
            <w:pPr>
              <w:pStyle w:val="87"/>
              <w:keepNext w:val="0"/>
              <w:keepLines w:val="0"/>
              <w:pageBreakBefore w:val="0"/>
              <w:numPr>
                <w:ilvl w:val="0"/>
                <w:numId w:val="0"/>
              </w:numPr>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p>
          <w:p w14:paraId="580344E3">
            <w:pPr>
              <w:pStyle w:val="87"/>
              <w:keepNext w:val="0"/>
              <w:keepLines w:val="0"/>
              <w:pageBreakBefore w:val="0"/>
              <w:numPr>
                <w:ilvl w:val="0"/>
                <w:numId w:val="0"/>
              </w:numPr>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p>
          <w:p w14:paraId="3425E97A">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cs="Times New Roman"/>
                <w:color w:val="auto"/>
                <w:spacing w:val="0"/>
                <w:position w:val="0"/>
                <w:highlight w:val="none"/>
              </w:rPr>
              <w:drawing>
                <wp:inline distT="0" distB="0" distL="114300" distR="114300">
                  <wp:extent cx="5062220" cy="5062220"/>
                  <wp:effectExtent l="0" t="0" r="5080" b="5080"/>
                  <wp:docPr id="1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
                          <pic:cNvPicPr>
                            <a:picLocks noChangeAspect="1"/>
                          </pic:cNvPicPr>
                        </pic:nvPicPr>
                        <pic:blipFill>
                          <a:blip r:embed="rId25"/>
                          <a:stretch>
                            <a:fillRect/>
                          </a:stretch>
                        </pic:blipFill>
                        <pic:spPr>
                          <a:xfrm>
                            <a:off x="0" y="0"/>
                            <a:ext cx="5062220" cy="5062220"/>
                          </a:xfrm>
                          <a:prstGeom prst="rect">
                            <a:avLst/>
                          </a:prstGeom>
                          <a:noFill/>
                          <a:ln>
                            <a:noFill/>
                          </a:ln>
                        </pic:spPr>
                      </pic:pic>
                    </a:graphicData>
                  </a:graphic>
                </wp:inline>
              </w:drawing>
            </w:r>
          </w:p>
          <w:p w14:paraId="40952283">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val="0"/>
                <w:color w:val="auto"/>
                <w:spacing w:val="0"/>
                <w:position w:val="0"/>
                <w:sz w:val="24"/>
                <w:szCs w:val="24"/>
                <w:highlight w:val="none"/>
                <w:lang w:val="en-US" w:eastAsia="zh-CN"/>
              </w:rPr>
            </w:pPr>
            <w:r>
              <w:rPr>
                <w:rFonts w:hint="default" w:ascii="Times New Roman" w:hAnsi="Times New Roman" w:cs="Times New Roman"/>
                <w:b/>
                <w:bCs w:val="0"/>
                <w:color w:val="auto"/>
                <w:spacing w:val="0"/>
                <w:position w:val="0"/>
                <w:sz w:val="24"/>
                <w:szCs w:val="24"/>
                <w:highlight w:val="none"/>
                <w:lang w:val="en-US" w:eastAsia="zh-CN"/>
              </w:rPr>
              <w:t>图3-2 本项目环境敏感目标分布图</w:t>
            </w:r>
          </w:p>
          <w:p w14:paraId="707D7E25">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rPr>
              <w:t>2、</w:t>
            </w:r>
            <w:r>
              <w:rPr>
                <w:rFonts w:hint="default" w:ascii="Times New Roman" w:hAnsi="Times New Roman" w:cs="Times New Roman"/>
                <w:color w:val="auto"/>
                <w:spacing w:val="0"/>
                <w:position w:val="0"/>
                <w:sz w:val="24"/>
                <w:szCs w:val="24"/>
                <w:highlight w:val="none"/>
                <w:lang w:val="en-US" w:eastAsia="zh-CN"/>
              </w:rPr>
              <w:t>声环境保护目标</w:t>
            </w:r>
          </w:p>
          <w:p w14:paraId="35AF027F">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根据《建设项目环境影响评价报告表编制技术指南》（污染影响类）及现状调查结果，厂界外50m范围无声环境保护目标。</w:t>
            </w:r>
          </w:p>
          <w:p w14:paraId="7C8F2480">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rPr>
              <w:t>3、</w:t>
            </w:r>
            <w:r>
              <w:rPr>
                <w:rFonts w:hint="default" w:ascii="Times New Roman" w:hAnsi="Times New Roman" w:cs="Times New Roman"/>
                <w:color w:val="auto"/>
                <w:spacing w:val="0"/>
                <w:position w:val="0"/>
                <w:sz w:val="24"/>
                <w:szCs w:val="24"/>
                <w:highlight w:val="none"/>
                <w:lang w:val="en-US" w:eastAsia="zh-CN"/>
              </w:rPr>
              <w:t>地下水环境保护目标</w:t>
            </w:r>
          </w:p>
          <w:p w14:paraId="4CD80887">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根据《建设项目环境影响评价报告表编制技术指南》（污染影响类）及现状调查结果，厂界外500m范围内无地下水集中式饮用水水源和热水、矿泉水、温泉等特殊地下水资源，无地下水环境保护目标。</w:t>
            </w:r>
          </w:p>
          <w:p w14:paraId="65FF4ADE">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4</w:t>
            </w:r>
            <w:r>
              <w:rPr>
                <w:rFonts w:hint="default" w:ascii="Times New Roman" w:hAnsi="Times New Roman" w:eastAsia="宋体" w:cs="Times New Roman"/>
                <w:color w:val="auto"/>
                <w:spacing w:val="0"/>
                <w:position w:val="0"/>
                <w:sz w:val="24"/>
                <w:szCs w:val="24"/>
                <w:highlight w:val="none"/>
              </w:rPr>
              <w:t>、生态环境保护目标</w:t>
            </w:r>
          </w:p>
          <w:p w14:paraId="6B937181">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根据《建设项目环境影响评价报告表编制技术指南》（污染影响类）及现状调查结果，本项目占地范围内土地类别为</w:t>
            </w:r>
            <w:r>
              <w:rPr>
                <w:rFonts w:hint="default" w:ascii="Times New Roman" w:hAnsi="Times New Roman" w:cs="Times New Roman"/>
                <w:color w:val="auto"/>
                <w:spacing w:val="0"/>
                <w:position w:val="0"/>
                <w:sz w:val="24"/>
                <w:szCs w:val="24"/>
                <w:highlight w:val="none"/>
                <w:lang w:val="en-US" w:eastAsia="zh-CN"/>
              </w:rPr>
              <w:t>工业</w:t>
            </w:r>
            <w:r>
              <w:rPr>
                <w:rFonts w:hint="default" w:ascii="Times New Roman" w:hAnsi="Times New Roman" w:eastAsia="宋体" w:cs="Times New Roman"/>
                <w:color w:val="auto"/>
                <w:spacing w:val="0"/>
                <w:position w:val="0"/>
                <w:sz w:val="24"/>
                <w:szCs w:val="24"/>
                <w:highlight w:val="none"/>
              </w:rPr>
              <w:t>用地，无生态环境保护目标。</w:t>
            </w:r>
          </w:p>
          <w:p w14:paraId="1508ACAD">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5</w:t>
            </w:r>
            <w:r>
              <w:rPr>
                <w:rFonts w:hint="default" w:ascii="Times New Roman" w:hAnsi="Times New Roman" w:eastAsia="宋体" w:cs="Times New Roman"/>
                <w:color w:val="auto"/>
                <w:spacing w:val="0"/>
                <w:position w:val="0"/>
                <w:sz w:val="24"/>
                <w:szCs w:val="24"/>
                <w:highlight w:val="none"/>
              </w:rPr>
              <w:t>、土壤环境保护目标</w:t>
            </w:r>
          </w:p>
          <w:p w14:paraId="4955CC0C">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kern w:val="0"/>
                <w:position w:val="0"/>
                <w:highlight w:val="none"/>
              </w:rPr>
            </w:pPr>
            <w:r>
              <w:rPr>
                <w:rFonts w:hint="default" w:ascii="Times New Roman" w:hAnsi="Times New Roman" w:eastAsia="宋体" w:cs="Times New Roman"/>
                <w:color w:val="auto"/>
                <w:spacing w:val="0"/>
                <w:position w:val="0"/>
                <w:sz w:val="24"/>
                <w:szCs w:val="24"/>
                <w:highlight w:val="none"/>
              </w:rPr>
              <w:t>本项目地下罐区设置重点防渗，正常情况下不存在土壤污染途径，不涉及土壤环境保护目标。</w:t>
            </w:r>
          </w:p>
        </w:tc>
      </w:tr>
      <w:tr w14:paraId="5C1047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800" w:type="dxa"/>
            <w:noWrap w:val="0"/>
            <w:tcMar>
              <w:left w:w="28" w:type="dxa"/>
              <w:right w:w="28" w:type="dxa"/>
            </w:tcMar>
            <w:vAlign w:val="center"/>
          </w:tcPr>
          <w:p w14:paraId="277881E5">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污染</w:t>
            </w:r>
          </w:p>
          <w:p w14:paraId="2DDFB020">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物排</w:t>
            </w:r>
          </w:p>
          <w:p w14:paraId="32A91B8F">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放控</w:t>
            </w:r>
          </w:p>
          <w:p w14:paraId="3D69AAD1">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制标</w:t>
            </w:r>
          </w:p>
          <w:p w14:paraId="25752E70">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准</w:t>
            </w:r>
          </w:p>
        </w:tc>
        <w:tc>
          <w:tcPr>
            <w:tcW w:w="8190" w:type="dxa"/>
            <w:noWrap w:val="0"/>
            <w:vAlign w:val="center"/>
          </w:tcPr>
          <w:p w14:paraId="18F7B9E8">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1、废气</w:t>
            </w:r>
          </w:p>
          <w:p w14:paraId="6DE02136">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rPr>
              <w:t>运营期</w:t>
            </w:r>
            <w:r>
              <w:rPr>
                <w:rFonts w:hint="default" w:ascii="Times New Roman" w:hAnsi="Times New Roman" w:cs="Times New Roman"/>
                <w:color w:val="auto"/>
                <w:spacing w:val="0"/>
                <w:position w:val="0"/>
                <w:sz w:val="24"/>
                <w:szCs w:val="24"/>
                <w:highlight w:val="none"/>
                <w:lang w:val="en-US" w:eastAsia="zh-CN"/>
              </w:rPr>
              <w:t>有组织颗粒物</w:t>
            </w:r>
            <w:r>
              <w:rPr>
                <w:rFonts w:hint="default" w:ascii="Times New Roman" w:hAnsi="Times New Roman" w:eastAsia="宋体" w:cs="Times New Roman"/>
                <w:color w:val="auto"/>
                <w:spacing w:val="0"/>
                <w:position w:val="0"/>
                <w:sz w:val="24"/>
                <w:szCs w:val="24"/>
                <w:highlight w:val="none"/>
              </w:rPr>
              <w:t>、非甲烷总烃排放执行《大气污染物综合排放标准》（GB16297-1996）表2中二级</w:t>
            </w:r>
            <w:r>
              <w:rPr>
                <w:rFonts w:hint="default" w:ascii="Times New Roman" w:hAnsi="Times New Roman" w:cs="Times New Roman"/>
                <w:color w:val="auto"/>
                <w:spacing w:val="0"/>
                <w:position w:val="0"/>
                <w:sz w:val="24"/>
                <w:szCs w:val="24"/>
                <w:highlight w:val="none"/>
                <w:lang w:val="en-US" w:eastAsia="zh-CN"/>
              </w:rPr>
              <w:t>标准要求，锅炉烟气执行《锅炉大气污染物排放标准》（GB13271-2014）中表2燃煤锅炉标准，污水处理站有组织废气、精炼车间臭气浓度执行《恶臭污染物排放标准》（GB14554-1993）中二级排放标准限值</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厂界颗粒物、非甲烷总烃执行</w:t>
            </w:r>
            <w:r>
              <w:rPr>
                <w:rFonts w:hint="default" w:ascii="Times New Roman" w:hAnsi="Times New Roman" w:eastAsia="宋体" w:cs="Times New Roman"/>
                <w:color w:val="auto"/>
                <w:spacing w:val="0"/>
                <w:position w:val="0"/>
                <w:sz w:val="24"/>
                <w:szCs w:val="24"/>
                <w:highlight w:val="none"/>
              </w:rPr>
              <w:t>《大气污染物综合排放标准》（GB16297-1996）表2中二级</w:t>
            </w:r>
            <w:r>
              <w:rPr>
                <w:rFonts w:hint="default" w:ascii="Times New Roman" w:hAnsi="Times New Roman" w:cs="Times New Roman"/>
                <w:color w:val="auto"/>
                <w:spacing w:val="0"/>
                <w:position w:val="0"/>
                <w:sz w:val="24"/>
                <w:szCs w:val="24"/>
                <w:highlight w:val="none"/>
                <w:lang w:val="en-US" w:eastAsia="zh-CN"/>
              </w:rPr>
              <w:t>标准要求，厂界氨、硫化氢、臭气浓度执行《恶臭污染物排放标准》（GB14554-93）表1厂界二级标准限值，厂区内无组织非甲烷总烃排放执行《挥发性有机物无组织排放控制标准》（GB 37822-2019）附录A限值。</w:t>
            </w:r>
          </w:p>
          <w:p w14:paraId="6C99802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color w:val="auto"/>
                <w:spacing w:val="0"/>
                <w:position w:val="0"/>
                <w:sz w:val="24"/>
                <w:szCs w:val="24"/>
                <w:highlight w:val="none"/>
              </w:rPr>
            </w:pPr>
            <w:r>
              <w:rPr>
                <w:rFonts w:hint="default" w:ascii="Times New Roman" w:hAnsi="Times New Roman" w:eastAsia="宋体" w:cs="Times New Roman"/>
                <w:b/>
                <w:color w:val="auto"/>
                <w:spacing w:val="0"/>
                <w:position w:val="0"/>
                <w:sz w:val="24"/>
                <w:szCs w:val="24"/>
                <w:highlight w:val="none"/>
              </w:rPr>
              <w:t>表3-6 大气污染物综合排放标准</w:t>
            </w:r>
          </w:p>
          <w:tbl>
            <w:tblPr>
              <w:tblStyle w:val="2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8"/>
              <w:gridCol w:w="1305"/>
              <w:gridCol w:w="900"/>
              <w:gridCol w:w="1364"/>
              <w:gridCol w:w="1609"/>
              <w:gridCol w:w="1848"/>
            </w:tblGrid>
            <w:tr w14:paraId="37EAFF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594" w:type="pct"/>
                  <w:noWrap w:val="0"/>
                  <w:vAlign w:val="center"/>
                </w:tcPr>
                <w:p w14:paraId="1AE5D6CA">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污染物</w:t>
                  </w:r>
                </w:p>
              </w:tc>
              <w:tc>
                <w:tcPr>
                  <w:tcW w:w="818" w:type="pct"/>
                  <w:noWrap w:val="0"/>
                  <w:vAlign w:val="center"/>
                </w:tcPr>
                <w:p w14:paraId="5E24CF36">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最高允许排放浓度</w:t>
                  </w:r>
                </w:p>
                <w:p w14:paraId="0B1CA958">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mg/m</w:t>
                  </w:r>
                  <w:r>
                    <w:rPr>
                      <w:rFonts w:hint="default" w:ascii="Times New Roman" w:hAnsi="Times New Roman" w:eastAsia="宋体" w:cs="Times New Roman"/>
                      <w:color w:val="auto"/>
                      <w:spacing w:val="0"/>
                      <w:kern w:val="0"/>
                      <w:position w:val="0"/>
                      <w:szCs w:val="21"/>
                      <w:highlight w:val="none"/>
                      <w:vertAlign w:val="superscript"/>
                    </w:rPr>
                    <w:t>3</w:t>
                  </w:r>
                </w:p>
              </w:tc>
              <w:tc>
                <w:tcPr>
                  <w:tcW w:w="564" w:type="pct"/>
                  <w:noWrap w:val="0"/>
                  <w:vAlign w:val="center"/>
                </w:tcPr>
                <w:p w14:paraId="271C38E7">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排气筒高度 m</w:t>
                  </w:r>
                </w:p>
              </w:tc>
              <w:tc>
                <w:tcPr>
                  <w:tcW w:w="855" w:type="pct"/>
                  <w:noWrap w:val="0"/>
                  <w:vAlign w:val="center"/>
                </w:tcPr>
                <w:p w14:paraId="1A3E5AC3">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最高允许排</w:t>
                  </w:r>
                </w:p>
                <w:p w14:paraId="226E2FFB">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放速率kg/h</w:t>
                  </w:r>
                </w:p>
              </w:tc>
              <w:tc>
                <w:tcPr>
                  <w:tcW w:w="1008" w:type="pct"/>
                  <w:noWrap w:val="0"/>
                  <w:vAlign w:val="center"/>
                </w:tcPr>
                <w:p w14:paraId="510EACC2">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无组织排放监控浓度限值 mg/m</w:t>
                  </w:r>
                  <w:r>
                    <w:rPr>
                      <w:rFonts w:hint="default" w:ascii="Times New Roman" w:hAnsi="Times New Roman" w:eastAsia="宋体" w:cs="Times New Roman"/>
                      <w:color w:val="auto"/>
                      <w:spacing w:val="0"/>
                      <w:kern w:val="0"/>
                      <w:position w:val="0"/>
                      <w:szCs w:val="21"/>
                      <w:highlight w:val="none"/>
                      <w:vertAlign w:val="superscript"/>
                    </w:rPr>
                    <w:t>3</w:t>
                  </w:r>
                </w:p>
              </w:tc>
              <w:tc>
                <w:tcPr>
                  <w:tcW w:w="1158" w:type="pct"/>
                  <w:noWrap w:val="0"/>
                  <w:vAlign w:val="center"/>
                </w:tcPr>
                <w:p w14:paraId="56395212">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标准来源</w:t>
                  </w:r>
                </w:p>
              </w:tc>
            </w:tr>
            <w:tr w14:paraId="7CB0A6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4" w:type="pct"/>
                  <w:noWrap w:val="0"/>
                  <w:vAlign w:val="center"/>
                </w:tcPr>
                <w:p w14:paraId="0C090365">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颗粒物</w:t>
                  </w:r>
                </w:p>
              </w:tc>
              <w:tc>
                <w:tcPr>
                  <w:tcW w:w="818" w:type="pct"/>
                  <w:noWrap w:val="0"/>
                  <w:vAlign w:val="center"/>
                </w:tcPr>
                <w:p w14:paraId="2BC552E0">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120</w:t>
                  </w:r>
                </w:p>
              </w:tc>
              <w:tc>
                <w:tcPr>
                  <w:tcW w:w="564" w:type="pct"/>
                  <w:noWrap w:val="0"/>
                  <w:vAlign w:val="center"/>
                </w:tcPr>
                <w:p w14:paraId="4B979FF6">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15</w:t>
                  </w:r>
                </w:p>
              </w:tc>
              <w:tc>
                <w:tcPr>
                  <w:tcW w:w="855" w:type="pct"/>
                  <w:noWrap w:val="0"/>
                  <w:vAlign w:val="center"/>
                </w:tcPr>
                <w:p w14:paraId="60FA6E1C">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lang w:val="en-US" w:eastAsia="zh-CN"/>
                    </w:rPr>
                  </w:pPr>
                  <w:r>
                    <w:rPr>
                      <w:rFonts w:hint="default" w:ascii="Times New Roman" w:hAnsi="Times New Roman" w:cs="Times New Roman"/>
                      <w:color w:val="auto"/>
                      <w:spacing w:val="0"/>
                      <w:kern w:val="0"/>
                      <w:position w:val="0"/>
                      <w:szCs w:val="21"/>
                      <w:highlight w:val="none"/>
                      <w:lang w:val="en-US" w:eastAsia="zh-CN"/>
                    </w:rPr>
                    <w:t>1.75</w:t>
                  </w:r>
                </w:p>
              </w:tc>
              <w:tc>
                <w:tcPr>
                  <w:tcW w:w="1008" w:type="pct"/>
                  <w:noWrap w:val="0"/>
                  <w:vAlign w:val="center"/>
                </w:tcPr>
                <w:p w14:paraId="35D0D499">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1.0</w:t>
                  </w:r>
                </w:p>
              </w:tc>
              <w:tc>
                <w:tcPr>
                  <w:tcW w:w="1158" w:type="pct"/>
                  <w:vMerge w:val="restart"/>
                  <w:noWrap w:val="0"/>
                  <w:vAlign w:val="center"/>
                </w:tcPr>
                <w:p w14:paraId="7F71B347">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《大气污染物综合排放标准》</w:t>
                  </w:r>
                </w:p>
                <w:p w14:paraId="18A2CCED">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cs="Times New Roman"/>
                      <w:color w:val="auto"/>
                      <w:spacing w:val="0"/>
                      <w:position w:val="0"/>
                      <w:highlight w:val="none"/>
                      <w:lang w:eastAsia="zh-CN"/>
                    </w:rPr>
                    <w:t>（</w:t>
                  </w:r>
                  <w:r>
                    <w:rPr>
                      <w:rFonts w:hint="default" w:ascii="Times New Roman" w:hAnsi="Times New Roman" w:eastAsia="宋体" w:cs="Times New Roman"/>
                      <w:color w:val="auto"/>
                      <w:spacing w:val="0"/>
                      <w:position w:val="0"/>
                      <w:highlight w:val="none"/>
                    </w:rPr>
                    <w:t>GB16297-1996</w:t>
                  </w:r>
                  <w:r>
                    <w:rPr>
                      <w:rFonts w:hint="default" w:ascii="Times New Roman" w:hAnsi="Times New Roman" w:cs="Times New Roman"/>
                      <w:color w:val="auto"/>
                      <w:spacing w:val="0"/>
                      <w:position w:val="0"/>
                      <w:highlight w:val="none"/>
                      <w:lang w:eastAsia="zh-CN"/>
                    </w:rPr>
                    <w:t>）</w:t>
                  </w:r>
                </w:p>
              </w:tc>
            </w:tr>
            <w:tr w14:paraId="77D5C2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4" w:type="pct"/>
                  <w:noWrap w:val="0"/>
                  <w:vAlign w:val="center"/>
                </w:tcPr>
                <w:p w14:paraId="66E3BB9F">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非甲烷总烃</w:t>
                  </w:r>
                </w:p>
              </w:tc>
              <w:tc>
                <w:tcPr>
                  <w:tcW w:w="818" w:type="pct"/>
                  <w:noWrap w:val="0"/>
                  <w:vAlign w:val="center"/>
                </w:tcPr>
                <w:p w14:paraId="73D36E8C">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120</w:t>
                  </w:r>
                </w:p>
              </w:tc>
              <w:tc>
                <w:tcPr>
                  <w:tcW w:w="564" w:type="pct"/>
                  <w:noWrap w:val="0"/>
                  <w:vAlign w:val="center"/>
                </w:tcPr>
                <w:p w14:paraId="19CC592E">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15</w:t>
                  </w:r>
                </w:p>
              </w:tc>
              <w:tc>
                <w:tcPr>
                  <w:tcW w:w="855" w:type="pct"/>
                  <w:noWrap w:val="0"/>
                  <w:vAlign w:val="center"/>
                </w:tcPr>
                <w:p w14:paraId="4E8AE526">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lang w:eastAsia="zh-CN"/>
                    </w:rPr>
                  </w:pPr>
                  <w:r>
                    <w:rPr>
                      <w:rFonts w:hint="default" w:ascii="Times New Roman" w:hAnsi="Times New Roman" w:cs="Times New Roman"/>
                      <w:color w:val="auto"/>
                      <w:spacing w:val="0"/>
                      <w:kern w:val="0"/>
                      <w:position w:val="0"/>
                      <w:szCs w:val="21"/>
                      <w:highlight w:val="none"/>
                      <w:lang w:val="en-US" w:eastAsia="zh-CN"/>
                    </w:rPr>
                    <w:t>5</w:t>
                  </w:r>
                </w:p>
              </w:tc>
              <w:tc>
                <w:tcPr>
                  <w:tcW w:w="1008" w:type="pct"/>
                  <w:noWrap w:val="0"/>
                  <w:vAlign w:val="center"/>
                </w:tcPr>
                <w:p w14:paraId="26A9507A">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4.0</w:t>
                  </w:r>
                </w:p>
              </w:tc>
              <w:tc>
                <w:tcPr>
                  <w:tcW w:w="1158" w:type="pct"/>
                  <w:vMerge w:val="continue"/>
                  <w:noWrap w:val="0"/>
                  <w:vAlign w:val="center"/>
                </w:tcPr>
                <w:p w14:paraId="5B8D40F4">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tc>
            </w:tr>
          </w:tbl>
          <w:p w14:paraId="31706FA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color w:val="auto"/>
                <w:spacing w:val="0"/>
                <w:position w:val="0"/>
                <w:sz w:val="24"/>
                <w:szCs w:val="24"/>
                <w:highlight w:val="none"/>
              </w:rPr>
            </w:pPr>
            <w:r>
              <w:rPr>
                <w:rFonts w:hint="default" w:ascii="Times New Roman" w:hAnsi="Times New Roman" w:eastAsia="宋体" w:cs="Times New Roman"/>
                <w:b/>
                <w:color w:val="auto"/>
                <w:spacing w:val="0"/>
                <w:position w:val="0"/>
                <w:sz w:val="24"/>
                <w:szCs w:val="24"/>
                <w:highlight w:val="none"/>
              </w:rPr>
              <w:t>表3-7 锅炉大气污染物排放标准</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1226"/>
              <w:gridCol w:w="1327"/>
              <w:gridCol w:w="1629"/>
              <w:gridCol w:w="1417"/>
              <w:gridCol w:w="2372"/>
            </w:tblGrid>
            <w:tr w14:paraId="2217E0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19" w:hRule="atLeast"/>
                <w:jc w:val="center"/>
              </w:trPr>
              <w:tc>
                <w:tcPr>
                  <w:tcW w:w="769" w:type="pct"/>
                  <w:noWrap w:val="0"/>
                  <w:vAlign w:val="center"/>
                </w:tcPr>
                <w:p w14:paraId="096D119F">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产生环节</w:t>
                  </w:r>
                </w:p>
              </w:tc>
              <w:tc>
                <w:tcPr>
                  <w:tcW w:w="832" w:type="pct"/>
                  <w:noWrap w:val="0"/>
                  <w:vAlign w:val="center"/>
                </w:tcPr>
                <w:p w14:paraId="78CD42A0">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排放高度（m）</w:t>
                  </w:r>
                </w:p>
              </w:tc>
              <w:tc>
                <w:tcPr>
                  <w:tcW w:w="1021" w:type="pct"/>
                  <w:noWrap w:val="0"/>
                  <w:vAlign w:val="center"/>
                </w:tcPr>
                <w:p w14:paraId="3D0DB4C6">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污染物</w:t>
                  </w:r>
                </w:p>
              </w:tc>
              <w:tc>
                <w:tcPr>
                  <w:tcW w:w="888" w:type="pct"/>
                  <w:noWrap w:val="0"/>
                  <w:vAlign w:val="center"/>
                </w:tcPr>
                <w:p w14:paraId="45F039E6">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排放浓度</w:t>
                  </w:r>
                </w:p>
              </w:tc>
              <w:tc>
                <w:tcPr>
                  <w:tcW w:w="1487" w:type="pct"/>
                  <w:noWrap w:val="0"/>
                  <w:vAlign w:val="center"/>
                </w:tcPr>
                <w:p w14:paraId="0B68AF83">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标准来源</w:t>
                  </w:r>
                </w:p>
              </w:tc>
            </w:tr>
            <w:tr w14:paraId="4FF0B3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10" w:hRule="atLeast"/>
                <w:jc w:val="center"/>
              </w:trPr>
              <w:tc>
                <w:tcPr>
                  <w:tcW w:w="769" w:type="pct"/>
                  <w:vMerge w:val="restart"/>
                  <w:noWrap w:val="0"/>
                  <w:vAlign w:val="center"/>
                </w:tcPr>
                <w:p w14:paraId="081265D6">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燃煤锅炉</w:t>
                  </w:r>
                </w:p>
              </w:tc>
              <w:tc>
                <w:tcPr>
                  <w:tcW w:w="832" w:type="pct"/>
                  <w:vMerge w:val="restart"/>
                  <w:noWrap w:val="0"/>
                  <w:vAlign w:val="center"/>
                </w:tcPr>
                <w:p w14:paraId="7B8A78F9">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40</w:t>
                  </w:r>
                </w:p>
              </w:tc>
              <w:tc>
                <w:tcPr>
                  <w:tcW w:w="1021" w:type="pct"/>
                  <w:noWrap w:val="0"/>
                  <w:vAlign w:val="center"/>
                </w:tcPr>
                <w:p w14:paraId="1ED4080E">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SO</w:t>
                  </w:r>
                  <w:r>
                    <w:rPr>
                      <w:rFonts w:hint="default" w:ascii="Times New Roman" w:hAnsi="Times New Roman" w:eastAsia="宋体" w:cs="Times New Roman"/>
                      <w:color w:val="auto"/>
                      <w:spacing w:val="0"/>
                      <w:position w:val="0"/>
                      <w:highlight w:val="none"/>
                      <w:vertAlign w:val="subscript"/>
                    </w:rPr>
                    <w:t>2</w:t>
                  </w:r>
                </w:p>
              </w:tc>
              <w:tc>
                <w:tcPr>
                  <w:tcW w:w="888" w:type="pct"/>
                  <w:noWrap w:val="0"/>
                  <w:vAlign w:val="center"/>
                </w:tcPr>
                <w:p w14:paraId="69C514C4">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≤50mg/m</w:t>
                  </w:r>
                  <w:r>
                    <w:rPr>
                      <w:rFonts w:hint="default" w:ascii="Times New Roman" w:hAnsi="Times New Roman" w:eastAsia="宋体" w:cs="Times New Roman"/>
                      <w:color w:val="auto"/>
                      <w:spacing w:val="0"/>
                      <w:position w:val="0"/>
                      <w:highlight w:val="none"/>
                      <w:vertAlign w:val="superscript"/>
                    </w:rPr>
                    <w:t>3</w:t>
                  </w:r>
                </w:p>
              </w:tc>
              <w:tc>
                <w:tcPr>
                  <w:tcW w:w="1487" w:type="pct"/>
                  <w:vMerge w:val="restart"/>
                  <w:noWrap w:val="0"/>
                  <w:vAlign w:val="center"/>
                </w:tcPr>
                <w:p w14:paraId="6E1FE7C0">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《锅炉大气污染物排放标准》（GB13271-2014）</w:t>
                  </w:r>
                </w:p>
              </w:tc>
            </w:tr>
            <w:tr w14:paraId="7C2C88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10" w:hRule="atLeast"/>
                <w:jc w:val="center"/>
              </w:trPr>
              <w:tc>
                <w:tcPr>
                  <w:tcW w:w="769" w:type="pct"/>
                  <w:vMerge w:val="continue"/>
                  <w:noWrap w:val="0"/>
                  <w:vAlign w:val="center"/>
                </w:tcPr>
                <w:p w14:paraId="466FC43D">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tc>
              <w:tc>
                <w:tcPr>
                  <w:tcW w:w="832" w:type="pct"/>
                  <w:vMerge w:val="continue"/>
                  <w:noWrap w:val="0"/>
                  <w:vAlign w:val="center"/>
                </w:tcPr>
                <w:p w14:paraId="3215A0B5">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tc>
              <w:tc>
                <w:tcPr>
                  <w:tcW w:w="1021" w:type="pct"/>
                  <w:noWrap w:val="0"/>
                  <w:vAlign w:val="center"/>
                </w:tcPr>
                <w:p w14:paraId="2288CE50">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NO</w:t>
                  </w:r>
                  <w:r>
                    <w:rPr>
                      <w:rFonts w:hint="default" w:ascii="Times New Roman" w:hAnsi="Times New Roman" w:eastAsia="宋体" w:cs="Times New Roman"/>
                      <w:color w:val="auto"/>
                      <w:spacing w:val="0"/>
                      <w:position w:val="0"/>
                      <w:highlight w:val="none"/>
                      <w:vertAlign w:val="subscript"/>
                    </w:rPr>
                    <w:t>X</w:t>
                  </w:r>
                </w:p>
              </w:tc>
              <w:tc>
                <w:tcPr>
                  <w:tcW w:w="888" w:type="pct"/>
                  <w:noWrap w:val="0"/>
                  <w:vAlign w:val="center"/>
                </w:tcPr>
                <w:p w14:paraId="2DBF428A">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≤300mg/m</w:t>
                  </w:r>
                  <w:r>
                    <w:rPr>
                      <w:rFonts w:hint="default" w:ascii="Times New Roman" w:hAnsi="Times New Roman" w:eastAsia="宋体" w:cs="Times New Roman"/>
                      <w:color w:val="auto"/>
                      <w:spacing w:val="0"/>
                      <w:position w:val="0"/>
                      <w:highlight w:val="none"/>
                      <w:vertAlign w:val="superscript"/>
                    </w:rPr>
                    <w:t>3</w:t>
                  </w:r>
                </w:p>
              </w:tc>
              <w:tc>
                <w:tcPr>
                  <w:tcW w:w="1487" w:type="pct"/>
                  <w:vMerge w:val="continue"/>
                  <w:noWrap w:val="0"/>
                  <w:vAlign w:val="center"/>
                </w:tcPr>
                <w:p w14:paraId="6BC0C719">
                  <w:pPr>
                    <w:keepNext w:val="0"/>
                    <w:keepLines w:val="0"/>
                    <w:pageBreakBefore w:val="0"/>
                    <w:tabs>
                      <w:tab w:val="left" w:pos="480"/>
                    </w:tabs>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r>
            <w:tr w14:paraId="0B7817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10" w:hRule="atLeast"/>
                <w:jc w:val="center"/>
              </w:trPr>
              <w:tc>
                <w:tcPr>
                  <w:tcW w:w="769" w:type="pct"/>
                  <w:vMerge w:val="continue"/>
                  <w:noWrap w:val="0"/>
                  <w:vAlign w:val="center"/>
                </w:tcPr>
                <w:p w14:paraId="4B4BC0E8">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tc>
              <w:tc>
                <w:tcPr>
                  <w:tcW w:w="832" w:type="pct"/>
                  <w:vMerge w:val="continue"/>
                  <w:noWrap w:val="0"/>
                  <w:vAlign w:val="center"/>
                </w:tcPr>
                <w:p w14:paraId="7AC39F0B">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tc>
              <w:tc>
                <w:tcPr>
                  <w:tcW w:w="1021" w:type="pct"/>
                  <w:noWrap w:val="0"/>
                  <w:vAlign w:val="center"/>
                </w:tcPr>
                <w:p w14:paraId="5F0DF783">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烟尘</w:t>
                  </w:r>
                </w:p>
              </w:tc>
              <w:tc>
                <w:tcPr>
                  <w:tcW w:w="888" w:type="pct"/>
                  <w:noWrap w:val="0"/>
                  <w:vAlign w:val="center"/>
                </w:tcPr>
                <w:p w14:paraId="3F45289B">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≤300mg/m</w:t>
                  </w:r>
                  <w:r>
                    <w:rPr>
                      <w:rFonts w:hint="default" w:ascii="Times New Roman" w:hAnsi="Times New Roman" w:eastAsia="宋体" w:cs="Times New Roman"/>
                      <w:color w:val="auto"/>
                      <w:spacing w:val="0"/>
                      <w:position w:val="0"/>
                      <w:highlight w:val="none"/>
                      <w:vertAlign w:val="superscript"/>
                    </w:rPr>
                    <w:t>3</w:t>
                  </w:r>
                </w:p>
              </w:tc>
              <w:tc>
                <w:tcPr>
                  <w:tcW w:w="1487" w:type="pct"/>
                  <w:vMerge w:val="continue"/>
                  <w:noWrap w:val="0"/>
                  <w:vAlign w:val="center"/>
                </w:tcPr>
                <w:p w14:paraId="610ED7A3">
                  <w:pPr>
                    <w:keepNext w:val="0"/>
                    <w:keepLines w:val="0"/>
                    <w:pageBreakBefore w:val="0"/>
                    <w:tabs>
                      <w:tab w:val="left" w:pos="480"/>
                    </w:tabs>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r>
            <w:tr w14:paraId="060053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10" w:hRule="atLeast"/>
                <w:jc w:val="center"/>
              </w:trPr>
              <w:tc>
                <w:tcPr>
                  <w:tcW w:w="769" w:type="pct"/>
                  <w:vMerge w:val="continue"/>
                  <w:noWrap w:val="0"/>
                  <w:vAlign w:val="center"/>
                </w:tcPr>
                <w:p w14:paraId="46122AAF">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tc>
              <w:tc>
                <w:tcPr>
                  <w:tcW w:w="832" w:type="pct"/>
                  <w:vMerge w:val="continue"/>
                  <w:noWrap w:val="0"/>
                  <w:vAlign w:val="center"/>
                </w:tcPr>
                <w:p w14:paraId="4D899B61">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tc>
              <w:tc>
                <w:tcPr>
                  <w:tcW w:w="1021" w:type="pct"/>
                  <w:noWrap w:val="0"/>
                  <w:vAlign w:val="center"/>
                </w:tcPr>
                <w:p w14:paraId="4878C1A2">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eastAsia="zh-CN"/>
                    </w:rPr>
                  </w:pPr>
                  <w:r>
                    <w:rPr>
                      <w:rFonts w:hint="default" w:ascii="Times New Roman" w:hAnsi="Times New Roman" w:eastAsia="宋体" w:cs="Times New Roman"/>
                      <w:color w:val="auto"/>
                      <w:spacing w:val="0"/>
                      <w:position w:val="0"/>
                      <w:highlight w:val="none"/>
                      <w:lang w:eastAsia="zh-CN"/>
                    </w:rPr>
                    <w:t>烟气黑度（林格曼黑度，级）</w:t>
                  </w:r>
                </w:p>
              </w:tc>
              <w:tc>
                <w:tcPr>
                  <w:tcW w:w="888" w:type="pct"/>
                  <w:noWrap w:val="0"/>
                  <w:vAlign w:val="center"/>
                </w:tcPr>
                <w:p w14:paraId="75159391">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eastAsia="宋体" w:cs="Times New Roman"/>
                      <w:color w:val="auto"/>
                      <w:spacing w:val="0"/>
                      <w:position w:val="0"/>
                      <w:highlight w:val="none"/>
                    </w:rPr>
                    <w:t>≤</w:t>
                  </w:r>
                  <w:r>
                    <w:rPr>
                      <w:rFonts w:hint="default" w:ascii="Times New Roman" w:hAnsi="Times New Roman" w:eastAsia="宋体" w:cs="Times New Roman"/>
                      <w:color w:val="auto"/>
                      <w:spacing w:val="0"/>
                      <w:position w:val="0"/>
                      <w:highlight w:val="none"/>
                      <w:lang w:val="en-US" w:eastAsia="zh-CN"/>
                    </w:rPr>
                    <w:t>1</w:t>
                  </w:r>
                </w:p>
              </w:tc>
              <w:tc>
                <w:tcPr>
                  <w:tcW w:w="1487" w:type="pct"/>
                  <w:vMerge w:val="continue"/>
                  <w:noWrap w:val="0"/>
                  <w:vAlign w:val="center"/>
                </w:tcPr>
                <w:p w14:paraId="017A015C">
                  <w:pPr>
                    <w:keepNext w:val="0"/>
                    <w:keepLines w:val="0"/>
                    <w:pageBreakBefore w:val="0"/>
                    <w:tabs>
                      <w:tab w:val="left" w:pos="480"/>
                    </w:tabs>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r>
          </w:tbl>
          <w:p w14:paraId="4DF5D2DE">
            <w:pPr>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4"/>
                <w:szCs w:val="24"/>
                <w:highlight w:val="none"/>
              </w:rPr>
            </w:pPr>
          </w:p>
          <w:p w14:paraId="24E5E79F">
            <w:pPr>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4"/>
                <w:szCs w:val="24"/>
                <w:highlight w:val="none"/>
              </w:rPr>
            </w:pPr>
          </w:p>
          <w:p w14:paraId="1217DE99">
            <w:pPr>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4"/>
                <w:szCs w:val="32"/>
                <w:highlight w:val="none"/>
              </w:rPr>
            </w:pPr>
            <w:r>
              <w:rPr>
                <w:rFonts w:hint="default" w:ascii="Times New Roman" w:hAnsi="Times New Roman" w:cs="Times New Roman"/>
                <w:b/>
                <w:bCs/>
                <w:color w:val="auto"/>
                <w:sz w:val="24"/>
                <w:szCs w:val="24"/>
                <w:highlight w:val="none"/>
              </w:rPr>
              <w:t>表3-</w:t>
            </w:r>
            <w:r>
              <w:rPr>
                <w:rFonts w:hint="default" w:ascii="Times New Roman" w:hAnsi="Times New Roman" w:cs="Times New Roman"/>
                <w:b/>
                <w:bCs/>
                <w:color w:val="auto"/>
                <w:sz w:val="24"/>
                <w:szCs w:val="24"/>
                <w:highlight w:val="none"/>
                <w:lang w:val="en-US" w:eastAsia="zh-CN"/>
              </w:rPr>
              <w:t>8</w:t>
            </w:r>
            <w:r>
              <w:rPr>
                <w:rFonts w:hint="default" w:ascii="Times New Roman" w:hAnsi="Times New Roman" w:cs="Times New Roman"/>
                <w:b/>
                <w:bCs/>
                <w:color w:val="auto"/>
                <w:sz w:val="24"/>
                <w:szCs w:val="24"/>
                <w:highlight w:val="none"/>
              </w:rPr>
              <w:t xml:space="preserve"> 恶臭污染物排放标准  </w:t>
            </w:r>
            <w:r>
              <w:rPr>
                <w:rFonts w:hint="default" w:ascii="Times New Roman" w:hAnsi="Times New Roman" w:cs="Times New Roman"/>
                <w:color w:val="auto"/>
                <w:sz w:val="24"/>
                <w:szCs w:val="32"/>
                <w:highlight w:val="none"/>
              </w:rPr>
              <w:t xml:space="preserve"> </w:t>
            </w:r>
          </w:p>
          <w:tbl>
            <w:tblPr>
              <w:tblStyle w:val="29"/>
              <w:tblW w:w="499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0"/>
              <w:gridCol w:w="1261"/>
              <w:gridCol w:w="1924"/>
              <w:gridCol w:w="1926"/>
              <w:gridCol w:w="1925"/>
            </w:tblGrid>
            <w:tr w14:paraId="68A02C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54" w:type="dxa"/>
                  <w:vMerge w:val="restart"/>
                  <w:tcBorders>
                    <w:tl2br w:val="nil"/>
                    <w:tr2bl w:val="nil"/>
                  </w:tcBorders>
                  <w:noWrap w:val="0"/>
                  <w:vAlign w:val="center"/>
                </w:tcPr>
                <w:p w14:paraId="29892B1A">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序号</w:t>
                  </w:r>
                </w:p>
              </w:tc>
              <w:tc>
                <w:tcPr>
                  <w:tcW w:w="1310" w:type="dxa"/>
                  <w:vMerge w:val="restart"/>
                  <w:tcBorders>
                    <w:tl2br w:val="nil"/>
                    <w:tr2bl w:val="nil"/>
                  </w:tcBorders>
                  <w:noWrap w:val="0"/>
                  <w:vAlign w:val="center"/>
                </w:tcPr>
                <w:p w14:paraId="0FB53906">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控制项目</w:t>
                  </w:r>
                </w:p>
              </w:tc>
              <w:tc>
                <w:tcPr>
                  <w:tcW w:w="4010" w:type="dxa"/>
                  <w:gridSpan w:val="2"/>
                  <w:tcBorders>
                    <w:tl2br w:val="nil"/>
                    <w:tr2bl w:val="nil"/>
                  </w:tcBorders>
                  <w:noWrap w:val="0"/>
                  <w:vAlign w:val="center"/>
                </w:tcPr>
                <w:p w14:paraId="7C5CEE11">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有组织标准限值</w:t>
                  </w:r>
                </w:p>
              </w:tc>
              <w:tc>
                <w:tcPr>
                  <w:tcW w:w="2004" w:type="dxa"/>
                  <w:vMerge w:val="restart"/>
                  <w:tcBorders>
                    <w:tl2br w:val="nil"/>
                    <w:tr2bl w:val="nil"/>
                  </w:tcBorders>
                  <w:noWrap w:val="0"/>
                  <w:vAlign w:val="center"/>
                </w:tcPr>
                <w:p w14:paraId="30C681DA">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厂界标准限值</w:t>
                  </w:r>
                </w:p>
              </w:tc>
            </w:tr>
            <w:tr w14:paraId="0B9AB1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54" w:type="dxa"/>
                  <w:vMerge w:val="continue"/>
                  <w:tcBorders>
                    <w:tl2br w:val="nil"/>
                    <w:tr2bl w:val="nil"/>
                  </w:tcBorders>
                  <w:noWrap w:val="0"/>
                  <w:vAlign w:val="center"/>
                </w:tcPr>
                <w:p w14:paraId="59264031">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p>
              </w:tc>
              <w:tc>
                <w:tcPr>
                  <w:tcW w:w="1310" w:type="dxa"/>
                  <w:vMerge w:val="continue"/>
                  <w:tcBorders>
                    <w:tl2br w:val="nil"/>
                    <w:tr2bl w:val="nil"/>
                  </w:tcBorders>
                  <w:noWrap w:val="0"/>
                  <w:vAlign w:val="center"/>
                </w:tcPr>
                <w:p w14:paraId="280B0C73">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p>
              </w:tc>
              <w:tc>
                <w:tcPr>
                  <w:tcW w:w="2004" w:type="dxa"/>
                  <w:tcBorders>
                    <w:tl2br w:val="nil"/>
                    <w:tr2bl w:val="nil"/>
                  </w:tcBorders>
                  <w:noWrap w:val="0"/>
                  <w:vAlign w:val="center"/>
                </w:tcPr>
                <w:p w14:paraId="05B624D7">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排气筒高度m</w:t>
                  </w:r>
                </w:p>
              </w:tc>
              <w:tc>
                <w:tcPr>
                  <w:tcW w:w="2006" w:type="dxa"/>
                  <w:tcBorders>
                    <w:tl2br w:val="nil"/>
                    <w:tr2bl w:val="nil"/>
                  </w:tcBorders>
                  <w:noWrap w:val="0"/>
                  <w:vAlign w:val="center"/>
                </w:tcPr>
                <w:p w14:paraId="7E2255C8">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排放量kg/h</w:t>
                  </w:r>
                </w:p>
              </w:tc>
              <w:tc>
                <w:tcPr>
                  <w:tcW w:w="2004" w:type="dxa"/>
                  <w:vMerge w:val="continue"/>
                  <w:tcBorders>
                    <w:tl2br w:val="nil"/>
                    <w:tr2bl w:val="nil"/>
                  </w:tcBorders>
                  <w:noWrap w:val="0"/>
                  <w:vAlign w:val="center"/>
                </w:tcPr>
                <w:p w14:paraId="7C29EFEB">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p>
              </w:tc>
            </w:tr>
            <w:tr w14:paraId="3F7435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54" w:type="dxa"/>
                  <w:tcBorders>
                    <w:tl2br w:val="nil"/>
                    <w:tr2bl w:val="nil"/>
                  </w:tcBorders>
                  <w:noWrap w:val="0"/>
                  <w:vAlign w:val="center"/>
                </w:tcPr>
                <w:p w14:paraId="266590B3">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1</w:t>
                  </w:r>
                </w:p>
              </w:tc>
              <w:tc>
                <w:tcPr>
                  <w:tcW w:w="1310" w:type="dxa"/>
                  <w:tcBorders>
                    <w:tl2br w:val="nil"/>
                    <w:tr2bl w:val="nil"/>
                  </w:tcBorders>
                  <w:noWrap w:val="0"/>
                  <w:vAlign w:val="center"/>
                </w:tcPr>
                <w:p w14:paraId="3BA8D3AE">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硫化氢</w:t>
                  </w:r>
                </w:p>
              </w:tc>
              <w:tc>
                <w:tcPr>
                  <w:tcW w:w="2004" w:type="dxa"/>
                  <w:vMerge w:val="restart"/>
                  <w:tcBorders>
                    <w:tl2br w:val="nil"/>
                    <w:tr2bl w:val="nil"/>
                  </w:tcBorders>
                  <w:noWrap w:val="0"/>
                  <w:vAlign w:val="center"/>
                </w:tcPr>
                <w:p w14:paraId="31F23F8C">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15</w:t>
                  </w:r>
                </w:p>
              </w:tc>
              <w:tc>
                <w:tcPr>
                  <w:tcW w:w="2006" w:type="dxa"/>
                  <w:tcBorders>
                    <w:tl2br w:val="nil"/>
                    <w:tr2bl w:val="nil"/>
                  </w:tcBorders>
                  <w:noWrap w:val="0"/>
                  <w:vAlign w:val="center"/>
                </w:tcPr>
                <w:p w14:paraId="37786063">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0.33</w:t>
                  </w:r>
                </w:p>
              </w:tc>
              <w:tc>
                <w:tcPr>
                  <w:tcW w:w="2004" w:type="dxa"/>
                  <w:tcBorders>
                    <w:tl2br w:val="nil"/>
                    <w:tr2bl w:val="nil"/>
                  </w:tcBorders>
                  <w:noWrap w:val="0"/>
                  <w:vAlign w:val="center"/>
                </w:tcPr>
                <w:p w14:paraId="63AA3B68">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0.06</w:t>
                  </w:r>
                  <w:r>
                    <w:rPr>
                      <w:rStyle w:val="113"/>
                      <w:rFonts w:hint="default" w:ascii="Times New Roman" w:hAnsi="Times New Roman" w:cs="Times New Roman"/>
                      <w:b w:val="0"/>
                      <w:color w:val="auto"/>
                      <w:sz w:val="21"/>
                      <w:szCs w:val="21"/>
                      <w:highlight w:val="none"/>
                    </w:rPr>
                    <w:t>mg/m</w:t>
                  </w:r>
                  <w:r>
                    <w:rPr>
                      <w:rStyle w:val="113"/>
                      <w:rFonts w:hint="default" w:ascii="Times New Roman" w:hAnsi="Times New Roman" w:cs="Times New Roman"/>
                      <w:b w:val="0"/>
                      <w:color w:val="auto"/>
                      <w:sz w:val="21"/>
                      <w:szCs w:val="21"/>
                      <w:highlight w:val="none"/>
                      <w:vertAlign w:val="superscript"/>
                    </w:rPr>
                    <w:t>3</w:t>
                  </w:r>
                </w:p>
              </w:tc>
            </w:tr>
            <w:tr w14:paraId="33A7F3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54" w:type="dxa"/>
                  <w:tcBorders>
                    <w:tl2br w:val="nil"/>
                    <w:tr2bl w:val="nil"/>
                  </w:tcBorders>
                  <w:noWrap w:val="0"/>
                  <w:vAlign w:val="center"/>
                </w:tcPr>
                <w:p w14:paraId="7FA6C2C2">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2</w:t>
                  </w:r>
                </w:p>
              </w:tc>
              <w:tc>
                <w:tcPr>
                  <w:tcW w:w="1310" w:type="dxa"/>
                  <w:tcBorders>
                    <w:tl2br w:val="nil"/>
                    <w:tr2bl w:val="nil"/>
                  </w:tcBorders>
                  <w:noWrap w:val="0"/>
                  <w:vAlign w:val="center"/>
                </w:tcPr>
                <w:p w14:paraId="355FFBCB">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氨</w:t>
                  </w:r>
                </w:p>
              </w:tc>
              <w:tc>
                <w:tcPr>
                  <w:tcW w:w="2004" w:type="dxa"/>
                  <w:vMerge w:val="continue"/>
                  <w:tcBorders>
                    <w:tl2br w:val="nil"/>
                    <w:tr2bl w:val="nil"/>
                  </w:tcBorders>
                  <w:noWrap w:val="0"/>
                  <w:vAlign w:val="center"/>
                </w:tcPr>
                <w:p w14:paraId="62F71C15">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p>
              </w:tc>
              <w:tc>
                <w:tcPr>
                  <w:tcW w:w="2006" w:type="dxa"/>
                  <w:tcBorders>
                    <w:tl2br w:val="nil"/>
                    <w:tr2bl w:val="nil"/>
                  </w:tcBorders>
                  <w:noWrap w:val="0"/>
                  <w:vAlign w:val="center"/>
                </w:tcPr>
                <w:p w14:paraId="25770EDA">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4.9</w:t>
                  </w:r>
                </w:p>
              </w:tc>
              <w:tc>
                <w:tcPr>
                  <w:tcW w:w="2004" w:type="dxa"/>
                  <w:tcBorders>
                    <w:tl2br w:val="nil"/>
                    <w:tr2bl w:val="nil"/>
                  </w:tcBorders>
                  <w:noWrap w:val="0"/>
                  <w:vAlign w:val="center"/>
                </w:tcPr>
                <w:p w14:paraId="6895756A">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1.5</w:t>
                  </w:r>
                  <w:r>
                    <w:rPr>
                      <w:rStyle w:val="113"/>
                      <w:rFonts w:hint="default" w:ascii="Times New Roman" w:hAnsi="Times New Roman" w:cs="Times New Roman"/>
                      <w:b w:val="0"/>
                      <w:color w:val="auto"/>
                      <w:sz w:val="21"/>
                      <w:szCs w:val="21"/>
                      <w:highlight w:val="none"/>
                    </w:rPr>
                    <w:t>mg/m</w:t>
                  </w:r>
                  <w:r>
                    <w:rPr>
                      <w:rStyle w:val="113"/>
                      <w:rFonts w:hint="default" w:ascii="Times New Roman" w:hAnsi="Times New Roman" w:cs="Times New Roman"/>
                      <w:b w:val="0"/>
                      <w:color w:val="auto"/>
                      <w:sz w:val="21"/>
                      <w:szCs w:val="21"/>
                      <w:highlight w:val="none"/>
                      <w:vertAlign w:val="superscript"/>
                    </w:rPr>
                    <w:t>3</w:t>
                  </w:r>
                </w:p>
              </w:tc>
            </w:tr>
            <w:tr w14:paraId="34F2E9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54" w:type="dxa"/>
                  <w:tcBorders>
                    <w:tl2br w:val="nil"/>
                    <w:tr2bl w:val="nil"/>
                  </w:tcBorders>
                  <w:noWrap w:val="0"/>
                  <w:vAlign w:val="center"/>
                </w:tcPr>
                <w:p w14:paraId="6AED6635">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3</w:t>
                  </w:r>
                </w:p>
              </w:tc>
              <w:tc>
                <w:tcPr>
                  <w:tcW w:w="1310" w:type="dxa"/>
                  <w:tcBorders>
                    <w:tl2br w:val="nil"/>
                    <w:tr2bl w:val="nil"/>
                  </w:tcBorders>
                  <w:noWrap w:val="0"/>
                  <w:vAlign w:val="center"/>
                </w:tcPr>
                <w:p w14:paraId="08ED1F27">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臭气浓度</w:t>
                  </w:r>
                </w:p>
              </w:tc>
              <w:tc>
                <w:tcPr>
                  <w:tcW w:w="2004" w:type="dxa"/>
                  <w:vMerge w:val="continue"/>
                  <w:tcBorders>
                    <w:tl2br w:val="nil"/>
                    <w:tr2bl w:val="nil"/>
                  </w:tcBorders>
                  <w:noWrap w:val="0"/>
                  <w:vAlign w:val="center"/>
                </w:tcPr>
                <w:p w14:paraId="40E7F9A5">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p>
              </w:tc>
              <w:tc>
                <w:tcPr>
                  <w:tcW w:w="2006" w:type="dxa"/>
                  <w:tcBorders>
                    <w:tl2br w:val="nil"/>
                    <w:tr2bl w:val="nil"/>
                  </w:tcBorders>
                  <w:noWrap w:val="0"/>
                  <w:vAlign w:val="center"/>
                </w:tcPr>
                <w:p w14:paraId="29269B0F">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2000（无量纲）</w:t>
                  </w:r>
                </w:p>
              </w:tc>
              <w:tc>
                <w:tcPr>
                  <w:tcW w:w="2004" w:type="dxa"/>
                  <w:tcBorders>
                    <w:tl2br w:val="nil"/>
                    <w:tr2bl w:val="nil"/>
                  </w:tcBorders>
                  <w:noWrap w:val="0"/>
                  <w:vAlign w:val="center"/>
                </w:tcPr>
                <w:p w14:paraId="31C706F6">
                  <w:pPr>
                    <w:pStyle w:val="111"/>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20（无量纲）</w:t>
                  </w:r>
                </w:p>
              </w:tc>
            </w:tr>
          </w:tbl>
          <w:p w14:paraId="3131097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Cs/>
                <w:color w:val="auto"/>
                <w:spacing w:val="0"/>
                <w:kern w:val="0"/>
                <w:position w:val="0"/>
                <w:sz w:val="24"/>
                <w:szCs w:val="24"/>
                <w:highlight w:val="none"/>
              </w:rPr>
            </w:pPr>
            <w:r>
              <w:rPr>
                <w:rFonts w:hint="default" w:ascii="Times New Roman" w:hAnsi="Times New Roman" w:eastAsia="宋体" w:cs="Times New Roman"/>
                <w:b/>
                <w:color w:val="auto"/>
                <w:spacing w:val="0"/>
                <w:kern w:val="0"/>
                <w:position w:val="0"/>
                <w:sz w:val="24"/>
                <w:szCs w:val="24"/>
                <w:highlight w:val="none"/>
              </w:rPr>
              <w:t>表3-</w:t>
            </w:r>
            <w:r>
              <w:rPr>
                <w:rFonts w:hint="default" w:ascii="Times New Roman" w:hAnsi="Times New Roman" w:cs="Times New Roman"/>
                <w:b/>
                <w:color w:val="auto"/>
                <w:spacing w:val="0"/>
                <w:kern w:val="0"/>
                <w:position w:val="0"/>
                <w:sz w:val="24"/>
                <w:szCs w:val="24"/>
                <w:highlight w:val="none"/>
                <w:lang w:val="en-US" w:eastAsia="zh-CN"/>
              </w:rPr>
              <w:t>9</w:t>
            </w:r>
            <w:r>
              <w:rPr>
                <w:rFonts w:hint="default" w:ascii="Times New Roman" w:hAnsi="Times New Roman" w:eastAsia="宋体" w:cs="Times New Roman"/>
                <w:b/>
                <w:color w:val="auto"/>
                <w:spacing w:val="0"/>
                <w:kern w:val="0"/>
                <w:position w:val="0"/>
                <w:sz w:val="24"/>
                <w:szCs w:val="24"/>
                <w:highlight w:val="none"/>
              </w:rPr>
              <w:t xml:space="preserve"> 挥发性有机物无组织排放控制标准</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190"/>
              <w:gridCol w:w="2595"/>
              <w:gridCol w:w="2730"/>
              <w:gridCol w:w="1459"/>
            </w:tblGrid>
            <w:tr w14:paraId="0C9CA0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27" w:hRule="atLeast"/>
                <w:jc w:val="center"/>
              </w:trPr>
              <w:tc>
                <w:tcPr>
                  <w:tcW w:w="1190" w:type="dxa"/>
                  <w:noWrap w:val="0"/>
                  <w:vAlign w:val="center"/>
                </w:tcPr>
                <w:p w14:paraId="49C601C9">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污染物项目</w:t>
                  </w:r>
                </w:p>
              </w:tc>
              <w:tc>
                <w:tcPr>
                  <w:tcW w:w="2595" w:type="dxa"/>
                  <w:noWrap w:val="0"/>
                  <w:vAlign w:val="center"/>
                </w:tcPr>
                <w:p w14:paraId="19EC1035">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排放限值</w:t>
                  </w:r>
                </w:p>
              </w:tc>
              <w:tc>
                <w:tcPr>
                  <w:tcW w:w="2730" w:type="dxa"/>
                  <w:noWrap w:val="0"/>
                  <w:vAlign w:val="center"/>
                </w:tcPr>
                <w:p w14:paraId="0A430C4A">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限值含义</w:t>
                  </w:r>
                </w:p>
              </w:tc>
              <w:tc>
                <w:tcPr>
                  <w:tcW w:w="1459" w:type="dxa"/>
                  <w:noWrap w:val="0"/>
                  <w:vAlign w:val="center"/>
                </w:tcPr>
                <w:p w14:paraId="759F09F6">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position w:val="0"/>
                      <w:szCs w:val="21"/>
                      <w:highlight w:val="none"/>
                    </w:rPr>
                    <w:t>无组织排放监控位置</w:t>
                  </w:r>
                </w:p>
              </w:tc>
            </w:tr>
            <w:tr w14:paraId="5C858F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190" w:type="dxa"/>
                  <w:vMerge w:val="restart"/>
                  <w:noWrap w:val="0"/>
                  <w:vAlign w:val="center"/>
                </w:tcPr>
                <w:p w14:paraId="6E3AF38B">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NMHC</w:t>
                  </w:r>
                </w:p>
              </w:tc>
              <w:tc>
                <w:tcPr>
                  <w:tcW w:w="2595" w:type="dxa"/>
                  <w:noWrap w:val="0"/>
                  <w:vAlign w:val="center"/>
                </w:tcPr>
                <w:p w14:paraId="62D25082">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10</w:t>
                  </w:r>
                  <w:r>
                    <w:rPr>
                      <w:rStyle w:val="113"/>
                      <w:rFonts w:hint="default" w:ascii="Times New Roman" w:hAnsi="Times New Roman" w:cs="Times New Roman"/>
                      <w:b w:val="0"/>
                      <w:color w:val="auto"/>
                      <w:sz w:val="21"/>
                      <w:szCs w:val="21"/>
                      <w:highlight w:val="none"/>
                    </w:rPr>
                    <w:t>mg/m</w:t>
                  </w:r>
                  <w:r>
                    <w:rPr>
                      <w:rStyle w:val="113"/>
                      <w:rFonts w:hint="default" w:ascii="Times New Roman" w:hAnsi="Times New Roman" w:cs="Times New Roman"/>
                      <w:b w:val="0"/>
                      <w:color w:val="auto"/>
                      <w:sz w:val="21"/>
                      <w:szCs w:val="21"/>
                      <w:highlight w:val="none"/>
                      <w:vertAlign w:val="superscript"/>
                    </w:rPr>
                    <w:t>3</w:t>
                  </w:r>
                </w:p>
              </w:tc>
              <w:tc>
                <w:tcPr>
                  <w:tcW w:w="2730" w:type="dxa"/>
                  <w:noWrap w:val="0"/>
                  <w:vAlign w:val="center"/>
                </w:tcPr>
                <w:p w14:paraId="1E9CC3DB">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监控点处1h平均浓度值</w:t>
                  </w:r>
                </w:p>
              </w:tc>
              <w:tc>
                <w:tcPr>
                  <w:tcW w:w="1459" w:type="dxa"/>
                  <w:vMerge w:val="restart"/>
                  <w:noWrap w:val="0"/>
                  <w:vAlign w:val="center"/>
                </w:tcPr>
                <w:p w14:paraId="370EF48E">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在厂房外设置监控点</w:t>
                  </w:r>
                </w:p>
              </w:tc>
            </w:tr>
            <w:tr w14:paraId="44B6CC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27" w:hRule="atLeast"/>
                <w:jc w:val="center"/>
              </w:trPr>
              <w:tc>
                <w:tcPr>
                  <w:tcW w:w="1190" w:type="dxa"/>
                  <w:vMerge w:val="continue"/>
                  <w:noWrap w:val="0"/>
                  <w:vAlign w:val="center"/>
                </w:tcPr>
                <w:p w14:paraId="4CAC9673">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p>
              </w:tc>
              <w:tc>
                <w:tcPr>
                  <w:tcW w:w="2595" w:type="dxa"/>
                  <w:noWrap w:val="0"/>
                  <w:vAlign w:val="center"/>
                </w:tcPr>
                <w:p w14:paraId="784A8D8A">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30</w:t>
                  </w:r>
                  <w:r>
                    <w:rPr>
                      <w:rStyle w:val="113"/>
                      <w:rFonts w:hint="default" w:ascii="Times New Roman" w:hAnsi="Times New Roman" w:cs="Times New Roman"/>
                      <w:b w:val="0"/>
                      <w:color w:val="auto"/>
                      <w:sz w:val="21"/>
                      <w:szCs w:val="21"/>
                      <w:highlight w:val="none"/>
                    </w:rPr>
                    <w:t>mg/m</w:t>
                  </w:r>
                  <w:r>
                    <w:rPr>
                      <w:rStyle w:val="113"/>
                      <w:rFonts w:hint="default" w:ascii="Times New Roman" w:hAnsi="Times New Roman" w:cs="Times New Roman"/>
                      <w:b w:val="0"/>
                      <w:color w:val="auto"/>
                      <w:sz w:val="21"/>
                      <w:szCs w:val="21"/>
                      <w:highlight w:val="none"/>
                      <w:vertAlign w:val="superscript"/>
                    </w:rPr>
                    <w:t>3</w:t>
                  </w:r>
                </w:p>
              </w:tc>
              <w:tc>
                <w:tcPr>
                  <w:tcW w:w="2730" w:type="dxa"/>
                  <w:noWrap w:val="0"/>
                  <w:vAlign w:val="center"/>
                </w:tcPr>
                <w:p w14:paraId="418E22C5">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监控点处任意一次浓度值</w:t>
                  </w:r>
                </w:p>
              </w:tc>
              <w:tc>
                <w:tcPr>
                  <w:tcW w:w="1459" w:type="dxa"/>
                  <w:vMerge w:val="continue"/>
                  <w:noWrap w:val="0"/>
                  <w:vAlign w:val="center"/>
                </w:tcPr>
                <w:p w14:paraId="41163C9C">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r>
          </w:tbl>
          <w:p w14:paraId="50AD3CB6">
            <w:pPr>
              <w:pStyle w:val="87"/>
              <w:keepNext w:val="0"/>
              <w:keepLines w:val="0"/>
              <w:pageBreakBefore w:val="0"/>
              <w:widowControl w:val="0"/>
              <w:kinsoku/>
              <w:wordWrap w:val="0"/>
              <w:overflowPunct/>
              <w:topLinePunct w:val="0"/>
              <w:autoSpaceDE/>
              <w:autoSpaceDN/>
              <w:bidi w:val="0"/>
              <w:adjustRightInd w:val="0"/>
              <w:snapToGrid w:val="0"/>
              <w:spacing w:beforeAutospacing="0" w:afterAutospacing="0" w:line="520" w:lineRule="exact"/>
              <w:ind w:left="0" w:leftChars="0" w:right="0" w:rightChars="0" w:firstLine="42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2、噪声</w:t>
            </w:r>
          </w:p>
          <w:p w14:paraId="0B609747">
            <w:pPr>
              <w:pStyle w:val="87"/>
              <w:keepNext w:val="0"/>
              <w:keepLines w:val="0"/>
              <w:pageBreakBefore w:val="0"/>
              <w:widowControl w:val="0"/>
              <w:kinsoku/>
              <w:wordWrap w:val="0"/>
              <w:overflowPunct/>
              <w:topLinePunct w:val="0"/>
              <w:autoSpaceDE/>
              <w:autoSpaceDN/>
              <w:bidi w:val="0"/>
              <w:adjustRightInd w:val="0"/>
              <w:snapToGrid w:val="0"/>
              <w:spacing w:beforeAutospacing="0" w:afterAutospacing="0" w:line="520" w:lineRule="exact"/>
              <w:ind w:left="0" w:leftChars="0" w:right="0" w:rightChars="0" w:firstLine="42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本项目运营期噪声执行《工业企业厂界环境噪声排放标准》（GB12348-2008）中3类标准。</w:t>
            </w:r>
          </w:p>
          <w:p w14:paraId="54C2F65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color w:val="auto"/>
                <w:spacing w:val="0"/>
                <w:kern w:val="0"/>
                <w:position w:val="0"/>
                <w:sz w:val="24"/>
                <w:szCs w:val="24"/>
                <w:highlight w:val="none"/>
              </w:rPr>
            </w:pPr>
            <w:r>
              <w:rPr>
                <w:rFonts w:hint="default" w:ascii="Times New Roman" w:hAnsi="Times New Roman" w:eastAsia="宋体" w:cs="Times New Roman"/>
                <w:b/>
                <w:color w:val="auto"/>
                <w:spacing w:val="0"/>
                <w:kern w:val="0"/>
                <w:position w:val="0"/>
                <w:sz w:val="24"/>
                <w:szCs w:val="24"/>
                <w:highlight w:val="none"/>
              </w:rPr>
              <w:t>表3-</w:t>
            </w:r>
            <w:r>
              <w:rPr>
                <w:rFonts w:hint="default" w:ascii="Times New Roman" w:hAnsi="Times New Roman" w:cs="Times New Roman"/>
                <w:b/>
                <w:color w:val="auto"/>
                <w:spacing w:val="0"/>
                <w:kern w:val="0"/>
                <w:position w:val="0"/>
                <w:sz w:val="24"/>
                <w:szCs w:val="24"/>
                <w:highlight w:val="none"/>
                <w:lang w:val="en-US" w:eastAsia="zh-CN"/>
              </w:rPr>
              <w:t>10</w:t>
            </w:r>
            <w:r>
              <w:rPr>
                <w:rFonts w:hint="default" w:ascii="Times New Roman" w:hAnsi="Times New Roman" w:eastAsia="宋体" w:cs="Times New Roman"/>
                <w:b/>
                <w:color w:val="auto"/>
                <w:spacing w:val="0"/>
                <w:kern w:val="0"/>
                <w:position w:val="0"/>
                <w:sz w:val="24"/>
                <w:szCs w:val="24"/>
                <w:highlight w:val="none"/>
              </w:rPr>
              <w:t xml:space="preserve"> 工业企业厂界环境噪声排放标准  单位：dB（A）</w:t>
            </w:r>
          </w:p>
          <w:tbl>
            <w:tblPr>
              <w:tblStyle w:val="29"/>
              <w:tblW w:w="812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1962"/>
              <w:gridCol w:w="889"/>
              <w:gridCol w:w="889"/>
              <w:gridCol w:w="4385"/>
            </w:tblGrid>
            <w:tr w14:paraId="300631DC">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cantSplit/>
                <w:trHeight w:val="227" w:hRule="atLeast"/>
                <w:jc w:val="center"/>
              </w:trPr>
              <w:tc>
                <w:tcPr>
                  <w:tcW w:w="1962" w:type="dxa"/>
                  <w:vMerge w:val="restart"/>
                  <w:noWrap w:val="0"/>
                  <w:vAlign w:val="center"/>
                </w:tcPr>
                <w:p w14:paraId="60E25E30">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类别</w:t>
                  </w:r>
                </w:p>
              </w:tc>
              <w:tc>
                <w:tcPr>
                  <w:tcW w:w="1778" w:type="dxa"/>
                  <w:gridSpan w:val="2"/>
                  <w:noWrap w:val="0"/>
                  <w:vAlign w:val="center"/>
                </w:tcPr>
                <w:p w14:paraId="7F46536F">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标准值</w:t>
                  </w:r>
                </w:p>
              </w:tc>
              <w:tc>
                <w:tcPr>
                  <w:tcW w:w="4385" w:type="dxa"/>
                  <w:vMerge w:val="restart"/>
                  <w:noWrap w:val="0"/>
                  <w:vAlign w:val="center"/>
                </w:tcPr>
                <w:p w14:paraId="4D8A5150">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标准来源</w:t>
                  </w:r>
                </w:p>
              </w:tc>
            </w:tr>
            <w:tr w14:paraId="18162574">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cantSplit/>
                <w:trHeight w:val="227" w:hRule="atLeast"/>
                <w:jc w:val="center"/>
              </w:trPr>
              <w:tc>
                <w:tcPr>
                  <w:tcW w:w="1962" w:type="dxa"/>
                  <w:vMerge w:val="continue"/>
                  <w:noWrap w:val="0"/>
                  <w:vAlign w:val="center"/>
                </w:tcPr>
                <w:p w14:paraId="21480131">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tc>
              <w:tc>
                <w:tcPr>
                  <w:tcW w:w="889" w:type="dxa"/>
                  <w:noWrap w:val="0"/>
                  <w:vAlign w:val="center"/>
                </w:tcPr>
                <w:p w14:paraId="5E947237">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昼间</w:t>
                  </w:r>
                </w:p>
              </w:tc>
              <w:tc>
                <w:tcPr>
                  <w:tcW w:w="889" w:type="dxa"/>
                  <w:noWrap w:val="0"/>
                  <w:vAlign w:val="center"/>
                </w:tcPr>
                <w:p w14:paraId="0E2B8E57">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夜间</w:t>
                  </w:r>
                </w:p>
              </w:tc>
              <w:tc>
                <w:tcPr>
                  <w:tcW w:w="4385" w:type="dxa"/>
                  <w:vMerge w:val="continue"/>
                  <w:noWrap w:val="0"/>
                  <w:vAlign w:val="center"/>
                </w:tcPr>
                <w:p w14:paraId="532EE81D">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tc>
            </w:tr>
            <w:tr w14:paraId="426D3B41">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cantSplit/>
                <w:trHeight w:val="227" w:hRule="atLeast"/>
                <w:jc w:val="center"/>
              </w:trPr>
              <w:tc>
                <w:tcPr>
                  <w:tcW w:w="1962" w:type="dxa"/>
                  <w:noWrap w:val="0"/>
                  <w:vAlign w:val="center"/>
                </w:tcPr>
                <w:p w14:paraId="30BCD1F4">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lang w:val="en-US" w:eastAsia="zh-CN"/>
                    </w:rPr>
                    <w:t>3</w:t>
                  </w:r>
                  <w:r>
                    <w:rPr>
                      <w:rFonts w:hint="default" w:ascii="Times New Roman" w:hAnsi="Times New Roman" w:eastAsia="宋体" w:cs="Times New Roman"/>
                      <w:color w:val="auto"/>
                      <w:spacing w:val="0"/>
                      <w:position w:val="0"/>
                      <w:highlight w:val="none"/>
                    </w:rPr>
                    <w:t>类</w:t>
                  </w:r>
                </w:p>
              </w:tc>
              <w:tc>
                <w:tcPr>
                  <w:tcW w:w="889" w:type="dxa"/>
                  <w:noWrap w:val="0"/>
                  <w:vAlign w:val="center"/>
                </w:tcPr>
                <w:p w14:paraId="0BB1101D">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eastAsia="zh-CN"/>
                    </w:rPr>
                  </w:pPr>
                  <w:r>
                    <w:rPr>
                      <w:rFonts w:hint="default" w:ascii="Times New Roman" w:hAnsi="Times New Roman" w:eastAsia="宋体" w:cs="Times New Roman"/>
                      <w:color w:val="auto"/>
                      <w:spacing w:val="0"/>
                      <w:position w:val="0"/>
                      <w:highlight w:val="none"/>
                    </w:rPr>
                    <w:t>6</w:t>
                  </w:r>
                  <w:r>
                    <w:rPr>
                      <w:rFonts w:hint="default" w:ascii="Times New Roman" w:hAnsi="Times New Roman" w:eastAsia="宋体" w:cs="Times New Roman"/>
                      <w:color w:val="auto"/>
                      <w:spacing w:val="0"/>
                      <w:position w:val="0"/>
                      <w:highlight w:val="none"/>
                      <w:lang w:val="en-US" w:eastAsia="zh-CN"/>
                    </w:rPr>
                    <w:t>5</w:t>
                  </w:r>
                </w:p>
              </w:tc>
              <w:tc>
                <w:tcPr>
                  <w:tcW w:w="889" w:type="dxa"/>
                  <w:noWrap w:val="0"/>
                  <w:vAlign w:val="center"/>
                </w:tcPr>
                <w:p w14:paraId="7457CBC1">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eastAsia="宋体" w:cs="Times New Roman"/>
                      <w:color w:val="auto"/>
                      <w:spacing w:val="0"/>
                      <w:position w:val="0"/>
                      <w:highlight w:val="none"/>
                      <w:lang w:val="en-US" w:eastAsia="zh-CN"/>
                    </w:rPr>
                    <w:t>55</w:t>
                  </w:r>
                </w:p>
              </w:tc>
              <w:tc>
                <w:tcPr>
                  <w:tcW w:w="4385" w:type="dxa"/>
                  <w:noWrap w:val="0"/>
                  <w:vAlign w:val="center"/>
                </w:tcPr>
                <w:p w14:paraId="7F79873D">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《工业企业厂界环境噪声排放标准》（GB12348-2008）</w:t>
                  </w:r>
                </w:p>
              </w:tc>
            </w:tr>
          </w:tbl>
          <w:p w14:paraId="3617F23F">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3、废水</w:t>
            </w:r>
          </w:p>
          <w:p w14:paraId="54A36DF1">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废水排放执行《食品加工制造业水污染物排放标准》（GB 46817-2025）表1中间接排放标准及桦川县污水处理厂进水水质标准。</w:t>
            </w:r>
          </w:p>
          <w:p w14:paraId="09B42E38">
            <w:pPr>
              <w:pStyle w:val="24"/>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2"/>
                <w:position w:val="0"/>
                <w:sz w:val="24"/>
                <w:szCs w:val="36"/>
                <w:highlight w:val="none"/>
              </w:rPr>
            </w:pPr>
            <w:r>
              <w:rPr>
                <w:rFonts w:hint="default" w:ascii="Times New Roman" w:hAnsi="Times New Roman" w:eastAsia="宋体" w:cs="Times New Roman"/>
                <w:color w:val="auto"/>
                <w:spacing w:val="0"/>
                <w:kern w:val="2"/>
                <w:position w:val="0"/>
                <w:sz w:val="24"/>
                <w:szCs w:val="36"/>
                <w:highlight w:val="none"/>
              </w:rPr>
              <w:t>表3-1</w:t>
            </w:r>
            <w:r>
              <w:rPr>
                <w:rFonts w:hint="default" w:ascii="Times New Roman" w:hAnsi="Times New Roman" w:cs="Times New Roman"/>
                <w:color w:val="auto"/>
                <w:spacing w:val="0"/>
                <w:kern w:val="2"/>
                <w:position w:val="0"/>
                <w:sz w:val="24"/>
                <w:szCs w:val="36"/>
                <w:highlight w:val="none"/>
                <w:lang w:val="en-US" w:eastAsia="zh-CN"/>
              </w:rPr>
              <w:t xml:space="preserve">1 </w:t>
            </w:r>
            <w:r>
              <w:rPr>
                <w:rFonts w:hint="default" w:ascii="Times New Roman" w:hAnsi="Times New Roman" w:eastAsia="宋体" w:cs="Times New Roman"/>
                <w:color w:val="auto"/>
                <w:spacing w:val="0"/>
                <w:kern w:val="2"/>
                <w:position w:val="0"/>
                <w:sz w:val="24"/>
                <w:szCs w:val="36"/>
                <w:highlight w:val="none"/>
              </w:rPr>
              <w:t>《食品加工制造业水污染物排放标准》（GB 46817-2025）</w:t>
            </w:r>
          </w:p>
          <w:tbl>
            <w:tblPr>
              <w:tblStyle w:val="29"/>
              <w:tblW w:w="8006"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907"/>
              <w:gridCol w:w="2768"/>
              <w:gridCol w:w="1147"/>
              <w:gridCol w:w="1346"/>
              <w:gridCol w:w="1838"/>
            </w:tblGrid>
            <w:tr w14:paraId="3B53EF7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907" w:type="dxa"/>
                  <w:noWrap w:val="0"/>
                  <w:vAlign w:val="center"/>
                </w:tcPr>
                <w:p w14:paraId="7C379D95">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序号</w:t>
                  </w:r>
                </w:p>
              </w:tc>
              <w:tc>
                <w:tcPr>
                  <w:tcW w:w="2768" w:type="dxa"/>
                  <w:noWrap w:val="0"/>
                  <w:vAlign w:val="center"/>
                </w:tcPr>
                <w:p w14:paraId="19E57165">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项目</w:t>
                  </w:r>
                </w:p>
              </w:tc>
              <w:tc>
                <w:tcPr>
                  <w:tcW w:w="1147" w:type="dxa"/>
                  <w:noWrap w:val="0"/>
                  <w:vAlign w:val="center"/>
                </w:tcPr>
                <w:p w14:paraId="1F76AF09">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单位</w:t>
                  </w:r>
                </w:p>
              </w:tc>
              <w:tc>
                <w:tcPr>
                  <w:tcW w:w="1346" w:type="dxa"/>
                  <w:noWrap w:val="0"/>
                  <w:vAlign w:val="center"/>
                </w:tcPr>
                <w:p w14:paraId="585EDA39">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标准值</w:t>
                  </w:r>
                </w:p>
              </w:tc>
              <w:tc>
                <w:tcPr>
                  <w:tcW w:w="1838" w:type="dxa"/>
                  <w:noWrap w:val="0"/>
                  <w:vAlign w:val="center"/>
                </w:tcPr>
                <w:p w14:paraId="48609D83">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标准来源</w:t>
                  </w:r>
                </w:p>
              </w:tc>
            </w:tr>
            <w:tr w14:paraId="3AD3CD6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907" w:type="dxa"/>
                  <w:noWrap w:val="0"/>
                  <w:vAlign w:val="center"/>
                </w:tcPr>
                <w:p w14:paraId="7F9ED503">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1</w:t>
                  </w:r>
                </w:p>
              </w:tc>
              <w:tc>
                <w:tcPr>
                  <w:tcW w:w="2768" w:type="dxa"/>
                  <w:noWrap w:val="0"/>
                  <w:vAlign w:val="center"/>
                </w:tcPr>
                <w:p w14:paraId="3D1029C4">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pH</w:t>
                  </w:r>
                </w:p>
              </w:tc>
              <w:tc>
                <w:tcPr>
                  <w:tcW w:w="1147" w:type="dxa"/>
                  <w:noWrap w:val="0"/>
                  <w:vAlign w:val="center"/>
                </w:tcPr>
                <w:p w14:paraId="291D39D2">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无量纲</w:t>
                  </w:r>
                </w:p>
              </w:tc>
              <w:tc>
                <w:tcPr>
                  <w:tcW w:w="1346" w:type="dxa"/>
                  <w:noWrap w:val="0"/>
                  <w:vAlign w:val="center"/>
                </w:tcPr>
                <w:p w14:paraId="0E674743">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6~9</w:t>
                  </w:r>
                </w:p>
              </w:tc>
              <w:tc>
                <w:tcPr>
                  <w:tcW w:w="1838" w:type="dxa"/>
                  <w:vMerge w:val="restart"/>
                  <w:noWrap w:val="0"/>
                  <w:vAlign w:val="center"/>
                </w:tcPr>
                <w:p w14:paraId="468527A1">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《食品加工制造业水污染物排放标准》（GB 46817-2025）表1中间接排放标准</w:t>
                  </w:r>
                </w:p>
              </w:tc>
            </w:tr>
            <w:tr w14:paraId="435C8C0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907" w:type="dxa"/>
                  <w:shd w:val="clear" w:color="auto" w:fill="auto"/>
                  <w:noWrap w:val="0"/>
                  <w:vAlign w:val="center"/>
                </w:tcPr>
                <w:p w14:paraId="039D8205">
                  <w:pPr>
                    <w:pStyle w:val="9"/>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rPr>
                      <w:rFonts w:hint="default" w:ascii="Times New Roman" w:hAnsi="Times New Roman" w:eastAsia="宋体" w:cs="Times New Roman"/>
                      <w:color w:val="auto"/>
                      <w:spacing w:val="0"/>
                      <w:kern w:val="0"/>
                      <w:position w:val="0"/>
                      <w:sz w:val="21"/>
                      <w:szCs w:val="20"/>
                      <w:highlight w:val="none"/>
                      <w:lang w:val="en-US" w:eastAsia="zh-CN" w:bidi="ar-SA"/>
                    </w:rPr>
                  </w:pPr>
                  <w:r>
                    <w:rPr>
                      <w:rFonts w:hint="default" w:ascii="Times New Roman" w:hAnsi="Times New Roman" w:eastAsia="宋体" w:cs="Times New Roman"/>
                      <w:color w:val="auto"/>
                      <w:spacing w:val="0"/>
                      <w:position w:val="0"/>
                      <w:highlight w:val="none"/>
                    </w:rPr>
                    <w:t>2</w:t>
                  </w:r>
                </w:p>
              </w:tc>
              <w:tc>
                <w:tcPr>
                  <w:tcW w:w="2768" w:type="dxa"/>
                  <w:noWrap w:val="0"/>
                  <w:vAlign w:val="center"/>
                </w:tcPr>
                <w:p w14:paraId="2812D646">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色度</w:t>
                  </w:r>
                </w:p>
              </w:tc>
              <w:tc>
                <w:tcPr>
                  <w:tcW w:w="1147" w:type="dxa"/>
                  <w:noWrap w:val="0"/>
                  <w:vAlign w:val="center"/>
                </w:tcPr>
                <w:p w14:paraId="25C4F16E">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cs="Times New Roman"/>
                      <w:color w:val="auto"/>
                      <w:spacing w:val="0"/>
                      <w:position w:val="0"/>
                      <w:highlight w:val="none"/>
                      <w:lang w:val="en-US" w:eastAsia="zh-CN"/>
                    </w:rPr>
                    <w:t>稀释倍数</w:t>
                  </w:r>
                </w:p>
              </w:tc>
              <w:tc>
                <w:tcPr>
                  <w:tcW w:w="1346" w:type="dxa"/>
                  <w:noWrap w:val="0"/>
                  <w:vAlign w:val="center"/>
                </w:tcPr>
                <w:p w14:paraId="6D5959BF">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100</w:t>
                  </w:r>
                </w:p>
              </w:tc>
              <w:tc>
                <w:tcPr>
                  <w:tcW w:w="1838" w:type="dxa"/>
                  <w:vMerge w:val="continue"/>
                  <w:noWrap w:val="0"/>
                  <w:vAlign w:val="center"/>
                </w:tcPr>
                <w:p w14:paraId="54494E1C">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tc>
            </w:tr>
            <w:tr w14:paraId="6C105CA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907" w:type="dxa"/>
                  <w:shd w:val="clear" w:color="auto" w:fill="auto"/>
                  <w:noWrap w:val="0"/>
                  <w:vAlign w:val="center"/>
                </w:tcPr>
                <w:p w14:paraId="6A1D396D">
                  <w:pPr>
                    <w:pStyle w:val="9"/>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rPr>
                      <w:rFonts w:hint="default" w:ascii="Times New Roman" w:hAnsi="Times New Roman" w:eastAsia="宋体" w:cs="Times New Roman"/>
                      <w:color w:val="auto"/>
                      <w:spacing w:val="0"/>
                      <w:kern w:val="0"/>
                      <w:position w:val="0"/>
                      <w:sz w:val="21"/>
                      <w:szCs w:val="20"/>
                      <w:highlight w:val="none"/>
                      <w:lang w:val="en-US" w:eastAsia="zh-CN" w:bidi="ar-SA"/>
                    </w:rPr>
                  </w:pPr>
                  <w:r>
                    <w:rPr>
                      <w:rFonts w:hint="default" w:ascii="Times New Roman" w:hAnsi="Times New Roman" w:eastAsia="宋体" w:cs="Times New Roman"/>
                      <w:color w:val="auto"/>
                      <w:spacing w:val="0"/>
                      <w:position w:val="0"/>
                      <w:highlight w:val="none"/>
                    </w:rPr>
                    <w:t>3</w:t>
                  </w:r>
                </w:p>
              </w:tc>
              <w:tc>
                <w:tcPr>
                  <w:tcW w:w="2768" w:type="dxa"/>
                  <w:noWrap w:val="0"/>
                  <w:vAlign w:val="center"/>
                </w:tcPr>
                <w:p w14:paraId="515118C5">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悬浮物</w:t>
                  </w:r>
                </w:p>
              </w:tc>
              <w:tc>
                <w:tcPr>
                  <w:tcW w:w="1147" w:type="dxa"/>
                  <w:noWrap w:val="0"/>
                  <w:vAlign w:val="center"/>
                </w:tcPr>
                <w:p w14:paraId="4D5FB50F">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mg/L</w:t>
                  </w:r>
                </w:p>
              </w:tc>
              <w:tc>
                <w:tcPr>
                  <w:tcW w:w="1346" w:type="dxa"/>
                  <w:noWrap w:val="0"/>
                  <w:vAlign w:val="center"/>
                </w:tcPr>
                <w:p w14:paraId="06DCFA58">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400</w:t>
                  </w:r>
                </w:p>
              </w:tc>
              <w:tc>
                <w:tcPr>
                  <w:tcW w:w="1838" w:type="dxa"/>
                  <w:vMerge w:val="continue"/>
                  <w:noWrap w:val="0"/>
                  <w:vAlign w:val="center"/>
                </w:tcPr>
                <w:p w14:paraId="5A6E5020">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tc>
            </w:tr>
            <w:tr w14:paraId="1A30B60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907" w:type="dxa"/>
                  <w:shd w:val="clear" w:color="auto" w:fill="auto"/>
                  <w:noWrap w:val="0"/>
                  <w:vAlign w:val="center"/>
                </w:tcPr>
                <w:p w14:paraId="5793E64A">
                  <w:pPr>
                    <w:pStyle w:val="9"/>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rPr>
                      <w:rFonts w:hint="default" w:ascii="Times New Roman" w:hAnsi="Times New Roman" w:eastAsia="宋体" w:cs="Times New Roman"/>
                      <w:color w:val="auto"/>
                      <w:spacing w:val="0"/>
                      <w:kern w:val="0"/>
                      <w:position w:val="0"/>
                      <w:sz w:val="21"/>
                      <w:szCs w:val="20"/>
                      <w:highlight w:val="none"/>
                      <w:lang w:val="en-US" w:eastAsia="zh-CN" w:bidi="ar-SA"/>
                    </w:rPr>
                  </w:pPr>
                  <w:r>
                    <w:rPr>
                      <w:rFonts w:hint="default" w:ascii="Times New Roman" w:hAnsi="Times New Roman" w:eastAsia="宋体" w:cs="Times New Roman"/>
                      <w:color w:val="auto"/>
                      <w:spacing w:val="0"/>
                      <w:position w:val="0"/>
                      <w:highlight w:val="none"/>
                    </w:rPr>
                    <w:t>4</w:t>
                  </w:r>
                </w:p>
              </w:tc>
              <w:tc>
                <w:tcPr>
                  <w:tcW w:w="2768" w:type="dxa"/>
                  <w:noWrap w:val="0"/>
                  <w:vAlign w:val="center"/>
                </w:tcPr>
                <w:p w14:paraId="235CC66C">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五日生化需氧量（BOD</w:t>
                  </w:r>
                  <w:r>
                    <w:rPr>
                      <w:rFonts w:hint="default" w:ascii="Times New Roman" w:hAnsi="Times New Roman" w:cs="Times New Roman"/>
                      <w:color w:val="auto"/>
                      <w:spacing w:val="0"/>
                      <w:position w:val="0"/>
                      <w:highlight w:val="none"/>
                      <w:vertAlign w:val="subscript"/>
                      <w:lang w:val="en-US" w:eastAsia="zh-CN"/>
                    </w:rPr>
                    <w:t>5</w:t>
                  </w:r>
                  <w:r>
                    <w:rPr>
                      <w:rFonts w:hint="default" w:ascii="Times New Roman" w:hAnsi="Times New Roman" w:cs="Times New Roman"/>
                      <w:color w:val="auto"/>
                      <w:spacing w:val="0"/>
                      <w:position w:val="0"/>
                      <w:highlight w:val="none"/>
                      <w:lang w:val="en-US" w:eastAsia="zh-CN"/>
                    </w:rPr>
                    <w:t>）</w:t>
                  </w:r>
                </w:p>
              </w:tc>
              <w:tc>
                <w:tcPr>
                  <w:tcW w:w="1147" w:type="dxa"/>
                  <w:noWrap w:val="0"/>
                  <w:vAlign w:val="center"/>
                </w:tcPr>
                <w:p w14:paraId="2F661B19">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mg/L</w:t>
                  </w:r>
                </w:p>
              </w:tc>
              <w:tc>
                <w:tcPr>
                  <w:tcW w:w="1346" w:type="dxa"/>
                  <w:noWrap w:val="0"/>
                  <w:vAlign w:val="center"/>
                </w:tcPr>
                <w:p w14:paraId="602DF780">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350</w:t>
                  </w:r>
                </w:p>
              </w:tc>
              <w:tc>
                <w:tcPr>
                  <w:tcW w:w="1838" w:type="dxa"/>
                  <w:vMerge w:val="continue"/>
                  <w:noWrap w:val="0"/>
                  <w:vAlign w:val="center"/>
                </w:tcPr>
                <w:p w14:paraId="787AFEF6">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tc>
            </w:tr>
            <w:tr w14:paraId="5E01805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907" w:type="dxa"/>
                  <w:shd w:val="clear" w:color="auto" w:fill="auto"/>
                  <w:noWrap w:val="0"/>
                  <w:vAlign w:val="center"/>
                </w:tcPr>
                <w:p w14:paraId="035F2638">
                  <w:pPr>
                    <w:pStyle w:val="9"/>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rPr>
                      <w:rFonts w:hint="default" w:ascii="Times New Roman" w:hAnsi="Times New Roman" w:eastAsia="宋体" w:cs="Times New Roman"/>
                      <w:color w:val="auto"/>
                      <w:spacing w:val="0"/>
                      <w:kern w:val="0"/>
                      <w:position w:val="0"/>
                      <w:sz w:val="21"/>
                      <w:szCs w:val="20"/>
                      <w:highlight w:val="none"/>
                      <w:lang w:val="en-US" w:eastAsia="zh-CN" w:bidi="ar-SA"/>
                    </w:rPr>
                  </w:pPr>
                  <w:r>
                    <w:rPr>
                      <w:rFonts w:hint="default" w:ascii="Times New Roman" w:hAnsi="Times New Roman" w:eastAsia="宋体" w:cs="Times New Roman"/>
                      <w:color w:val="auto"/>
                      <w:spacing w:val="0"/>
                      <w:position w:val="0"/>
                      <w:highlight w:val="none"/>
                    </w:rPr>
                    <w:t>5</w:t>
                  </w:r>
                </w:p>
              </w:tc>
              <w:tc>
                <w:tcPr>
                  <w:tcW w:w="2768" w:type="dxa"/>
                  <w:noWrap w:val="0"/>
                  <w:vAlign w:val="center"/>
                </w:tcPr>
                <w:p w14:paraId="6A872D87">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化学需氧量（CODcr）</w:t>
                  </w:r>
                </w:p>
              </w:tc>
              <w:tc>
                <w:tcPr>
                  <w:tcW w:w="1147" w:type="dxa"/>
                  <w:noWrap w:val="0"/>
                  <w:vAlign w:val="center"/>
                </w:tcPr>
                <w:p w14:paraId="5BBFA3BE">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mg/L</w:t>
                  </w:r>
                </w:p>
              </w:tc>
              <w:tc>
                <w:tcPr>
                  <w:tcW w:w="1346" w:type="dxa"/>
                  <w:noWrap w:val="0"/>
                  <w:vAlign w:val="center"/>
                </w:tcPr>
                <w:p w14:paraId="67F53F17">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500</w:t>
                  </w:r>
                </w:p>
              </w:tc>
              <w:tc>
                <w:tcPr>
                  <w:tcW w:w="1838" w:type="dxa"/>
                  <w:vMerge w:val="continue"/>
                  <w:noWrap w:val="0"/>
                  <w:vAlign w:val="center"/>
                </w:tcPr>
                <w:p w14:paraId="5E5C64DF">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tc>
            </w:tr>
            <w:tr w14:paraId="7CDCA6F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907" w:type="dxa"/>
                  <w:shd w:val="clear" w:color="auto" w:fill="auto"/>
                  <w:noWrap w:val="0"/>
                  <w:vAlign w:val="center"/>
                </w:tcPr>
                <w:p w14:paraId="4407B1DA">
                  <w:pPr>
                    <w:pStyle w:val="9"/>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rPr>
                      <w:rFonts w:hint="default" w:ascii="Times New Roman" w:hAnsi="Times New Roman" w:eastAsia="宋体" w:cs="Times New Roman"/>
                      <w:color w:val="auto"/>
                      <w:spacing w:val="0"/>
                      <w:kern w:val="0"/>
                      <w:position w:val="0"/>
                      <w:sz w:val="21"/>
                      <w:szCs w:val="20"/>
                      <w:highlight w:val="none"/>
                      <w:lang w:val="en-US" w:eastAsia="zh-CN" w:bidi="ar-SA"/>
                    </w:rPr>
                  </w:pPr>
                  <w:r>
                    <w:rPr>
                      <w:rFonts w:hint="default" w:ascii="Times New Roman" w:hAnsi="Times New Roman" w:eastAsia="宋体" w:cs="Times New Roman"/>
                      <w:color w:val="auto"/>
                      <w:spacing w:val="0"/>
                      <w:position w:val="0"/>
                      <w:highlight w:val="none"/>
                    </w:rPr>
                    <w:t>6</w:t>
                  </w:r>
                </w:p>
              </w:tc>
              <w:tc>
                <w:tcPr>
                  <w:tcW w:w="2768" w:type="dxa"/>
                  <w:noWrap w:val="0"/>
                  <w:vAlign w:val="center"/>
                </w:tcPr>
                <w:p w14:paraId="09143BE8">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氨氮</w:t>
                  </w:r>
                </w:p>
              </w:tc>
              <w:tc>
                <w:tcPr>
                  <w:tcW w:w="1147" w:type="dxa"/>
                  <w:noWrap w:val="0"/>
                  <w:vAlign w:val="center"/>
                </w:tcPr>
                <w:p w14:paraId="4386EFEB">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mg/L</w:t>
                  </w:r>
                </w:p>
              </w:tc>
              <w:tc>
                <w:tcPr>
                  <w:tcW w:w="1346" w:type="dxa"/>
                  <w:noWrap w:val="0"/>
                  <w:vAlign w:val="center"/>
                </w:tcPr>
                <w:p w14:paraId="182E8C1A">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45</w:t>
                  </w:r>
                </w:p>
              </w:tc>
              <w:tc>
                <w:tcPr>
                  <w:tcW w:w="1838" w:type="dxa"/>
                  <w:vMerge w:val="continue"/>
                  <w:noWrap w:val="0"/>
                  <w:vAlign w:val="center"/>
                </w:tcPr>
                <w:p w14:paraId="2EBD33AA">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tc>
            </w:tr>
            <w:tr w14:paraId="2958103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907" w:type="dxa"/>
                  <w:noWrap w:val="0"/>
                  <w:vAlign w:val="center"/>
                </w:tcPr>
                <w:p w14:paraId="14B00766">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7</w:t>
                  </w:r>
                </w:p>
              </w:tc>
              <w:tc>
                <w:tcPr>
                  <w:tcW w:w="2768" w:type="dxa"/>
                  <w:noWrap w:val="0"/>
                  <w:vAlign w:val="center"/>
                </w:tcPr>
                <w:p w14:paraId="32B5087F">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总氮</w:t>
                  </w:r>
                </w:p>
              </w:tc>
              <w:tc>
                <w:tcPr>
                  <w:tcW w:w="1147" w:type="dxa"/>
                  <w:noWrap w:val="0"/>
                  <w:vAlign w:val="center"/>
                </w:tcPr>
                <w:p w14:paraId="1293C20D">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mg/L</w:t>
                  </w:r>
                </w:p>
              </w:tc>
              <w:tc>
                <w:tcPr>
                  <w:tcW w:w="1346" w:type="dxa"/>
                  <w:noWrap w:val="0"/>
                  <w:vAlign w:val="center"/>
                </w:tcPr>
                <w:p w14:paraId="07B2A331">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70</w:t>
                  </w:r>
                </w:p>
              </w:tc>
              <w:tc>
                <w:tcPr>
                  <w:tcW w:w="1838" w:type="dxa"/>
                  <w:vMerge w:val="continue"/>
                  <w:noWrap w:val="0"/>
                  <w:vAlign w:val="center"/>
                </w:tcPr>
                <w:p w14:paraId="14B8E957">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tc>
            </w:tr>
            <w:tr w14:paraId="04FB09F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907" w:type="dxa"/>
                  <w:noWrap w:val="0"/>
                  <w:vAlign w:val="center"/>
                </w:tcPr>
                <w:p w14:paraId="515236E9">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8</w:t>
                  </w:r>
                </w:p>
              </w:tc>
              <w:tc>
                <w:tcPr>
                  <w:tcW w:w="2768" w:type="dxa"/>
                  <w:noWrap w:val="0"/>
                  <w:vAlign w:val="center"/>
                </w:tcPr>
                <w:p w14:paraId="4333A235">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总磷</w:t>
                  </w:r>
                </w:p>
              </w:tc>
              <w:tc>
                <w:tcPr>
                  <w:tcW w:w="1147" w:type="dxa"/>
                  <w:noWrap w:val="0"/>
                  <w:vAlign w:val="center"/>
                </w:tcPr>
                <w:p w14:paraId="19E28FF2">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mg/L</w:t>
                  </w:r>
                </w:p>
              </w:tc>
              <w:tc>
                <w:tcPr>
                  <w:tcW w:w="1346" w:type="dxa"/>
                  <w:noWrap w:val="0"/>
                  <w:vAlign w:val="center"/>
                </w:tcPr>
                <w:p w14:paraId="7A5FDAFF">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8.0</w:t>
                  </w:r>
                </w:p>
              </w:tc>
              <w:tc>
                <w:tcPr>
                  <w:tcW w:w="1838" w:type="dxa"/>
                  <w:vMerge w:val="continue"/>
                  <w:noWrap w:val="0"/>
                  <w:vAlign w:val="center"/>
                </w:tcPr>
                <w:p w14:paraId="5DE32A37">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tc>
            </w:tr>
            <w:tr w14:paraId="22E2864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907" w:type="dxa"/>
                  <w:noWrap w:val="0"/>
                  <w:vAlign w:val="center"/>
                </w:tcPr>
                <w:p w14:paraId="74A3D172">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9</w:t>
                  </w:r>
                </w:p>
              </w:tc>
              <w:tc>
                <w:tcPr>
                  <w:tcW w:w="2768" w:type="dxa"/>
                  <w:noWrap w:val="0"/>
                  <w:vAlign w:val="center"/>
                </w:tcPr>
                <w:p w14:paraId="150C9B0C">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动植物油</w:t>
                  </w:r>
                </w:p>
              </w:tc>
              <w:tc>
                <w:tcPr>
                  <w:tcW w:w="1147" w:type="dxa"/>
                  <w:noWrap w:val="0"/>
                  <w:vAlign w:val="center"/>
                </w:tcPr>
                <w:p w14:paraId="55478BD5">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mg/L</w:t>
                  </w:r>
                </w:p>
              </w:tc>
              <w:tc>
                <w:tcPr>
                  <w:tcW w:w="1346" w:type="dxa"/>
                  <w:noWrap w:val="0"/>
                  <w:vAlign w:val="center"/>
                </w:tcPr>
                <w:p w14:paraId="72EEBCC7">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100</w:t>
                  </w:r>
                </w:p>
              </w:tc>
              <w:tc>
                <w:tcPr>
                  <w:tcW w:w="1838" w:type="dxa"/>
                  <w:vMerge w:val="continue"/>
                  <w:noWrap w:val="0"/>
                  <w:vAlign w:val="center"/>
                </w:tcPr>
                <w:p w14:paraId="1F8E68F9">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tc>
            </w:tr>
            <w:tr w14:paraId="5B4E4DC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907" w:type="dxa"/>
                  <w:noWrap w:val="0"/>
                  <w:vAlign w:val="center"/>
                </w:tcPr>
                <w:p w14:paraId="606ABACB">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10</w:t>
                  </w:r>
                </w:p>
              </w:tc>
              <w:tc>
                <w:tcPr>
                  <w:tcW w:w="2768" w:type="dxa"/>
                  <w:noWrap w:val="0"/>
                  <w:vAlign w:val="center"/>
                </w:tcPr>
                <w:p w14:paraId="3DBC0A27">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粪大肠菌群数</w:t>
                  </w:r>
                </w:p>
              </w:tc>
              <w:tc>
                <w:tcPr>
                  <w:tcW w:w="1147" w:type="dxa"/>
                  <w:noWrap w:val="0"/>
                  <w:vAlign w:val="center"/>
                </w:tcPr>
                <w:p w14:paraId="346584CC">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cs="Times New Roman"/>
                      <w:color w:val="auto"/>
                      <w:spacing w:val="0"/>
                      <w:position w:val="0"/>
                      <w:highlight w:val="none"/>
                      <w:lang w:val="en-US" w:eastAsia="zh-CN"/>
                    </w:rPr>
                    <w:t>MPN/L</w:t>
                  </w:r>
                </w:p>
              </w:tc>
              <w:tc>
                <w:tcPr>
                  <w:tcW w:w="1346" w:type="dxa"/>
                  <w:noWrap w:val="0"/>
                  <w:vAlign w:val="center"/>
                </w:tcPr>
                <w:p w14:paraId="30927777">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w:t>
                  </w:r>
                </w:p>
              </w:tc>
              <w:tc>
                <w:tcPr>
                  <w:tcW w:w="1838" w:type="dxa"/>
                  <w:vMerge w:val="continue"/>
                  <w:noWrap w:val="0"/>
                  <w:vAlign w:val="center"/>
                </w:tcPr>
                <w:p w14:paraId="0A02FB76">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tc>
            </w:tr>
            <w:tr w14:paraId="449A6FC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907" w:type="dxa"/>
                  <w:noWrap w:val="0"/>
                  <w:vAlign w:val="center"/>
                </w:tcPr>
                <w:p w14:paraId="70478717">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11</w:t>
                  </w:r>
                </w:p>
              </w:tc>
              <w:tc>
                <w:tcPr>
                  <w:tcW w:w="2768" w:type="dxa"/>
                  <w:noWrap w:val="0"/>
                  <w:vAlign w:val="center"/>
                </w:tcPr>
                <w:p w14:paraId="73522871">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全盐量</w:t>
                  </w:r>
                </w:p>
              </w:tc>
              <w:tc>
                <w:tcPr>
                  <w:tcW w:w="1147" w:type="dxa"/>
                  <w:noWrap w:val="0"/>
                  <w:vAlign w:val="center"/>
                </w:tcPr>
                <w:p w14:paraId="6F2948FF">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mg/L</w:t>
                  </w:r>
                </w:p>
              </w:tc>
              <w:tc>
                <w:tcPr>
                  <w:tcW w:w="1346" w:type="dxa"/>
                  <w:noWrap w:val="0"/>
                  <w:vAlign w:val="center"/>
                </w:tcPr>
                <w:p w14:paraId="5561B918">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3000</w:t>
                  </w:r>
                </w:p>
              </w:tc>
              <w:tc>
                <w:tcPr>
                  <w:tcW w:w="1838" w:type="dxa"/>
                  <w:vMerge w:val="continue"/>
                  <w:noWrap w:val="0"/>
                  <w:vAlign w:val="center"/>
                </w:tcPr>
                <w:p w14:paraId="329DB575">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tc>
            </w:tr>
          </w:tbl>
          <w:p w14:paraId="63A7335D">
            <w:pPr>
              <w:pStyle w:val="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720" w:firstLineChars="30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eastAsia="zh-CN"/>
              </w:rPr>
              <w:t>桦川县污水处理厂</w:t>
            </w:r>
            <w:r>
              <w:rPr>
                <w:rFonts w:hint="default" w:ascii="Times New Roman" w:hAnsi="Times New Roman" w:eastAsia="宋体" w:cs="Times New Roman"/>
                <w:color w:val="auto"/>
                <w:spacing w:val="0"/>
                <w:position w:val="0"/>
                <w:sz w:val="24"/>
                <w:szCs w:val="24"/>
                <w:highlight w:val="none"/>
                <w:lang w:eastAsia="zh-CN"/>
              </w:rPr>
              <w:t>设计进水标准详见表</w:t>
            </w:r>
            <w:r>
              <w:rPr>
                <w:rFonts w:hint="default" w:ascii="Times New Roman" w:hAnsi="Times New Roman" w:eastAsia="宋体" w:cs="Times New Roman"/>
                <w:color w:val="auto"/>
                <w:spacing w:val="0"/>
                <w:position w:val="0"/>
                <w:sz w:val="24"/>
                <w:szCs w:val="24"/>
                <w:highlight w:val="none"/>
                <w:lang w:val="en-US" w:eastAsia="zh-CN"/>
              </w:rPr>
              <w:t>3-1</w:t>
            </w:r>
            <w:r>
              <w:rPr>
                <w:rFonts w:hint="default" w:ascii="Times New Roman" w:hAnsi="Times New Roman" w:cs="Times New Roman"/>
                <w:color w:val="auto"/>
                <w:spacing w:val="0"/>
                <w:position w:val="0"/>
                <w:sz w:val="24"/>
                <w:szCs w:val="24"/>
                <w:highlight w:val="none"/>
                <w:lang w:val="en-US" w:eastAsia="zh-CN"/>
              </w:rPr>
              <w:t>2。</w:t>
            </w:r>
          </w:p>
          <w:p w14:paraId="25517AE4">
            <w:pPr>
              <w:pStyle w:val="24"/>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2"/>
                <w:position w:val="0"/>
                <w:sz w:val="24"/>
                <w:szCs w:val="36"/>
                <w:highlight w:val="none"/>
              </w:rPr>
            </w:pPr>
          </w:p>
          <w:p w14:paraId="0B26545E">
            <w:pPr>
              <w:pStyle w:val="24"/>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2"/>
                <w:position w:val="0"/>
                <w:sz w:val="24"/>
                <w:szCs w:val="36"/>
                <w:highlight w:val="none"/>
              </w:rPr>
            </w:pPr>
          </w:p>
          <w:p w14:paraId="439600C1">
            <w:pPr>
              <w:pStyle w:val="24"/>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2"/>
                <w:position w:val="0"/>
                <w:sz w:val="24"/>
                <w:szCs w:val="36"/>
                <w:highlight w:val="none"/>
              </w:rPr>
            </w:pPr>
            <w:r>
              <w:rPr>
                <w:rFonts w:hint="default" w:ascii="Times New Roman" w:hAnsi="Times New Roman" w:eastAsia="宋体" w:cs="Times New Roman"/>
                <w:color w:val="auto"/>
                <w:spacing w:val="0"/>
                <w:kern w:val="2"/>
                <w:position w:val="0"/>
                <w:sz w:val="24"/>
                <w:szCs w:val="36"/>
                <w:highlight w:val="none"/>
              </w:rPr>
              <w:t>表3-</w:t>
            </w:r>
            <w:r>
              <w:rPr>
                <w:rFonts w:hint="default" w:ascii="Times New Roman" w:hAnsi="Times New Roman" w:eastAsia="宋体" w:cs="Times New Roman"/>
                <w:color w:val="auto"/>
                <w:spacing w:val="0"/>
                <w:kern w:val="2"/>
                <w:position w:val="0"/>
                <w:sz w:val="24"/>
                <w:szCs w:val="36"/>
                <w:highlight w:val="none"/>
                <w:lang w:val="en-US" w:eastAsia="zh-CN"/>
              </w:rPr>
              <w:t>1</w:t>
            </w:r>
            <w:r>
              <w:rPr>
                <w:rFonts w:hint="default" w:ascii="Times New Roman" w:hAnsi="Times New Roman" w:cs="Times New Roman"/>
                <w:color w:val="auto"/>
                <w:spacing w:val="0"/>
                <w:kern w:val="2"/>
                <w:position w:val="0"/>
                <w:sz w:val="24"/>
                <w:szCs w:val="36"/>
                <w:highlight w:val="none"/>
                <w:lang w:val="en-US" w:eastAsia="zh-CN"/>
              </w:rPr>
              <w:t xml:space="preserve">2 </w:t>
            </w:r>
            <w:r>
              <w:rPr>
                <w:rFonts w:hint="default" w:ascii="Times New Roman" w:hAnsi="Times New Roman" w:cs="Times New Roman"/>
                <w:color w:val="auto"/>
                <w:spacing w:val="0"/>
                <w:position w:val="0"/>
                <w:sz w:val="24"/>
                <w:szCs w:val="24"/>
                <w:highlight w:val="none"/>
                <w:lang w:eastAsia="zh-CN"/>
              </w:rPr>
              <w:t>桦川县污水处理厂</w:t>
            </w:r>
            <w:r>
              <w:rPr>
                <w:rFonts w:hint="default" w:ascii="Times New Roman" w:hAnsi="Times New Roman" w:eastAsia="宋体" w:cs="Times New Roman"/>
                <w:color w:val="auto"/>
                <w:spacing w:val="0"/>
                <w:position w:val="0"/>
                <w:sz w:val="24"/>
                <w:szCs w:val="24"/>
                <w:highlight w:val="none"/>
                <w:lang w:eastAsia="zh-CN"/>
              </w:rPr>
              <w:t>设计进水标准</w:t>
            </w:r>
          </w:p>
          <w:tbl>
            <w:tblPr>
              <w:tblStyle w:val="29"/>
              <w:tblW w:w="4998"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400"/>
              <w:gridCol w:w="2760"/>
              <w:gridCol w:w="1785"/>
              <w:gridCol w:w="2026"/>
            </w:tblGrid>
            <w:tr w14:paraId="28ED5CA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878" w:type="pct"/>
                  <w:noWrap w:val="0"/>
                  <w:vAlign w:val="center"/>
                </w:tcPr>
                <w:p w14:paraId="0B08D443">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序号</w:t>
                  </w:r>
                </w:p>
              </w:tc>
              <w:tc>
                <w:tcPr>
                  <w:tcW w:w="1731" w:type="pct"/>
                  <w:noWrap w:val="0"/>
                  <w:vAlign w:val="center"/>
                </w:tcPr>
                <w:p w14:paraId="0A87E98D">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项目</w:t>
                  </w:r>
                </w:p>
              </w:tc>
              <w:tc>
                <w:tcPr>
                  <w:tcW w:w="1119" w:type="pct"/>
                  <w:noWrap w:val="0"/>
                  <w:vAlign w:val="center"/>
                </w:tcPr>
                <w:p w14:paraId="002260EC">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单位</w:t>
                  </w:r>
                </w:p>
              </w:tc>
              <w:tc>
                <w:tcPr>
                  <w:tcW w:w="1270" w:type="pct"/>
                  <w:noWrap w:val="0"/>
                  <w:vAlign w:val="center"/>
                </w:tcPr>
                <w:p w14:paraId="457F2514">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预处理标准值</w:t>
                  </w:r>
                </w:p>
              </w:tc>
            </w:tr>
            <w:tr w14:paraId="22D1381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878" w:type="pct"/>
                  <w:noWrap w:val="0"/>
                  <w:vAlign w:val="center"/>
                </w:tcPr>
                <w:p w14:paraId="679C8BC1">
                  <w:pPr>
                    <w:pStyle w:val="9"/>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1</w:t>
                  </w:r>
                </w:p>
              </w:tc>
              <w:tc>
                <w:tcPr>
                  <w:tcW w:w="1731" w:type="pct"/>
                  <w:noWrap w:val="0"/>
                  <w:vAlign w:val="center"/>
                </w:tcPr>
                <w:p w14:paraId="59E294E1">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化学需氧量（COD）</w:t>
                  </w:r>
                </w:p>
              </w:tc>
              <w:tc>
                <w:tcPr>
                  <w:tcW w:w="1119" w:type="pct"/>
                  <w:noWrap w:val="0"/>
                  <w:vAlign w:val="center"/>
                </w:tcPr>
                <w:p w14:paraId="3FDB5C97">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mg/L</w:t>
                  </w:r>
                </w:p>
              </w:tc>
              <w:tc>
                <w:tcPr>
                  <w:tcW w:w="1270" w:type="pct"/>
                  <w:noWrap w:val="0"/>
                  <w:vAlign w:val="center"/>
                </w:tcPr>
                <w:p w14:paraId="7D16F7C6">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eastAsia="宋体" w:cs="Times New Roman"/>
                      <w:color w:val="auto"/>
                      <w:spacing w:val="0"/>
                      <w:position w:val="0"/>
                      <w:highlight w:val="none"/>
                      <w:lang w:val="en-US" w:eastAsia="zh-CN"/>
                    </w:rPr>
                    <w:t>300</w:t>
                  </w:r>
                </w:p>
              </w:tc>
            </w:tr>
            <w:tr w14:paraId="52D35EA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878" w:type="pct"/>
                  <w:noWrap w:val="0"/>
                  <w:vAlign w:val="center"/>
                </w:tcPr>
                <w:p w14:paraId="343706C2">
                  <w:pPr>
                    <w:pStyle w:val="9"/>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2</w:t>
                  </w:r>
                </w:p>
              </w:tc>
              <w:tc>
                <w:tcPr>
                  <w:tcW w:w="1731" w:type="pct"/>
                  <w:noWrap w:val="0"/>
                  <w:vAlign w:val="center"/>
                </w:tcPr>
                <w:p w14:paraId="0A89C96A">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生化需氧量（BOD</w:t>
                  </w:r>
                  <w:r>
                    <w:rPr>
                      <w:rFonts w:hint="default" w:ascii="Times New Roman" w:hAnsi="Times New Roman" w:eastAsia="宋体" w:cs="Times New Roman"/>
                      <w:color w:val="auto"/>
                      <w:spacing w:val="0"/>
                      <w:position w:val="0"/>
                      <w:highlight w:val="none"/>
                      <w:vertAlign w:val="subscript"/>
                    </w:rPr>
                    <w:t>5</w:t>
                  </w:r>
                  <w:r>
                    <w:rPr>
                      <w:rFonts w:hint="default" w:ascii="Times New Roman" w:hAnsi="Times New Roman" w:eastAsia="宋体" w:cs="Times New Roman"/>
                      <w:color w:val="auto"/>
                      <w:spacing w:val="0"/>
                      <w:position w:val="0"/>
                      <w:highlight w:val="none"/>
                    </w:rPr>
                    <w:t>）</w:t>
                  </w:r>
                </w:p>
              </w:tc>
              <w:tc>
                <w:tcPr>
                  <w:tcW w:w="1119" w:type="pct"/>
                  <w:noWrap w:val="0"/>
                  <w:vAlign w:val="center"/>
                </w:tcPr>
                <w:p w14:paraId="4ADAA358">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mg/L</w:t>
                  </w:r>
                </w:p>
              </w:tc>
              <w:tc>
                <w:tcPr>
                  <w:tcW w:w="1270" w:type="pct"/>
                  <w:noWrap w:val="0"/>
                  <w:vAlign w:val="center"/>
                </w:tcPr>
                <w:p w14:paraId="73F7D2F8">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eastAsia="宋体" w:cs="Times New Roman"/>
                      <w:color w:val="auto"/>
                      <w:spacing w:val="0"/>
                      <w:position w:val="0"/>
                      <w:highlight w:val="none"/>
                      <w:lang w:val="en-US" w:eastAsia="zh-CN"/>
                    </w:rPr>
                    <w:t>170</w:t>
                  </w:r>
                </w:p>
              </w:tc>
            </w:tr>
            <w:tr w14:paraId="4508D0C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878" w:type="pct"/>
                  <w:noWrap w:val="0"/>
                  <w:vAlign w:val="center"/>
                </w:tcPr>
                <w:p w14:paraId="504DC3D1">
                  <w:pPr>
                    <w:pStyle w:val="9"/>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3</w:t>
                  </w:r>
                </w:p>
              </w:tc>
              <w:tc>
                <w:tcPr>
                  <w:tcW w:w="1731" w:type="pct"/>
                  <w:noWrap w:val="0"/>
                  <w:vAlign w:val="center"/>
                </w:tcPr>
                <w:p w14:paraId="78BE639C">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氨氮（NH</w:t>
                  </w:r>
                  <w:r>
                    <w:rPr>
                      <w:rFonts w:hint="default" w:ascii="Times New Roman" w:hAnsi="Times New Roman" w:eastAsia="宋体" w:cs="Times New Roman"/>
                      <w:color w:val="auto"/>
                      <w:spacing w:val="0"/>
                      <w:position w:val="0"/>
                      <w:highlight w:val="none"/>
                      <w:vertAlign w:val="subscript"/>
                    </w:rPr>
                    <w:t>3</w:t>
                  </w:r>
                  <w:r>
                    <w:rPr>
                      <w:rFonts w:hint="default" w:ascii="Times New Roman" w:hAnsi="Times New Roman" w:eastAsia="宋体" w:cs="Times New Roman"/>
                      <w:color w:val="auto"/>
                      <w:spacing w:val="0"/>
                      <w:position w:val="0"/>
                      <w:highlight w:val="none"/>
                    </w:rPr>
                    <w:t>-N）</w:t>
                  </w:r>
                </w:p>
              </w:tc>
              <w:tc>
                <w:tcPr>
                  <w:tcW w:w="1119" w:type="pct"/>
                  <w:noWrap w:val="0"/>
                  <w:vAlign w:val="center"/>
                </w:tcPr>
                <w:p w14:paraId="5627BC3B">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mg/L</w:t>
                  </w:r>
                </w:p>
              </w:tc>
              <w:tc>
                <w:tcPr>
                  <w:tcW w:w="1270" w:type="pct"/>
                  <w:noWrap w:val="0"/>
                  <w:vAlign w:val="center"/>
                </w:tcPr>
                <w:p w14:paraId="28FA589A">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eastAsia="宋体" w:cs="Times New Roman"/>
                      <w:color w:val="auto"/>
                      <w:spacing w:val="0"/>
                      <w:position w:val="0"/>
                      <w:highlight w:val="none"/>
                      <w:lang w:val="en-US" w:eastAsia="zh-CN"/>
                    </w:rPr>
                    <w:t>40</w:t>
                  </w:r>
                </w:p>
              </w:tc>
            </w:tr>
            <w:tr w14:paraId="0EAB46E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878" w:type="pct"/>
                  <w:noWrap w:val="0"/>
                  <w:vAlign w:val="center"/>
                </w:tcPr>
                <w:p w14:paraId="62EF2D2D">
                  <w:pPr>
                    <w:pStyle w:val="9"/>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4</w:t>
                  </w:r>
                </w:p>
              </w:tc>
              <w:tc>
                <w:tcPr>
                  <w:tcW w:w="1731" w:type="pct"/>
                  <w:noWrap w:val="0"/>
                  <w:vAlign w:val="center"/>
                </w:tcPr>
                <w:p w14:paraId="18B9D0C0">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悬浮物（SS）</w:t>
                  </w:r>
                </w:p>
              </w:tc>
              <w:tc>
                <w:tcPr>
                  <w:tcW w:w="1119" w:type="pct"/>
                  <w:noWrap w:val="0"/>
                  <w:vAlign w:val="center"/>
                </w:tcPr>
                <w:p w14:paraId="2780ED72">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mg/L</w:t>
                  </w:r>
                </w:p>
              </w:tc>
              <w:tc>
                <w:tcPr>
                  <w:tcW w:w="1270" w:type="pct"/>
                  <w:noWrap w:val="0"/>
                  <w:vAlign w:val="center"/>
                </w:tcPr>
                <w:p w14:paraId="786D7E07">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eastAsia="宋体" w:cs="Times New Roman"/>
                      <w:color w:val="auto"/>
                      <w:spacing w:val="0"/>
                      <w:position w:val="0"/>
                      <w:highlight w:val="none"/>
                      <w:lang w:val="en-US" w:eastAsia="zh-CN"/>
                    </w:rPr>
                    <w:t>250</w:t>
                  </w:r>
                </w:p>
              </w:tc>
            </w:tr>
            <w:tr w14:paraId="713E68A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878" w:type="pct"/>
                  <w:noWrap w:val="0"/>
                  <w:vAlign w:val="center"/>
                </w:tcPr>
                <w:p w14:paraId="032FD678">
                  <w:pPr>
                    <w:pStyle w:val="9"/>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5</w:t>
                  </w:r>
                </w:p>
              </w:tc>
              <w:tc>
                <w:tcPr>
                  <w:tcW w:w="1731" w:type="pct"/>
                  <w:noWrap w:val="0"/>
                  <w:vAlign w:val="center"/>
                </w:tcPr>
                <w:p w14:paraId="58AA8E1A">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eastAsia="宋体" w:cs="Times New Roman"/>
                      <w:color w:val="auto"/>
                      <w:spacing w:val="0"/>
                      <w:position w:val="0"/>
                      <w:highlight w:val="none"/>
                      <w:lang w:val="en-US" w:eastAsia="zh-CN"/>
                    </w:rPr>
                    <w:t>TP</w:t>
                  </w:r>
                </w:p>
              </w:tc>
              <w:tc>
                <w:tcPr>
                  <w:tcW w:w="1119" w:type="pct"/>
                  <w:noWrap w:val="0"/>
                  <w:vAlign w:val="center"/>
                </w:tcPr>
                <w:p w14:paraId="5C3A7838">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mg/L</w:t>
                  </w:r>
                </w:p>
              </w:tc>
              <w:tc>
                <w:tcPr>
                  <w:tcW w:w="1270" w:type="pct"/>
                  <w:noWrap w:val="0"/>
                  <w:vAlign w:val="center"/>
                </w:tcPr>
                <w:p w14:paraId="13922EBF">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eastAsia="宋体" w:cs="Times New Roman"/>
                      <w:color w:val="auto"/>
                      <w:spacing w:val="0"/>
                      <w:position w:val="0"/>
                      <w:highlight w:val="none"/>
                      <w:lang w:val="en-US" w:eastAsia="zh-CN"/>
                    </w:rPr>
                    <w:t>3.8</w:t>
                  </w:r>
                </w:p>
              </w:tc>
            </w:tr>
          </w:tbl>
          <w:p w14:paraId="7E4F8B25">
            <w:pPr>
              <w:pStyle w:val="7"/>
              <w:keepNext w:val="0"/>
              <w:keepLines w:val="0"/>
              <w:pageBreakBefore w:val="0"/>
              <w:kinsoku/>
              <w:wordWrap/>
              <w:overflowPunct/>
              <w:topLinePunct w:val="0"/>
              <w:bidi w:val="0"/>
              <w:adjustRightInd w:val="0"/>
              <w:snapToGrid w:val="0"/>
              <w:spacing w:beforeAutospacing="0" w:afterAutospacing="0" w:line="520" w:lineRule="exact"/>
              <w:ind w:right="0" w:rightChars="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4、固废</w:t>
            </w:r>
          </w:p>
          <w:p w14:paraId="6899E38D">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一般固体废物执行《一般工业固体废物贮存和填埋污染控制标准》（GB18599-2020）、《固体废物分类与代码目录》（公告2024年第4号）。</w:t>
            </w:r>
          </w:p>
          <w:p w14:paraId="7317390A">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position w:val="0"/>
                <w:sz w:val="24"/>
                <w:szCs w:val="24"/>
                <w:highlight w:val="none"/>
              </w:rPr>
              <w:t>危险固废贮存过程执行《危险废物贮存污染控制标准》（GB 18597-2023）中有关规定。</w:t>
            </w:r>
          </w:p>
        </w:tc>
      </w:tr>
      <w:tr w14:paraId="7CC7B0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06" w:hRule="atLeast"/>
          <w:jc w:val="center"/>
        </w:trPr>
        <w:tc>
          <w:tcPr>
            <w:tcW w:w="800" w:type="dxa"/>
            <w:noWrap w:val="0"/>
            <w:vAlign w:val="center"/>
          </w:tcPr>
          <w:p w14:paraId="5059E811">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总量</w:t>
            </w:r>
          </w:p>
          <w:p w14:paraId="5107E4E0">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控制</w:t>
            </w:r>
          </w:p>
          <w:p w14:paraId="6FD165D1">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rPr>
            </w:pPr>
            <w:r>
              <w:rPr>
                <w:rFonts w:hint="default" w:ascii="Times New Roman" w:hAnsi="Times New Roman" w:eastAsia="宋体" w:cs="Times New Roman"/>
                <w:color w:val="auto"/>
                <w:spacing w:val="0"/>
                <w:kern w:val="0"/>
                <w:position w:val="0"/>
                <w:szCs w:val="21"/>
                <w:highlight w:val="none"/>
              </w:rPr>
              <w:t>指标</w:t>
            </w:r>
          </w:p>
        </w:tc>
        <w:tc>
          <w:tcPr>
            <w:tcW w:w="8190" w:type="dxa"/>
            <w:noWrap w:val="0"/>
            <w:vAlign w:val="center"/>
          </w:tcPr>
          <w:p w14:paraId="7DFA5CED">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本项目总量控制的污染因子总量控制情况见下表。</w:t>
            </w:r>
          </w:p>
          <w:p w14:paraId="673F87EF">
            <w:pPr>
              <w:pStyle w:val="24"/>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2"/>
                <w:position w:val="0"/>
                <w:sz w:val="24"/>
                <w:szCs w:val="36"/>
                <w:highlight w:val="none"/>
              </w:rPr>
            </w:pPr>
            <w:r>
              <w:rPr>
                <w:rFonts w:hint="default" w:ascii="Times New Roman" w:hAnsi="Times New Roman" w:eastAsia="宋体" w:cs="Times New Roman"/>
                <w:color w:val="auto"/>
                <w:spacing w:val="0"/>
                <w:kern w:val="2"/>
                <w:position w:val="0"/>
                <w:sz w:val="24"/>
                <w:szCs w:val="36"/>
                <w:highlight w:val="none"/>
              </w:rPr>
              <w:t>表3-1</w:t>
            </w:r>
            <w:r>
              <w:rPr>
                <w:rFonts w:hint="default" w:ascii="Times New Roman" w:hAnsi="Times New Roman" w:cs="Times New Roman"/>
                <w:color w:val="auto"/>
                <w:spacing w:val="0"/>
                <w:kern w:val="2"/>
                <w:position w:val="0"/>
                <w:sz w:val="24"/>
                <w:szCs w:val="36"/>
                <w:highlight w:val="none"/>
                <w:lang w:val="en-US" w:eastAsia="zh-CN"/>
              </w:rPr>
              <w:t>3</w:t>
            </w:r>
            <w:r>
              <w:rPr>
                <w:rFonts w:hint="default" w:ascii="Times New Roman" w:hAnsi="Times New Roman" w:eastAsia="宋体" w:cs="Times New Roman"/>
                <w:color w:val="auto"/>
                <w:spacing w:val="0"/>
                <w:kern w:val="2"/>
                <w:position w:val="0"/>
                <w:sz w:val="24"/>
                <w:szCs w:val="36"/>
                <w:highlight w:val="none"/>
              </w:rPr>
              <w:t xml:space="preserve"> 项目污染物排放统计一览表</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064"/>
              <w:gridCol w:w="2436"/>
              <w:gridCol w:w="4471"/>
            </w:tblGrid>
            <w:tr w14:paraId="7EDFAD44">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667" w:type="pct"/>
                  <w:noWrap w:val="0"/>
                  <w:vAlign w:val="center"/>
                </w:tcPr>
                <w:p w14:paraId="37326228">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类别</w:t>
                  </w:r>
                </w:p>
              </w:tc>
              <w:tc>
                <w:tcPr>
                  <w:tcW w:w="1528" w:type="pct"/>
                  <w:noWrap w:val="0"/>
                  <w:vAlign w:val="center"/>
                </w:tcPr>
                <w:p w14:paraId="4737B268">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污染物</w:t>
                  </w:r>
                </w:p>
              </w:tc>
              <w:tc>
                <w:tcPr>
                  <w:tcW w:w="2804" w:type="pct"/>
                  <w:noWrap w:val="0"/>
                  <w:vAlign w:val="center"/>
                </w:tcPr>
                <w:p w14:paraId="71E65DA5">
                  <w:pPr>
                    <w:pStyle w:val="86"/>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本项目预测排放量</w:t>
                  </w:r>
                </w:p>
              </w:tc>
            </w:tr>
            <w:tr w14:paraId="2CBB8285">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667" w:type="pct"/>
                  <w:vMerge w:val="restart"/>
                  <w:noWrap w:val="0"/>
                  <w:vAlign w:val="center"/>
                </w:tcPr>
                <w:p w14:paraId="665F591E">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废水</w:t>
                  </w:r>
                </w:p>
              </w:tc>
              <w:tc>
                <w:tcPr>
                  <w:tcW w:w="1528" w:type="pct"/>
                  <w:noWrap w:val="0"/>
                  <w:vAlign w:val="center"/>
                </w:tcPr>
                <w:p w14:paraId="2FD23099">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COD</w:t>
                  </w:r>
                </w:p>
              </w:tc>
              <w:tc>
                <w:tcPr>
                  <w:tcW w:w="4471" w:type="dxa"/>
                  <w:noWrap w:val="0"/>
                  <w:vAlign w:val="center"/>
                </w:tcPr>
                <w:p w14:paraId="1B8FF93D">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highlight w:val="none"/>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5.337</w:t>
                  </w:r>
                  <w:r>
                    <w:rPr>
                      <w:rFonts w:hint="default" w:ascii="Times New Roman" w:hAnsi="Times New Roman" w:eastAsia="宋体" w:cs="Times New Roman"/>
                      <w:color w:val="auto"/>
                      <w:spacing w:val="0"/>
                      <w:kern w:val="0"/>
                      <w:position w:val="0"/>
                      <w:szCs w:val="21"/>
                      <w:highlight w:val="none"/>
                      <w:lang w:bidi="ar"/>
                    </w:rPr>
                    <w:t>t/a</w:t>
                  </w:r>
                </w:p>
              </w:tc>
            </w:tr>
            <w:tr w14:paraId="24E286A3">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667" w:type="pct"/>
                  <w:vMerge w:val="continue"/>
                  <w:noWrap w:val="0"/>
                  <w:vAlign w:val="center"/>
                </w:tcPr>
                <w:p w14:paraId="6E68592A">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tc>
              <w:tc>
                <w:tcPr>
                  <w:tcW w:w="1528" w:type="pct"/>
                  <w:noWrap w:val="0"/>
                  <w:vAlign w:val="center"/>
                </w:tcPr>
                <w:p w14:paraId="402C1790">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NH</w:t>
                  </w:r>
                  <w:r>
                    <w:rPr>
                      <w:rFonts w:hint="default" w:ascii="Times New Roman" w:hAnsi="Times New Roman" w:eastAsia="宋体" w:cs="Times New Roman"/>
                      <w:color w:val="auto"/>
                      <w:spacing w:val="0"/>
                      <w:position w:val="0"/>
                      <w:highlight w:val="none"/>
                      <w:vertAlign w:val="subscript"/>
                    </w:rPr>
                    <w:t>3</w:t>
                  </w:r>
                  <w:r>
                    <w:rPr>
                      <w:rFonts w:hint="default" w:ascii="Times New Roman" w:hAnsi="Times New Roman" w:eastAsia="宋体" w:cs="Times New Roman"/>
                      <w:color w:val="auto"/>
                      <w:spacing w:val="0"/>
                      <w:position w:val="0"/>
                      <w:highlight w:val="none"/>
                    </w:rPr>
                    <w:t>-N</w:t>
                  </w:r>
                </w:p>
              </w:tc>
              <w:tc>
                <w:tcPr>
                  <w:tcW w:w="4471" w:type="dxa"/>
                  <w:noWrap w:val="0"/>
                  <w:vAlign w:val="center"/>
                </w:tcPr>
                <w:p w14:paraId="1EB56924">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highlight w:val="none"/>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0.285</w:t>
                  </w:r>
                  <w:r>
                    <w:rPr>
                      <w:rFonts w:hint="default" w:ascii="Times New Roman" w:hAnsi="Times New Roman" w:eastAsia="宋体" w:cs="Times New Roman"/>
                      <w:color w:val="auto"/>
                      <w:spacing w:val="0"/>
                      <w:kern w:val="0"/>
                      <w:position w:val="0"/>
                      <w:szCs w:val="21"/>
                      <w:highlight w:val="none"/>
                      <w:lang w:bidi="ar"/>
                    </w:rPr>
                    <w:t>t/a</w:t>
                  </w:r>
                </w:p>
              </w:tc>
            </w:tr>
            <w:tr w14:paraId="0E891B8B">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667" w:type="pct"/>
                  <w:vMerge w:val="restart"/>
                  <w:noWrap w:val="0"/>
                  <w:vAlign w:val="center"/>
                </w:tcPr>
                <w:p w14:paraId="536D26F1">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废气</w:t>
                  </w:r>
                </w:p>
              </w:tc>
              <w:tc>
                <w:tcPr>
                  <w:tcW w:w="1528" w:type="pct"/>
                  <w:noWrap w:val="0"/>
                  <w:vAlign w:val="center"/>
                </w:tcPr>
                <w:p w14:paraId="3EF7F26B">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烟尘</w:t>
                  </w:r>
                </w:p>
              </w:tc>
              <w:tc>
                <w:tcPr>
                  <w:tcW w:w="4471" w:type="dxa"/>
                  <w:noWrap w:val="0"/>
                  <w:vAlign w:val="center"/>
                </w:tcPr>
                <w:p w14:paraId="74F96FD2">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highlight w:val="none"/>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7.722</w:t>
                  </w:r>
                  <w:r>
                    <w:rPr>
                      <w:rFonts w:hint="default" w:ascii="Times New Roman" w:hAnsi="Times New Roman" w:eastAsia="宋体" w:cs="Times New Roman"/>
                      <w:color w:val="auto"/>
                      <w:spacing w:val="0"/>
                      <w:kern w:val="0"/>
                      <w:position w:val="0"/>
                      <w:szCs w:val="21"/>
                      <w:highlight w:val="none"/>
                      <w:lang w:bidi="ar"/>
                    </w:rPr>
                    <w:t>t/a</w:t>
                  </w:r>
                </w:p>
              </w:tc>
            </w:tr>
            <w:tr w14:paraId="35EE1998">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667" w:type="pct"/>
                  <w:vMerge w:val="continue"/>
                  <w:noWrap w:val="0"/>
                  <w:vAlign w:val="center"/>
                </w:tcPr>
                <w:p w14:paraId="36EEFCC7">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tc>
              <w:tc>
                <w:tcPr>
                  <w:tcW w:w="1528" w:type="pct"/>
                  <w:noWrap w:val="0"/>
                  <w:vAlign w:val="center"/>
                </w:tcPr>
                <w:p w14:paraId="30261FB3">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SO</w:t>
                  </w:r>
                  <w:r>
                    <w:rPr>
                      <w:rFonts w:hint="default" w:ascii="Times New Roman" w:hAnsi="Times New Roman" w:eastAsia="宋体" w:cs="Times New Roman"/>
                      <w:color w:val="auto"/>
                      <w:spacing w:val="0"/>
                      <w:position w:val="0"/>
                      <w:highlight w:val="none"/>
                      <w:vertAlign w:val="subscript"/>
                    </w:rPr>
                    <w:t>2</w:t>
                  </w:r>
                </w:p>
              </w:tc>
              <w:tc>
                <w:tcPr>
                  <w:tcW w:w="4471" w:type="dxa"/>
                  <w:noWrap w:val="0"/>
                  <w:vAlign w:val="center"/>
                </w:tcPr>
                <w:p w14:paraId="591215A9">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highlight w:val="none"/>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14.479</w:t>
                  </w:r>
                  <w:r>
                    <w:rPr>
                      <w:rFonts w:hint="default" w:ascii="Times New Roman" w:hAnsi="Times New Roman" w:eastAsia="宋体" w:cs="Times New Roman"/>
                      <w:color w:val="auto"/>
                      <w:spacing w:val="0"/>
                      <w:kern w:val="0"/>
                      <w:position w:val="0"/>
                      <w:szCs w:val="21"/>
                      <w:highlight w:val="none"/>
                      <w:lang w:bidi="ar"/>
                    </w:rPr>
                    <w:t>t/a</w:t>
                  </w:r>
                </w:p>
              </w:tc>
            </w:tr>
            <w:tr w14:paraId="7063FF88">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667" w:type="pct"/>
                  <w:vMerge w:val="continue"/>
                  <w:noWrap w:val="0"/>
                  <w:vAlign w:val="center"/>
                </w:tcPr>
                <w:p w14:paraId="0F1D098E">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tc>
              <w:tc>
                <w:tcPr>
                  <w:tcW w:w="1528" w:type="pct"/>
                  <w:noWrap w:val="0"/>
                  <w:vAlign w:val="center"/>
                </w:tcPr>
                <w:p w14:paraId="47CD6ACD">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NO</w:t>
                  </w:r>
                  <w:r>
                    <w:rPr>
                      <w:rFonts w:hint="default" w:ascii="Times New Roman" w:hAnsi="Times New Roman" w:eastAsia="宋体" w:cs="Times New Roman"/>
                      <w:color w:val="auto"/>
                      <w:spacing w:val="0"/>
                      <w:position w:val="0"/>
                      <w:highlight w:val="none"/>
                      <w:vertAlign w:val="subscript"/>
                    </w:rPr>
                    <w:t>X</w:t>
                  </w:r>
                </w:p>
              </w:tc>
              <w:tc>
                <w:tcPr>
                  <w:tcW w:w="4471" w:type="dxa"/>
                  <w:noWrap w:val="0"/>
                  <w:vAlign w:val="center"/>
                </w:tcPr>
                <w:p w14:paraId="3EF07C9A">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highlight w:val="none"/>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33.918</w:t>
                  </w:r>
                  <w:r>
                    <w:rPr>
                      <w:rFonts w:hint="default" w:ascii="Times New Roman" w:hAnsi="Times New Roman" w:eastAsia="宋体" w:cs="Times New Roman"/>
                      <w:color w:val="auto"/>
                      <w:spacing w:val="0"/>
                      <w:kern w:val="0"/>
                      <w:position w:val="0"/>
                      <w:szCs w:val="21"/>
                      <w:highlight w:val="none"/>
                      <w:lang w:bidi="ar"/>
                    </w:rPr>
                    <w:t>t/a</w:t>
                  </w:r>
                </w:p>
              </w:tc>
            </w:tr>
            <w:tr w14:paraId="29948238">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667" w:type="pct"/>
                  <w:vMerge w:val="continue"/>
                  <w:noWrap w:val="0"/>
                  <w:vAlign w:val="center"/>
                </w:tcPr>
                <w:p w14:paraId="2A882F0A">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p>
              </w:tc>
              <w:tc>
                <w:tcPr>
                  <w:tcW w:w="1528" w:type="pct"/>
                  <w:noWrap w:val="0"/>
                  <w:vAlign w:val="center"/>
                </w:tcPr>
                <w:p w14:paraId="3956FA03">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eastAsia="宋体" w:cs="Times New Roman"/>
                      <w:color w:val="auto"/>
                      <w:spacing w:val="0"/>
                      <w:position w:val="0"/>
                      <w:highlight w:val="none"/>
                      <w:lang w:val="en-US" w:eastAsia="zh-CN"/>
                    </w:rPr>
                    <w:t>非甲烷总烃</w:t>
                  </w:r>
                  <w:r>
                    <w:rPr>
                      <w:rFonts w:hint="default" w:ascii="Times New Roman" w:hAnsi="Times New Roman" w:cs="Times New Roman"/>
                      <w:color w:val="auto"/>
                      <w:spacing w:val="0"/>
                      <w:position w:val="0"/>
                      <w:highlight w:val="none"/>
                      <w:lang w:val="en-US" w:eastAsia="zh-CN"/>
                    </w:rPr>
                    <w:t>（有组织）</w:t>
                  </w:r>
                </w:p>
              </w:tc>
              <w:tc>
                <w:tcPr>
                  <w:tcW w:w="2804" w:type="pct"/>
                  <w:noWrap w:val="0"/>
                  <w:vAlign w:val="center"/>
                </w:tcPr>
                <w:p w14:paraId="554417A7">
                  <w:pPr>
                    <w:pStyle w:val="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i w:val="0"/>
                      <w:iCs w:val="0"/>
                      <w:color w:val="auto"/>
                      <w:spacing w:val="0"/>
                      <w:kern w:val="0"/>
                      <w:position w:val="0"/>
                      <w:sz w:val="21"/>
                      <w:szCs w:val="21"/>
                      <w:highlight w:val="none"/>
                      <w:u w:val="none"/>
                      <w:lang w:val="en-US" w:eastAsia="zh-CN" w:bidi="ar"/>
                    </w:rPr>
                    <w:t>0.</w:t>
                  </w:r>
                  <w:r>
                    <w:rPr>
                      <w:rFonts w:hint="default" w:ascii="Times New Roman" w:hAnsi="Times New Roman" w:cs="Times New Roman"/>
                      <w:i w:val="0"/>
                      <w:iCs w:val="0"/>
                      <w:color w:val="auto"/>
                      <w:spacing w:val="0"/>
                      <w:kern w:val="0"/>
                      <w:position w:val="0"/>
                      <w:sz w:val="21"/>
                      <w:szCs w:val="21"/>
                      <w:highlight w:val="none"/>
                      <w:u w:val="none"/>
                      <w:lang w:val="en-US" w:eastAsia="zh-CN" w:bidi="ar"/>
                    </w:rPr>
                    <w:t>125</w:t>
                  </w:r>
                  <w:r>
                    <w:rPr>
                      <w:rFonts w:hint="default" w:ascii="Times New Roman" w:hAnsi="Times New Roman" w:eastAsia="宋体" w:cs="Times New Roman"/>
                      <w:color w:val="auto"/>
                      <w:spacing w:val="0"/>
                      <w:kern w:val="0"/>
                      <w:position w:val="0"/>
                      <w:szCs w:val="21"/>
                      <w:highlight w:val="none"/>
                      <w:lang w:bidi="ar"/>
                    </w:rPr>
                    <w:t>t/a</w:t>
                  </w:r>
                </w:p>
              </w:tc>
            </w:tr>
          </w:tbl>
          <w:p w14:paraId="1254BCC1">
            <w:pPr>
              <w:keepNext w:val="0"/>
              <w:keepLines w:val="0"/>
              <w:pageBreakBefore w:val="0"/>
              <w:kinsoku/>
              <w:wordWrap/>
              <w:overflowPunct/>
              <w:topLinePunct w:val="0"/>
              <w:bidi w:val="0"/>
              <w:adjustRightInd w:val="0"/>
              <w:snapToGrid w:val="0"/>
              <w:spacing w:beforeAutospacing="0" w:afterAutospacing="0"/>
              <w:ind w:left="0" w:leftChars="0" w:right="0" w:rightChars="0"/>
              <w:jc w:val="both"/>
              <w:rPr>
                <w:rFonts w:hint="default" w:ascii="Times New Roman" w:hAnsi="Times New Roman" w:eastAsia="宋体" w:cs="Times New Roman"/>
                <w:color w:val="auto"/>
                <w:spacing w:val="0"/>
                <w:kern w:val="0"/>
                <w:position w:val="0"/>
                <w:szCs w:val="21"/>
                <w:highlight w:val="none"/>
              </w:rPr>
            </w:pPr>
          </w:p>
        </w:tc>
      </w:tr>
    </w:tbl>
    <w:p w14:paraId="0FF8DBE4">
      <w:pPr>
        <w:pStyle w:val="23"/>
        <w:keepNext w:val="0"/>
        <w:keepLines w:val="0"/>
        <w:pageBreakBefore w:val="0"/>
        <w:kinsoku/>
        <w:wordWrap/>
        <w:overflowPunct/>
        <w:topLinePunct w:val="0"/>
        <w:bidi w:val="0"/>
        <w:adjustRightInd w:val="0"/>
        <w:snapToGrid w:val="0"/>
        <w:spacing w:before="0" w:beforeAutospacing="0" w:after="0" w:afterAutospacing="0"/>
        <w:ind w:left="0" w:leftChars="0" w:right="0" w:rightChars="0"/>
        <w:jc w:val="center"/>
        <w:outlineLvl w:val="0"/>
        <w:rPr>
          <w:rFonts w:hint="default" w:ascii="Times New Roman" w:hAnsi="Times New Roman" w:eastAsia="宋体" w:cs="Times New Roman"/>
          <w:snapToGrid w:val="0"/>
          <w:color w:val="auto"/>
          <w:spacing w:val="0"/>
          <w:position w:val="0"/>
          <w:sz w:val="30"/>
          <w:szCs w:val="30"/>
          <w:highlight w:val="none"/>
        </w:rPr>
      </w:pPr>
      <w:r>
        <w:rPr>
          <w:rFonts w:hint="default" w:ascii="Times New Roman" w:hAnsi="Times New Roman" w:eastAsia="宋体" w:cs="Times New Roman"/>
          <w:snapToGrid w:val="0"/>
          <w:color w:val="auto"/>
          <w:spacing w:val="0"/>
          <w:position w:val="0"/>
          <w:sz w:val="36"/>
          <w:szCs w:val="36"/>
          <w:highlight w:val="none"/>
        </w:rPr>
        <w:br w:type="page"/>
      </w:r>
      <w:bookmarkStart w:id="8" w:name="_Toc5530"/>
      <w:r>
        <w:rPr>
          <w:rFonts w:hint="default" w:ascii="Times New Roman" w:hAnsi="Times New Roman" w:eastAsia="宋体" w:cs="Times New Roman"/>
          <w:snapToGrid w:val="0"/>
          <w:color w:val="auto"/>
          <w:spacing w:val="0"/>
          <w:position w:val="0"/>
          <w:sz w:val="30"/>
          <w:szCs w:val="30"/>
          <w:highlight w:val="none"/>
        </w:rPr>
        <w:t>四、主要环境影响和保护措施</w:t>
      </w:r>
      <w:bookmarkEnd w:id="8"/>
    </w:p>
    <w:tbl>
      <w:tblPr>
        <w:tblStyle w:val="29"/>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18"/>
        <w:gridCol w:w="8563"/>
      </w:tblGrid>
      <w:tr w14:paraId="3989D5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54" w:hRule="atLeast"/>
          <w:jc w:val="center"/>
        </w:trPr>
        <w:tc>
          <w:tcPr>
            <w:tcW w:w="418" w:type="dxa"/>
            <w:noWrap w:val="0"/>
            <w:tcMar>
              <w:left w:w="28" w:type="dxa"/>
              <w:right w:w="28" w:type="dxa"/>
            </w:tcMar>
            <w:vAlign w:val="center"/>
          </w:tcPr>
          <w:p w14:paraId="58D5C3C9">
            <w:pPr>
              <w:pStyle w:val="23"/>
              <w:keepNext w:val="0"/>
              <w:keepLines w:val="0"/>
              <w:pageBreakBefore w:val="0"/>
              <w:kinsoku/>
              <w:wordWrap/>
              <w:overflowPunct/>
              <w:topLinePunct w:val="0"/>
              <w:bidi w:val="0"/>
              <w:adjustRightInd w:val="0"/>
              <w:snapToGrid w:val="0"/>
              <w:spacing w:before="0" w:beforeAutospacing="0" w:after="0" w:afterAutospacing="0"/>
              <w:ind w:left="0" w:leftChars="0" w:right="0" w:rightChars="0"/>
              <w:jc w:val="center"/>
              <w:rPr>
                <w:rFonts w:hint="default" w:ascii="Times New Roman" w:hAnsi="Times New Roman" w:eastAsia="宋体" w:cs="Times New Roman"/>
                <w:bCs/>
                <w:color w:val="auto"/>
                <w:spacing w:val="0"/>
                <w:kern w:val="2"/>
                <w:position w:val="0"/>
                <w:sz w:val="21"/>
                <w:szCs w:val="21"/>
                <w:highlight w:val="none"/>
              </w:rPr>
            </w:pPr>
            <w:r>
              <w:rPr>
                <w:rFonts w:hint="default" w:ascii="Times New Roman" w:hAnsi="Times New Roman" w:eastAsia="宋体" w:cs="Times New Roman"/>
                <w:color w:val="auto"/>
                <w:spacing w:val="0"/>
                <w:kern w:val="2"/>
                <w:position w:val="0"/>
                <w:sz w:val="24"/>
                <w:szCs w:val="24"/>
                <w:highlight w:val="none"/>
              </w:rPr>
              <w:t>施工期环境保护措施</w:t>
            </w:r>
          </w:p>
        </w:tc>
        <w:tc>
          <w:tcPr>
            <w:tcW w:w="8563" w:type="dxa"/>
            <w:noWrap w:val="0"/>
            <w:vAlign w:val="center"/>
          </w:tcPr>
          <w:p w14:paraId="41B951E8">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00" w:lineRule="exact"/>
              <w:ind w:left="0" w:leftChars="0" w:right="0" w:rightChars="0" w:firstLine="42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本项目施工期不需进行土建施工，主要为设备进场及安装、调试过程中主要的污染物为设备调试噪声、设备包装废物；工人生活污水和生活垃圾等。</w:t>
            </w:r>
          </w:p>
          <w:p w14:paraId="762E04FA">
            <w:pPr>
              <w:keepNext w:val="0"/>
              <w:keepLines w:val="0"/>
              <w:pageBreakBefore w:val="0"/>
              <w:widowControl w:val="0"/>
              <w:kinsoku/>
              <w:wordWrap/>
              <w:overflowPunct/>
              <w:topLinePunct w:val="0"/>
              <w:autoSpaceDE/>
              <w:autoSpaceDN/>
              <w:bidi w:val="0"/>
              <w:adjustRightInd w:val="0"/>
              <w:snapToGrid w:val="0"/>
              <w:spacing w:beforeAutospacing="0" w:afterAutospacing="0" w:line="50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（一）废气</w:t>
            </w:r>
          </w:p>
          <w:p w14:paraId="279A3281">
            <w:pPr>
              <w:keepNext w:val="0"/>
              <w:keepLines w:val="0"/>
              <w:pageBreakBefore w:val="0"/>
              <w:widowControl w:val="0"/>
              <w:kinsoku/>
              <w:wordWrap/>
              <w:overflowPunct/>
              <w:topLinePunct w:val="0"/>
              <w:autoSpaceDE/>
              <w:autoSpaceDN/>
              <w:bidi w:val="0"/>
              <w:adjustRightInd w:val="0"/>
              <w:snapToGrid w:val="0"/>
              <w:spacing w:beforeAutospacing="0" w:afterAutospacing="0" w:line="50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1、施工期扬尘分析</w:t>
            </w:r>
          </w:p>
          <w:p w14:paraId="31A1DC82">
            <w:pPr>
              <w:keepNext w:val="0"/>
              <w:keepLines w:val="0"/>
              <w:pageBreakBefore w:val="0"/>
              <w:widowControl w:val="0"/>
              <w:kinsoku/>
              <w:wordWrap/>
              <w:overflowPunct/>
              <w:topLinePunct w:val="0"/>
              <w:autoSpaceDE/>
              <w:autoSpaceDN/>
              <w:bidi w:val="0"/>
              <w:adjustRightInd w:val="0"/>
              <w:snapToGrid w:val="0"/>
              <w:spacing w:beforeAutospacing="0" w:afterAutospacing="0" w:line="50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本项目施工期工程量小，无土建工程，建设施工过程中，大气污染物燃油动力机械和运输车辆排放的废气以及运输</w:t>
            </w:r>
            <w:r>
              <w:rPr>
                <w:rFonts w:hint="default" w:ascii="Times New Roman" w:hAnsi="Times New Roman" w:cs="Times New Roman"/>
                <w:color w:val="auto"/>
                <w:spacing w:val="0"/>
                <w:position w:val="0"/>
                <w:sz w:val="24"/>
                <w:szCs w:val="32"/>
                <w:highlight w:val="none"/>
                <w:lang w:eastAsia="zh-CN"/>
              </w:rPr>
              <w:t>车辆</w:t>
            </w:r>
            <w:r>
              <w:rPr>
                <w:rFonts w:hint="default" w:ascii="Times New Roman" w:hAnsi="Times New Roman" w:eastAsia="宋体" w:cs="Times New Roman"/>
                <w:color w:val="auto"/>
                <w:spacing w:val="0"/>
                <w:position w:val="0"/>
                <w:sz w:val="24"/>
                <w:szCs w:val="32"/>
                <w:highlight w:val="none"/>
              </w:rPr>
              <w:t>产生的扬尘。</w:t>
            </w:r>
          </w:p>
          <w:p w14:paraId="71D753CA">
            <w:pPr>
              <w:keepNext w:val="0"/>
              <w:keepLines w:val="0"/>
              <w:pageBreakBefore w:val="0"/>
              <w:widowControl w:val="0"/>
              <w:kinsoku/>
              <w:wordWrap/>
              <w:overflowPunct/>
              <w:topLinePunct w:val="0"/>
              <w:autoSpaceDE/>
              <w:autoSpaceDN/>
              <w:bidi w:val="0"/>
              <w:adjustRightInd w:val="0"/>
              <w:snapToGrid w:val="0"/>
              <w:spacing w:beforeAutospacing="0" w:afterAutospacing="0" w:line="50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2、施工扬尘污染控制措施</w:t>
            </w:r>
          </w:p>
          <w:p w14:paraId="325105A8">
            <w:pPr>
              <w:keepNext w:val="0"/>
              <w:keepLines w:val="0"/>
              <w:pageBreakBefore w:val="0"/>
              <w:widowControl w:val="0"/>
              <w:kinsoku/>
              <w:wordWrap/>
              <w:overflowPunct/>
              <w:topLinePunct w:val="0"/>
              <w:autoSpaceDE/>
              <w:autoSpaceDN/>
              <w:bidi w:val="0"/>
              <w:adjustRightInd w:val="0"/>
              <w:snapToGrid w:val="0"/>
              <w:spacing w:beforeAutospacing="0" w:afterAutospacing="0" w:line="50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为控制扬尘的影响，建设单位应严格采取以下施工污染控制对策：</w:t>
            </w:r>
          </w:p>
          <w:p w14:paraId="77384464">
            <w:pPr>
              <w:keepNext w:val="0"/>
              <w:keepLines w:val="0"/>
              <w:pageBreakBefore w:val="0"/>
              <w:widowControl w:val="0"/>
              <w:kinsoku/>
              <w:wordWrap/>
              <w:overflowPunct/>
              <w:topLinePunct w:val="0"/>
              <w:autoSpaceDE/>
              <w:autoSpaceDN/>
              <w:bidi w:val="0"/>
              <w:adjustRightInd w:val="0"/>
              <w:snapToGrid w:val="0"/>
              <w:spacing w:beforeAutospacing="0" w:afterAutospacing="0" w:line="50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（1）运输车辆要完好、装载不宜过满、对易起尘物料加盖</w:t>
            </w:r>
            <w:r>
              <w:rPr>
                <w:rFonts w:hint="default" w:ascii="Times New Roman" w:hAnsi="Times New Roman" w:cs="Times New Roman"/>
                <w:color w:val="auto"/>
                <w:spacing w:val="0"/>
                <w:position w:val="0"/>
                <w:sz w:val="24"/>
                <w:szCs w:val="32"/>
                <w:highlight w:val="none"/>
                <w:lang w:eastAsia="zh-CN"/>
              </w:rPr>
              <w:t>篷布</w:t>
            </w:r>
            <w:r>
              <w:rPr>
                <w:rFonts w:hint="default" w:ascii="Times New Roman" w:hAnsi="Times New Roman" w:eastAsia="宋体" w:cs="Times New Roman"/>
                <w:color w:val="auto"/>
                <w:spacing w:val="0"/>
                <w:position w:val="0"/>
                <w:sz w:val="24"/>
                <w:szCs w:val="32"/>
                <w:highlight w:val="none"/>
              </w:rPr>
              <w:t>、控制车速、减少卸料落差等内容。</w:t>
            </w:r>
          </w:p>
          <w:p w14:paraId="5C6B674C">
            <w:pPr>
              <w:keepNext w:val="0"/>
              <w:keepLines w:val="0"/>
              <w:pageBreakBefore w:val="0"/>
              <w:widowControl w:val="0"/>
              <w:kinsoku/>
              <w:wordWrap/>
              <w:overflowPunct/>
              <w:topLinePunct w:val="0"/>
              <w:autoSpaceDE/>
              <w:autoSpaceDN/>
              <w:bidi w:val="0"/>
              <w:adjustRightInd w:val="0"/>
              <w:snapToGrid w:val="0"/>
              <w:spacing w:beforeAutospacing="0" w:afterAutospacing="0" w:line="50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（2）建立洒水清扫制度，指定专人负责洒水和清扫工作。</w:t>
            </w:r>
          </w:p>
          <w:p w14:paraId="0EBFBC15">
            <w:pPr>
              <w:keepNext w:val="0"/>
              <w:keepLines w:val="0"/>
              <w:pageBreakBefore w:val="0"/>
              <w:widowControl w:val="0"/>
              <w:kinsoku/>
              <w:wordWrap/>
              <w:overflowPunct/>
              <w:topLinePunct w:val="0"/>
              <w:autoSpaceDE/>
              <w:autoSpaceDN/>
              <w:bidi w:val="0"/>
              <w:adjustRightInd w:val="0"/>
              <w:snapToGrid w:val="0"/>
              <w:spacing w:beforeAutospacing="0" w:afterAutospacing="0" w:line="50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在采取上述措施后，本项目施工扬尘对外环境影响较小。</w:t>
            </w:r>
          </w:p>
          <w:p w14:paraId="48DE2D45">
            <w:pPr>
              <w:keepNext w:val="0"/>
              <w:keepLines w:val="0"/>
              <w:pageBreakBefore w:val="0"/>
              <w:widowControl w:val="0"/>
              <w:kinsoku/>
              <w:wordWrap/>
              <w:overflowPunct/>
              <w:topLinePunct w:val="0"/>
              <w:autoSpaceDE/>
              <w:autoSpaceDN/>
              <w:bidi w:val="0"/>
              <w:adjustRightInd w:val="0"/>
              <w:snapToGrid w:val="0"/>
              <w:spacing w:beforeAutospacing="0" w:afterAutospacing="0" w:line="50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（二）废水</w:t>
            </w:r>
          </w:p>
          <w:p w14:paraId="65D38AE5">
            <w:pPr>
              <w:keepNext w:val="0"/>
              <w:keepLines w:val="0"/>
              <w:pageBreakBefore w:val="0"/>
              <w:widowControl w:val="0"/>
              <w:kinsoku/>
              <w:wordWrap/>
              <w:overflowPunct/>
              <w:topLinePunct w:val="0"/>
              <w:autoSpaceDE/>
              <w:autoSpaceDN/>
              <w:bidi w:val="0"/>
              <w:adjustRightInd w:val="0"/>
              <w:snapToGrid w:val="0"/>
              <w:spacing w:beforeAutospacing="0" w:afterAutospacing="0" w:line="50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本项目施工期无土建施工，无施工废水产生，施工期废水来源于现场施工人员生活污水，主要污染物为COD、NH</w:t>
            </w:r>
            <w:r>
              <w:rPr>
                <w:rFonts w:hint="default" w:ascii="Times New Roman" w:hAnsi="Times New Roman" w:eastAsia="宋体" w:cs="Times New Roman"/>
                <w:color w:val="auto"/>
                <w:spacing w:val="0"/>
                <w:position w:val="0"/>
                <w:sz w:val="24"/>
                <w:szCs w:val="32"/>
                <w:highlight w:val="none"/>
                <w:vertAlign w:val="subscript"/>
              </w:rPr>
              <w:t>3</w:t>
            </w:r>
            <w:r>
              <w:rPr>
                <w:rFonts w:hint="default" w:ascii="Times New Roman" w:hAnsi="Times New Roman" w:eastAsia="宋体" w:cs="Times New Roman"/>
                <w:color w:val="auto"/>
                <w:spacing w:val="0"/>
                <w:position w:val="0"/>
                <w:sz w:val="24"/>
                <w:szCs w:val="32"/>
                <w:highlight w:val="none"/>
              </w:rPr>
              <w:t>-N，施工期施工人员生活污水排入市政管网，进入</w:t>
            </w:r>
            <w:r>
              <w:rPr>
                <w:rFonts w:hint="default" w:ascii="Times New Roman" w:hAnsi="Times New Roman" w:cs="Times New Roman"/>
                <w:color w:val="auto"/>
                <w:spacing w:val="0"/>
                <w:position w:val="0"/>
                <w:sz w:val="24"/>
                <w:szCs w:val="32"/>
                <w:highlight w:val="none"/>
                <w:lang w:eastAsia="zh-CN"/>
              </w:rPr>
              <w:t>桦川县污水处理厂</w:t>
            </w:r>
            <w:r>
              <w:rPr>
                <w:rFonts w:hint="default" w:ascii="Times New Roman" w:hAnsi="Times New Roman" w:eastAsia="宋体" w:cs="Times New Roman"/>
                <w:color w:val="auto"/>
                <w:spacing w:val="0"/>
                <w:position w:val="0"/>
                <w:sz w:val="24"/>
                <w:szCs w:val="32"/>
                <w:highlight w:val="none"/>
              </w:rPr>
              <w:t>进行处理。</w:t>
            </w:r>
          </w:p>
          <w:p w14:paraId="2572315F">
            <w:pPr>
              <w:keepNext w:val="0"/>
              <w:keepLines w:val="0"/>
              <w:pageBreakBefore w:val="0"/>
              <w:widowControl w:val="0"/>
              <w:kinsoku/>
              <w:wordWrap/>
              <w:overflowPunct/>
              <w:topLinePunct w:val="0"/>
              <w:autoSpaceDE/>
              <w:autoSpaceDN/>
              <w:bidi w:val="0"/>
              <w:adjustRightInd w:val="0"/>
              <w:snapToGrid w:val="0"/>
              <w:spacing w:beforeAutospacing="0" w:afterAutospacing="0" w:line="50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（三）噪声</w:t>
            </w:r>
          </w:p>
          <w:p w14:paraId="4BE6191D">
            <w:pPr>
              <w:keepNext w:val="0"/>
              <w:keepLines w:val="0"/>
              <w:pageBreakBefore w:val="0"/>
              <w:widowControl w:val="0"/>
              <w:kinsoku/>
              <w:wordWrap/>
              <w:overflowPunct/>
              <w:topLinePunct w:val="0"/>
              <w:autoSpaceDE/>
              <w:autoSpaceDN/>
              <w:bidi w:val="0"/>
              <w:adjustRightInd w:val="0"/>
              <w:snapToGrid w:val="0"/>
              <w:spacing w:beforeAutospacing="0" w:afterAutospacing="0" w:line="50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1、施工期噪声分析</w:t>
            </w:r>
            <w:r>
              <w:rPr>
                <w:rFonts w:hint="eastAsia" w:cs="Times New Roman"/>
                <w:color w:val="auto"/>
                <w:spacing w:val="0"/>
                <w:position w:val="0"/>
                <w:sz w:val="24"/>
                <w:szCs w:val="32"/>
                <w:highlight w:val="none"/>
                <w:lang w:eastAsia="zh-CN"/>
              </w:rPr>
              <w:t>。</w:t>
            </w:r>
            <w:r>
              <w:rPr>
                <w:rFonts w:hint="default" w:ascii="Times New Roman" w:hAnsi="Times New Roman" w:eastAsia="宋体" w:cs="Times New Roman"/>
                <w:color w:val="auto"/>
                <w:spacing w:val="0"/>
                <w:position w:val="0"/>
                <w:sz w:val="24"/>
                <w:szCs w:val="32"/>
                <w:highlight w:val="none"/>
              </w:rPr>
              <w:t>项目施工期噪声主要来源于设备安装及调试噪声和运输车辆噪声。根据《建筑环境噪声排放标准》（GB12523-20</w:t>
            </w:r>
            <w:r>
              <w:rPr>
                <w:rFonts w:hint="default" w:ascii="Times New Roman" w:hAnsi="Times New Roman" w:cs="Times New Roman"/>
                <w:color w:val="auto"/>
                <w:spacing w:val="0"/>
                <w:position w:val="0"/>
                <w:sz w:val="24"/>
                <w:szCs w:val="32"/>
                <w:highlight w:val="none"/>
                <w:lang w:val="en-US" w:eastAsia="zh-CN"/>
              </w:rPr>
              <w:t>25</w:t>
            </w:r>
            <w:r>
              <w:rPr>
                <w:rFonts w:hint="default" w:ascii="Times New Roman" w:hAnsi="Times New Roman" w:eastAsia="宋体" w:cs="Times New Roman"/>
                <w:color w:val="auto"/>
                <w:spacing w:val="0"/>
                <w:position w:val="0"/>
                <w:sz w:val="24"/>
                <w:szCs w:val="32"/>
                <w:highlight w:val="none"/>
              </w:rPr>
              <w:t>）的规定，施工噪声控制在昼间70dB（A），夜间控制在55dB（A）。</w:t>
            </w:r>
            <w:bookmarkStart w:id="9" w:name="_Toc467141247"/>
            <w:bookmarkStart w:id="10" w:name="_Toc420963214"/>
            <w:bookmarkStart w:id="11" w:name="_Toc464055308"/>
            <w:bookmarkStart w:id="12" w:name="_Toc478481425"/>
            <w:bookmarkStart w:id="13" w:name="_Toc2533"/>
            <w:bookmarkStart w:id="14" w:name="_Toc419876253"/>
            <w:bookmarkStart w:id="15" w:name="_Toc465089173"/>
            <w:bookmarkStart w:id="16" w:name="_Toc463871779"/>
          </w:p>
          <w:p w14:paraId="4EC9A2CE">
            <w:pPr>
              <w:keepNext w:val="0"/>
              <w:keepLines w:val="0"/>
              <w:pageBreakBefore w:val="0"/>
              <w:widowControl w:val="0"/>
              <w:kinsoku/>
              <w:wordWrap/>
              <w:overflowPunct/>
              <w:topLinePunct w:val="0"/>
              <w:autoSpaceDE/>
              <w:autoSpaceDN/>
              <w:bidi w:val="0"/>
              <w:adjustRightInd w:val="0"/>
              <w:snapToGrid w:val="0"/>
              <w:spacing w:beforeAutospacing="0" w:afterAutospacing="0" w:line="50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2、施工噪声控制措施</w:t>
            </w:r>
            <w:r>
              <w:rPr>
                <w:rFonts w:hint="eastAsia" w:cs="Times New Roman"/>
                <w:color w:val="auto"/>
                <w:spacing w:val="0"/>
                <w:position w:val="0"/>
                <w:sz w:val="24"/>
                <w:szCs w:val="32"/>
                <w:highlight w:val="none"/>
                <w:lang w:eastAsia="zh-CN"/>
              </w:rPr>
              <w:t>。</w:t>
            </w:r>
            <w:r>
              <w:rPr>
                <w:rFonts w:hint="default" w:ascii="Times New Roman" w:hAnsi="Times New Roman" w:eastAsia="宋体" w:cs="Times New Roman"/>
                <w:color w:val="auto"/>
                <w:spacing w:val="0"/>
                <w:position w:val="0"/>
                <w:sz w:val="24"/>
                <w:szCs w:val="32"/>
                <w:highlight w:val="none"/>
              </w:rPr>
              <w:t>（1）施工时间为6</w:t>
            </w:r>
            <w:r>
              <w:rPr>
                <w:rFonts w:hint="default" w:ascii="Times New Roman" w:hAnsi="Times New Roman" w:cs="Times New Roman"/>
                <w:color w:val="auto"/>
                <w:spacing w:val="0"/>
                <w:position w:val="0"/>
                <w:sz w:val="24"/>
                <w:szCs w:val="32"/>
                <w:highlight w:val="none"/>
                <w:lang w:eastAsia="zh-CN"/>
              </w:rPr>
              <w:t>：</w:t>
            </w:r>
            <w:r>
              <w:rPr>
                <w:rFonts w:hint="default" w:ascii="Times New Roman" w:hAnsi="Times New Roman" w:eastAsia="宋体" w:cs="Times New Roman"/>
                <w:color w:val="auto"/>
                <w:spacing w:val="0"/>
                <w:position w:val="0"/>
                <w:sz w:val="24"/>
                <w:szCs w:val="32"/>
                <w:highlight w:val="none"/>
              </w:rPr>
              <w:t>00到22</w:t>
            </w:r>
            <w:r>
              <w:rPr>
                <w:rFonts w:hint="default" w:ascii="Times New Roman" w:hAnsi="Times New Roman" w:cs="Times New Roman"/>
                <w:color w:val="auto"/>
                <w:spacing w:val="0"/>
                <w:position w:val="0"/>
                <w:sz w:val="24"/>
                <w:szCs w:val="32"/>
                <w:highlight w:val="none"/>
                <w:lang w:eastAsia="zh-CN"/>
              </w:rPr>
              <w:t>：</w:t>
            </w:r>
            <w:r>
              <w:rPr>
                <w:rFonts w:hint="default" w:ascii="Times New Roman" w:hAnsi="Times New Roman" w:eastAsia="宋体" w:cs="Times New Roman"/>
                <w:color w:val="auto"/>
                <w:spacing w:val="0"/>
                <w:position w:val="0"/>
                <w:sz w:val="24"/>
                <w:szCs w:val="32"/>
                <w:highlight w:val="none"/>
              </w:rPr>
              <w:t>00。除抢修、抢险作业外，不得在夜间进行噪声污染的施工作业。确需夜间施工作业的，必须提前3日向所在地的区、县环保行政主管部门提出申请，经审核批准后，方可施工，并由建设单位公告当地居民。（2）向周围环境排放建筑施工噪声超过建筑施工场界噪声限值</w:t>
            </w:r>
            <w:r>
              <w:rPr>
                <w:rFonts w:hint="default" w:ascii="Times New Roman" w:hAnsi="Times New Roman" w:cs="Times New Roman"/>
                <w:color w:val="auto"/>
                <w:spacing w:val="0"/>
                <w:position w:val="0"/>
                <w:sz w:val="24"/>
                <w:szCs w:val="32"/>
                <w:highlight w:val="none"/>
                <w:lang w:eastAsia="zh-CN"/>
              </w:rPr>
              <w:t>的</w:t>
            </w:r>
            <w:r>
              <w:rPr>
                <w:rFonts w:hint="default" w:ascii="Times New Roman" w:hAnsi="Times New Roman" w:eastAsia="宋体" w:cs="Times New Roman"/>
                <w:color w:val="auto"/>
                <w:spacing w:val="0"/>
                <w:position w:val="0"/>
                <w:sz w:val="24"/>
                <w:szCs w:val="32"/>
                <w:highlight w:val="none"/>
              </w:rPr>
              <w:t>，确因技术条件所限，不能通过治理消除环境噪声污染的，必须采取有效措施，把噪声污染降至最低，并在施工现场所在地区、县环保行政主管部门监督下与受其噪声污染的居民组织和有关单位协商，达成一致后，方可施工。（3）施工现场合理布局，避免局部声级过高，尽可能将施工阶段的噪声减至最小。（4）现场施工人员要严加管理，拆卸模板时要防止模板互相撞击噪声扰民，要文明施工。因此，在采取上述措施后，本项目施工噪声对外环境影响较小。</w:t>
            </w:r>
          </w:p>
          <w:bookmarkEnd w:id="9"/>
          <w:bookmarkEnd w:id="10"/>
          <w:bookmarkEnd w:id="11"/>
          <w:bookmarkEnd w:id="12"/>
          <w:bookmarkEnd w:id="13"/>
          <w:bookmarkEnd w:id="14"/>
          <w:bookmarkEnd w:id="15"/>
          <w:bookmarkEnd w:id="16"/>
          <w:p w14:paraId="00F20E83">
            <w:pPr>
              <w:keepNext w:val="0"/>
              <w:keepLines w:val="0"/>
              <w:pageBreakBefore w:val="0"/>
              <w:widowControl w:val="0"/>
              <w:kinsoku/>
              <w:wordWrap/>
              <w:overflowPunct/>
              <w:topLinePunct w:val="0"/>
              <w:autoSpaceDE/>
              <w:autoSpaceDN/>
              <w:bidi w:val="0"/>
              <w:adjustRightInd w:val="0"/>
              <w:snapToGrid w:val="0"/>
              <w:spacing w:beforeAutospacing="0" w:afterAutospacing="0" w:line="50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（四）固体废物</w:t>
            </w:r>
          </w:p>
          <w:p w14:paraId="7F3B8706">
            <w:pPr>
              <w:keepNext w:val="0"/>
              <w:keepLines w:val="0"/>
              <w:pageBreakBefore w:val="0"/>
              <w:widowControl w:val="0"/>
              <w:kinsoku/>
              <w:wordWrap/>
              <w:overflowPunct/>
              <w:topLinePunct w:val="0"/>
              <w:autoSpaceDE/>
              <w:autoSpaceDN/>
              <w:bidi w:val="0"/>
              <w:adjustRightInd w:val="0"/>
              <w:snapToGrid w:val="0"/>
              <w:spacing w:beforeAutospacing="0" w:afterAutospacing="0" w:line="50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本项目施工期固体废物主要</w:t>
            </w:r>
            <w:r>
              <w:rPr>
                <w:rFonts w:hint="default" w:ascii="Times New Roman" w:hAnsi="Times New Roman" w:cs="Times New Roman"/>
                <w:color w:val="auto"/>
                <w:spacing w:val="0"/>
                <w:position w:val="0"/>
                <w:sz w:val="24"/>
                <w:szCs w:val="32"/>
                <w:highlight w:val="none"/>
                <w:lang w:eastAsia="zh-CN"/>
              </w:rPr>
              <w:t>来自</w:t>
            </w:r>
            <w:r>
              <w:rPr>
                <w:rFonts w:hint="default" w:ascii="Times New Roman" w:hAnsi="Times New Roman" w:eastAsia="宋体" w:cs="Times New Roman"/>
                <w:color w:val="auto"/>
                <w:spacing w:val="0"/>
                <w:position w:val="0"/>
                <w:sz w:val="24"/>
                <w:szCs w:val="32"/>
                <w:highlight w:val="none"/>
              </w:rPr>
              <w:t>施工人员的生活垃圾，施工期施工场地设置专人清扫，施工人员的生活垃圾集中收集后，由</w:t>
            </w:r>
            <w:r>
              <w:rPr>
                <w:rFonts w:hint="default" w:ascii="Times New Roman" w:hAnsi="Times New Roman" w:eastAsia="宋体" w:cs="Times New Roman"/>
                <w:bCs/>
                <w:color w:val="auto"/>
                <w:spacing w:val="0"/>
                <w:position w:val="0"/>
                <w:sz w:val="24"/>
                <w:szCs w:val="24"/>
                <w:highlight w:val="none"/>
                <w:lang w:val="en-US" w:eastAsia="zh-CN"/>
              </w:rPr>
              <w:t>有处置能力的单位处</w:t>
            </w:r>
            <w:r>
              <w:rPr>
                <w:rFonts w:hint="default" w:ascii="Times New Roman" w:hAnsi="Times New Roman" w:eastAsia="宋体" w:cs="Times New Roman"/>
                <w:color w:val="auto"/>
                <w:spacing w:val="0"/>
                <w:position w:val="0"/>
                <w:sz w:val="24"/>
                <w:szCs w:val="24"/>
                <w:highlight w:val="none"/>
              </w:rPr>
              <w:t>理</w:t>
            </w:r>
            <w:r>
              <w:rPr>
                <w:rFonts w:hint="default" w:ascii="Times New Roman" w:hAnsi="Times New Roman" w:eastAsia="宋体" w:cs="Times New Roman"/>
                <w:color w:val="auto"/>
                <w:spacing w:val="0"/>
                <w:position w:val="0"/>
                <w:sz w:val="24"/>
                <w:szCs w:val="32"/>
                <w:highlight w:val="none"/>
              </w:rPr>
              <w:t>。</w:t>
            </w:r>
          </w:p>
          <w:p w14:paraId="325C6CB4">
            <w:pPr>
              <w:keepNext w:val="0"/>
              <w:keepLines w:val="0"/>
              <w:pageBreakBefore w:val="0"/>
              <w:widowControl w:val="0"/>
              <w:kinsoku/>
              <w:wordWrap/>
              <w:overflowPunct/>
              <w:topLinePunct w:val="0"/>
              <w:autoSpaceDE/>
              <w:autoSpaceDN/>
              <w:bidi w:val="0"/>
              <w:adjustRightInd w:val="0"/>
              <w:snapToGrid w:val="0"/>
              <w:spacing w:beforeAutospacing="0" w:afterAutospacing="0" w:line="500" w:lineRule="exact"/>
              <w:ind w:left="0" w:leftChars="0" w:right="0" w:rightChars="0" w:firstLine="480" w:firstLineChars="200"/>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 w:val="24"/>
                <w:szCs w:val="32"/>
                <w:highlight w:val="none"/>
              </w:rPr>
              <w:t>综上，施工期固体废物处置率为100%，随着施工期的结束固体废物对环境影响随之消失，对环境影响可被接受。</w:t>
            </w:r>
          </w:p>
        </w:tc>
      </w:tr>
      <w:tr w14:paraId="23CDFF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95" w:hRule="atLeast"/>
          <w:jc w:val="center"/>
        </w:trPr>
        <w:tc>
          <w:tcPr>
            <w:tcW w:w="418" w:type="dxa"/>
            <w:noWrap w:val="0"/>
            <w:tcMar>
              <w:left w:w="28" w:type="dxa"/>
              <w:right w:w="28" w:type="dxa"/>
            </w:tcMar>
            <w:vAlign w:val="center"/>
          </w:tcPr>
          <w:p w14:paraId="648A0DD6">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pacing w:val="0"/>
                <w:position w:val="0"/>
                <w:szCs w:val="21"/>
                <w:highlight w:val="none"/>
              </w:rPr>
            </w:pPr>
            <w:r>
              <w:rPr>
                <w:rFonts w:hint="default" w:ascii="Times New Roman" w:hAnsi="Times New Roman" w:eastAsia="宋体" w:cs="Times New Roman"/>
                <w:bCs/>
                <w:color w:val="auto"/>
                <w:spacing w:val="0"/>
                <w:position w:val="0"/>
                <w:szCs w:val="21"/>
                <w:highlight w:val="none"/>
              </w:rPr>
              <w:t>运营</w:t>
            </w:r>
          </w:p>
          <w:p w14:paraId="4A11B710">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pacing w:val="0"/>
                <w:position w:val="0"/>
                <w:szCs w:val="21"/>
                <w:highlight w:val="none"/>
              </w:rPr>
            </w:pPr>
            <w:r>
              <w:rPr>
                <w:rFonts w:hint="default" w:ascii="Times New Roman" w:hAnsi="Times New Roman" w:eastAsia="宋体" w:cs="Times New Roman"/>
                <w:bCs/>
                <w:color w:val="auto"/>
                <w:spacing w:val="0"/>
                <w:position w:val="0"/>
                <w:szCs w:val="21"/>
                <w:highlight w:val="none"/>
              </w:rPr>
              <w:t>期环</w:t>
            </w:r>
          </w:p>
          <w:p w14:paraId="232DFA4F">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pacing w:val="0"/>
                <w:position w:val="0"/>
                <w:szCs w:val="21"/>
                <w:highlight w:val="none"/>
              </w:rPr>
            </w:pPr>
            <w:r>
              <w:rPr>
                <w:rFonts w:hint="default" w:ascii="Times New Roman" w:hAnsi="Times New Roman" w:eastAsia="宋体" w:cs="Times New Roman"/>
                <w:bCs/>
                <w:color w:val="auto"/>
                <w:spacing w:val="0"/>
                <w:position w:val="0"/>
                <w:szCs w:val="21"/>
                <w:highlight w:val="none"/>
              </w:rPr>
              <w:t>境影</w:t>
            </w:r>
          </w:p>
          <w:p w14:paraId="74D2BB0C">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pacing w:val="0"/>
                <w:position w:val="0"/>
                <w:szCs w:val="21"/>
                <w:highlight w:val="none"/>
              </w:rPr>
            </w:pPr>
            <w:r>
              <w:rPr>
                <w:rFonts w:hint="default" w:ascii="Times New Roman" w:hAnsi="Times New Roman" w:eastAsia="宋体" w:cs="Times New Roman"/>
                <w:bCs/>
                <w:color w:val="auto"/>
                <w:spacing w:val="0"/>
                <w:position w:val="0"/>
                <w:szCs w:val="21"/>
                <w:highlight w:val="none"/>
              </w:rPr>
              <w:t>响和</w:t>
            </w:r>
          </w:p>
          <w:p w14:paraId="59B28FB6">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pacing w:val="0"/>
                <w:position w:val="0"/>
                <w:szCs w:val="21"/>
                <w:highlight w:val="none"/>
              </w:rPr>
            </w:pPr>
            <w:r>
              <w:rPr>
                <w:rFonts w:hint="default" w:ascii="Times New Roman" w:hAnsi="Times New Roman" w:eastAsia="宋体" w:cs="Times New Roman"/>
                <w:bCs/>
                <w:color w:val="auto"/>
                <w:spacing w:val="0"/>
                <w:position w:val="0"/>
                <w:szCs w:val="21"/>
                <w:highlight w:val="none"/>
              </w:rPr>
              <w:t>保护</w:t>
            </w:r>
          </w:p>
          <w:p w14:paraId="765EE8DC">
            <w:pPr>
              <w:pStyle w:val="23"/>
              <w:keepNext w:val="0"/>
              <w:keepLines w:val="0"/>
              <w:pageBreakBefore w:val="0"/>
              <w:kinsoku/>
              <w:wordWrap/>
              <w:overflowPunct/>
              <w:topLinePunct w:val="0"/>
              <w:bidi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rPr>
            </w:pPr>
            <w:r>
              <w:rPr>
                <w:rFonts w:hint="default" w:ascii="Times New Roman" w:hAnsi="Times New Roman" w:eastAsia="宋体" w:cs="Times New Roman"/>
                <w:bCs/>
                <w:color w:val="auto"/>
                <w:spacing w:val="0"/>
                <w:position w:val="0"/>
                <w:szCs w:val="21"/>
                <w:highlight w:val="none"/>
              </w:rPr>
              <w:t>措施</w:t>
            </w:r>
          </w:p>
        </w:tc>
        <w:tc>
          <w:tcPr>
            <w:tcW w:w="8563" w:type="dxa"/>
            <w:noWrap w:val="0"/>
            <w:vAlign w:val="center"/>
          </w:tcPr>
          <w:p w14:paraId="43EFACFA">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（一）废气环境影响和保护措施分析</w:t>
            </w:r>
          </w:p>
          <w:p w14:paraId="4A76A2CA">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1、废气污染物排放情况</w:t>
            </w:r>
          </w:p>
          <w:p w14:paraId="143016D5">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w:t>
            </w:r>
            <w:r>
              <w:rPr>
                <w:rFonts w:hint="default" w:ascii="Times New Roman" w:hAnsi="Times New Roman" w:cs="Times New Roman"/>
                <w:color w:val="auto"/>
                <w:spacing w:val="0"/>
                <w:position w:val="0"/>
                <w:sz w:val="24"/>
                <w:szCs w:val="24"/>
                <w:highlight w:val="none"/>
                <w:lang w:val="en-US" w:eastAsia="zh-CN"/>
              </w:rPr>
              <w:t>大豆原料</w:t>
            </w:r>
            <w:r>
              <w:rPr>
                <w:rFonts w:hint="default" w:ascii="Times New Roman" w:hAnsi="Times New Roman" w:eastAsia="宋体" w:cs="Times New Roman"/>
                <w:color w:val="auto"/>
                <w:spacing w:val="0"/>
                <w:position w:val="0"/>
                <w:sz w:val="24"/>
                <w:szCs w:val="24"/>
                <w:highlight w:val="none"/>
              </w:rPr>
              <w:t>在压胚、蒸炒</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压榨</w:t>
            </w:r>
            <w:r>
              <w:rPr>
                <w:rFonts w:hint="default" w:ascii="Times New Roman" w:hAnsi="Times New Roman" w:cs="Times New Roman"/>
                <w:color w:val="auto"/>
                <w:spacing w:val="0"/>
                <w:position w:val="0"/>
                <w:sz w:val="24"/>
                <w:szCs w:val="24"/>
                <w:highlight w:val="none"/>
                <w:lang w:val="en-US" w:eastAsia="zh-CN"/>
              </w:rPr>
              <w:t>以及膨化</w:t>
            </w:r>
            <w:r>
              <w:rPr>
                <w:rFonts w:hint="default" w:ascii="Times New Roman" w:hAnsi="Times New Roman" w:eastAsia="宋体" w:cs="Times New Roman"/>
                <w:color w:val="auto"/>
                <w:spacing w:val="0"/>
                <w:position w:val="0"/>
                <w:sz w:val="24"/>
                <w:szCs w:val="24"/>
                <w:highlight w:val="none"/>
              </w:rPr>
              <w:t>过程中会产生少量</w:t>
            </w:r>
            <w:r>
              <w:rPr>
                <w:rFonts w:hint="default" w:ascii="Times New Roman" w:hAnsi="Times New Roman" w:cs="Times New Roman"/>
                <w:color w:val="auto"/>
                <w:spacing w:val="0"/>
                <w:position w:val="0"/>
                <w:sz w:val="24"/>
                <w:szCs w:val="24"/>
                <w:highlight w:val="none"/>
                <w:lang w:val="en-US" w:eastAsia="zh-CN"/>
              </w:rPr>
              <w:t>异味</w:t>
            </w:r>
            <w:r>
              <w:rPr>
                <w:rFonts w:hint="default" w:ascii="Times New Roman" w:hAnsi="Times New Roman" w:eastAsia="宋体" w:cs="Times New Roman"/>
                <w:color w:val="auto"/>
                <w:spacing w:val="0"/>
                <w:position w:val="0"/>
                <w:sz w:val="24"/>
                <w:szCs w:val="24"/>
                <w:highlight w:val="none"/>
              </w:rPr>
              <w:t>，废气中主要含有少量臭气，</w:t>
            </w:r>
            <w:r>
              <w:rPr>
                <w:rFonts w:hint="default" w:ascii="Times New Roman" w:hAnsi="Times New Roman" w:cs="Times New Roman"/>
                <w:color w:val="auto"/>
                <w:spacing w:val="0"/>
                <w:position w:val="0"/>
                <w:sz w:val="24"/>
                <w:szCs w:val="24"/>
                <w:highlight w:val="none"/>
                <w:lang w:val="en-US" w:eastAsia="zh-CN"/>
              </w:rPr>
              <w:t>通过</w:t>
            </w:r>
            <w:r>
              <w:rPr>
                <w:rFonts w:hint="default" w:ascii="Times New Roman" w:hAnsi="Times New Roman" w:eastAsia="宋体" w:cs="Times New Roman"/>
                <w:color w:val="auto"/>
                <w:spacing w:val="0"/>
                <w:position w:val="0"/>
                <w:sz w:val="24"/>
                <w:szCs w:val="24"/>
                <w:highlight w:val="none"/>
              </w:rPr>
              <w:t>在车间顶端加装排气扇，增加通风次数</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减小对周围环境的影响，不进行定量分析</w:t>
            </w:r>
            <w:r>
              <w:rPr>
                <w:rFonts w:hint="default" w:ascii="Times New Roman" w:hAnsi="Times New Roman" w:eastAsia="宋体" w:cs="Times New Roman"/>
                <w:color w:val="auto"/>
                <w:spacing w:val="0"/>
                <w:position w:val="0"/>
                <w:sz w:val="24"/>
                <w:szCs w:val="24"/>
                <w:highlight w:val="none"/>
              </w:rPr>
              <w:t>。本项目预处理车间废气主要为米糠清理产生的粉尘</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膨化后烘干工序产生的粉尘</w:t>
            </w:r>
            <w:r>
              <w:rPr>
                <w:rFonts w:hint="default" w:ascii="Times New Roman" w:hAnsi="Times New Roman" w:cs="Times New Roman"/>
                <w:color w:val="auto"/>
                <w:spacing w:val="0"/>
                <w:position w:val="0"/>
                <w:sz w:val="24"/>
                <w:szCs w:val="24"/>
                <w:highlight w:val="none"/>
                <w:lang w:val="en-US" w:eastAsia="zh-CN"/>
              </w:rPr>
              <w:t>及大豆清选产生的粉尘</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32"/>
                <w:highlight w:val="none"/>
              </w:rPr>
              <w:t>浸出车间废气主要为浸出工序产生的正己烷废气，</w:t>
            </w:r>
            <w:r>
              <w:rPr>
                <w:rFonts w:hint="default" w:ascii="Times New Roman" w:hAnsi="Times New Roman" w:eastAsia="宋体" w:cs="Times New Roman"/>
                <w:color w:val="auto"/>
                <w:spacing w:val="0"/>
                <w:position w:val="0"/>
                <w:sz w:val="24"/>
                <w:szCs w:val="24"/>
                <w:highlight w:val="none"/>
              </w:rPr>
              <w:t>脱溶、干燥、冷却</w:t>
            </w:r>
            <w:r>
              <w:rPr>
                <w:rFonts w:hint="default" w:ascii="Times New Roman" w:hAnsi="Times New Roman" w:eastAsia="宋体" w:cs="Times New Roman"/>
                <w:color w:val="auto"/>
                <w:spacing w:val="0"/>
                <w:position w:val="0"/>
                <w:sz w:val="24"/>
                <w:szCs w:val="32"/>
                <w:highlight w:val="none"/>
              </w:rPr>
              <w:t>工序产生的正己烷不凝气，蒸发工序产生的正己烷不凝气，汽提工序产生的正己烷不凝气</w:t>
            </w:r>
            <w:r>
              <w:rPr>
                <w:rFonts w:hint="default" w:ascii="Times New Roman" w:hAnsi="Times New Roman" w:cs="Times New Roman"/>
                <w:color w:val="auto"/>
                <w:spacing w:val="0"/>
                <w:position w:val="0"/>
                <w:sz w:val="24"/>
                <w:szCs w:val="32"/>
                <w:highlight w:val="none"/>
                <w:lang w:eastAsia="zh-CN"/>
              </w:rPr>
              <w:t>，</w:t>
            </w:r>
            <w:r>
              <w:rPr>
                <w:rFonts w:hint="default" w:ascii="Times New Roman" w:hAnsi="Times New Roman" w:eastAsia="宋体" w:cs="Times New Roman"/>
                <w:color w:val="auto"/>
                <w:spacing w:val="0"/>
                <w:position w:val="0"/>
                <w:sz w:val="24"/>
                <w:szCs w:val="32"/>
                <w:highlight w:val="none"/>
              </w:rPr>
              <w:t>主要污染物为正己烷，以非甲烷总烃计</w:t>
            </w:r>
            <w:r>
              <w:rPr>
                <w:rFonts w:hint="default" w:ascii="Times New Roman" w:hAnsi="Times New Roman" w:cs="Times New Roman"/>
                <w:color w:val="auto"/>
                <w:spacing w:val="0"/>
                <w:position w:val="0"/>
                <w:sz w:val="24"/>
                <w:szCs w:val="32"/>
                <w:highlight w:val="none"/>
                <w:lang w:eastAsia="zh-CN"/>
              </w:rPr>
              <w:t>；</w:t>
            </w:r>
            <w:r>
              <w:rPr>
                <w:rFonts w:hint="default" w:ascii="Times New Roman" w:hAnsi="Times New Roman" w:cs="Times New Roman"/>
                <w:color w:val="auto"/>
                <w:spacing w:val="0"/>
                <w:position w:val="0"/>
                <w:sz w:val="24"/>
                <w:szCs w:val="32"/>
                <w:highlight w:val="none"/>
                <w:lang w:val="en-US" w:eastAsia="zh-CN"/>
              </w:rPr>
              <w:t>精炼车间脱色、脱臭过程产生的臭气浓度和非甲烷总烃；</w:t>
            </w:r>
            <w:r>
              <w:rPr>
                <w:rFonts w:hint="default" w:ascii="Times New Roman" w:hAnsi="Times New Roman" w:eastAsia="宋体" w:cs="Times New Roman"/>
                <w:color w:val="auto"/>
                <w:spacing w:val="0"/>
                <w:position w:val="0"/>
                <w:sz w:val="24"/>
                <w:szCs w:val="32"/>
                <w:highlight w:val="none"/>
              </w:rPr>
              <w:t>生物质锅炉</w:t>
            </w:r>
            <w:r>
              <w:rPr>
                <w:rFonts w:hint="default" w:ascii="Times New Roman" w:hAnsi="Times New Roman" w:cs="Times New Roman"/>
                <w:color w:val="auto"/>
                <w:spacing w:val="0"/>
                <w:position w:val="0"/>
                <w:sz w:val="24"/>
                <w:szCs w:val="32"/>
                <w:highlight w:val="none"/>
                <w:lang w:val="en-US" w:eastAsia="zh-CN"/>
              </w:rPr>
              <w:t>燃烧</w:t>
            </w:r>
            <w:r>
              <w:rPr>
                <w:rFonts w:hint="default" w:ascii="Times New Roman" w:hAnsi="Times New Roman" w:eastAsia="宋体" w:cs="Times New Roman"/>
                <w:color w:val="auto"/>
                <w:spacing w:val="0"/>
                <w:position w:val="0"/>
                <w:sz w:val="24"/>
                <w:szCs w:val="32"/>
                <w:highlight w:val="none"/>
              </w:rPr>
              <w:t>产生的锅炉烟气</w:t>
            </w:r>
            <w:r>
              <w:rPr>
                <w:rFonts w:hint="default" w:ascii="Times New Roman" w:hAnsi="Times New Roman" w:cs="Times New Roman"/>
                <w:color w:val="auto"/>
                <w:spacing w:val="0"/>
                <w:position w:val="0"/>
                <w:sz w:val="24"/>
                <w:szCs w:val="32"/>
                <w:highlight w:val="none"/>
                <w:lang w:eastAsia="zh-CN"/>
              </w:rPr>
              <w:t>；</w:t>
            </w:r>
            <w:r>
              <w:rPr>
                <w:rFonts w:hint="default" w:ascii="Times New Roman" w:hAnsi="Times New Roman" w:cs="Times New Roman"/>
                <w:color w:val="auto"/>
                <w:spacing w:val="0"/>
                <w:position w:val="0"/>
                <w:sz w:val="24"/>
                <w:szCs w:val="32"/>
                <w:highlight w:val="none"/>
                <w:lang w:val="en-US" w:eastAsia="zh-CN"/>
              </w:rPr>
              <w:t>污水处理站运行过程产生的恶臭污染物。</w:t>
            </w:r>
            <w:r>
              <w:rPr>
                <w:rFonts w:hint="default" w:ascii="Times New Roman" w:hAnsi="Times New Roman" w:eastAsia="宋体" w:cs="Times New Roman"/>
                <w:color w:val="auto"/>
                <w:spacing w:val="0"/>
                <w:position w:val="0"/>
                <w:sz w:val="24"/>
                <w:szCs w:val="24"/>
                <w:highlight w:val="none"/>
              </w:rPr>
              <w:t>本项目废气污染物排放情况详见表4-1。</w:t>
            </w:r>
          </w:p>
          <w:p w14:paraId="3DBF2536">
            <w:pPr>
              <w:pStyle w:val="8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szCs w:val="21"/>
                <w:highlight w:val="none"/>
              </w:rPr>
            </w:pPr>
          </w:p>
        </w:tc>
      </w:tr>
    </w:tbl>
    <w:p w14:paraId="07C59BD7">
      <w:pPr>
        <w:keepNext w:val="0"/>
        <w:keepLines w:val="0"/>
        <w:pageBreakBefore w:val="0"/>
        <w:kinsoku/>
        <w:wordWrap/>
        <w:overflowPunct/>
        <w:topLinePunct w:val="0"/>
        <w:bidi w:val="0"/>
        <w:adjustRightInd w:val="0"/>
        <w:snapToGrid w:val="0"/>
        <w:spacing w:beforeAutospacing="0" w:afterAutospacing="0" w:line="360" w:lineRule="auto"/>
        <w:ind w:left="0" w:leftChars="0" w:right="0" w:rightChars="0"/>
        <w:rPr>
          <w:rFonts w:hint="default" w:ascii="Times New Roman" w:hAnsi="Times New Roman" w:eastAsia="宋体" w:cs="Times New Roman"/>
          <w:b/>
          <w:color w:val="auto"/>
          <w:spacing w:val="0"/>
          <w:kern w:val="0"/>
          <w:positio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tbl>
      <w:tblPr>
        <w:tblStyle w:val="29"/>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9"/>
        <w:gridCol w:w="12836"/>
      </w:tblGrid>
      <w:tr w14:paraId="1409F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4" w:hRule="atLeast"/>
          <w:jc w:val="center"/>
        </w:trPr>
        <w:tc>
          <w:tcPr>
            <w:tcW w:w="143" w:type="pct"/>
            <w:noWrap w:val="0"/>
            <w:vAlign w:val="center"/>
          </w:tcPr>
          <w:p w14:paraId="6973A22C">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24"/>
                <w:highlight w:val="none"/>
              </w:rPr>
            </w:pPr>
            <w:r>
              <w:rPr>
                <w:rFonts w:hint="default" w:ascii="Times New Roman" w:hAnsi="Times New Roman" w:eastAsia="宋体" w:cs="Times New Roman"/>
                <w:color w:val="auto"/>
                <w:spacing w:val="0"/>
                <w:position w:val="0"/>
                <w:szCs w:val="21"/>
                <w:highlight w:val="none"/>
              </w:rPr>
              <w:t>运营期环境影响和保护措施</w:t>
            </w:r>
          </w:p>
        </w:tc>
        <w:tc>
          <w:tcPr>
            <w:tcW w:w="4856" w:type="pct"/>
            <w:noWrap w:val="0"/>
            <w:vAlign w:val="center"/>
          </w:tcPr>
          <w:p w14:paraId="4E44CFCD">
            <w:pPr>
              <w:pStyle w:val="48"/>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pacing w:val="0"/>
                <w:position w:val="0"/>
                <w:sz w:val="24"/>
                <w:szCs w:val="24"/>
                <w:highlight w:val="none"/>
              </w:rPr>
            </w:pPr>
            <w:r>
              <w:rPr>
                <w:rFonts w:hint="default" w:ascii="Times New Roman" w:hAnsi="Times New Roman" w:eastAsia="宋体" w:cs="Times New Roman"/>
                <w:b/>
                <w:color w:val="auto"/>
                <w:spacing w:val="0"/>
                <w:position w:val="0"/>
                <w:sz w:val="24"/>
                <w:szCs w:val="24"/>
                <w:highlight w:val="none"/>
              </w:rPr>
              <w:t>表4-1 废气污染物排放源一览表</w:t>
            </w:r>
          </w:p>
          <w:tbl>
            <w:tblPr>
              <w:tblStyle w:val="29"/>
              <w:tblW w:w="1268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8"/>
              <w:gridCol w:w="795"/>
              <w:gridCol w:w="765"/>
              <w:gridCol w:w="630"/>
              <w:gridCol w:w="855"/>
              <w:gridCol w:w="975"/>
              <w:gridCol w:w="881"/>
              <w:gridCol w:w="765"/>
              <w:gridCol w:w="990"/>
              <w:gridCol w:w="435"/>
              <w:gridCol w:w="630"/>
              <w:gridCol w:w="585"/>
              <w:gridCol w:w="825"/>
              <w:gridCol w:w="1005"/>
              <w:gridCol w:w="945"/>
              <w:gridCol w:w="795"/>
              <w:gridCol w:w="404"/>
            </w:tblGrid>
            <w:tr w14:paraId="1AFC8D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60" w:type="pct"/>
                  <w:vMerge w:val="restart"/>
                  <w:noWrap w:val="0"/>
                  <w:vAlign w:val="center"/>
                </w:tcPr>
                <w:p w14:paraId="1738E1EB">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工序/生产线</w:t>
                  </w:r>
                </w:p>
              </w:tc>
              <w:tc>
                <w:tcPr>
                  <w:tcW w:w="313" w:type="pct"/>
                  <w:vMerge w:val="restart"/>
                  <w:noWrap w:val="0"/>
                  <w:vAlign w:val="center"/>
                </w:tcPr>
                <w:p w14:paraId="22FCF78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污染源</w:t>
                  </w:r>
                </w:p>
              </w:tc>
              <w:tc>
                <w:tcPr>
                  <w:tcW w:w="301" w:type="pct"/>
                  <w:vMerge w:val="restart"/>
                  <w:noWrap w:val="0"/>
                  <w:vAlign w:val="center"/>
                </w:tcPr>
                <w:p w14:paraId="0C2B54D7">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污染物</w:t>
                  </w:r>
                </w:p>
              </w:tc>
              <w:tc>
                <w:tcPr>
                  <w:tcW w:w="1618" w:type="pct"/>
                  <w:gridSpan w:val="5"/>
                  <w:noWrap w:val="0"/>
                  <w:vAlign w:val="center"/>
                </w:tcPr>
                <w:p w14:paraId="46D2A2B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污染物产生</w:t>
                  </w:r>
                </w:p>
              </w:tc>
              <w:tc>
                <w:tcPr>
                  <w:tcW w:w="809" w:type="pct"/>
                  <w:gridSpan w:val="3"/>
                  <w:noWrap w:val="0"/>
                  <w:vAlign w:val="center"/>
                </w:tcPr>
                <w:p w14:paraId="2465831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治理措施</w:t>
                  </w:r>
                </w:p>
              </w:tc>
              <w:tc>
                <w:tcPr>
                  <w:tcW w:w="1637" w:type="pct"/>
                  <w:gridSpan w:val="5"/>
                  <w:noWrap w:val="0"/>
                  <w:vAlign w:val="center"/>
                </w:tcPr>
                <w:p w14:paraId="287AB59C">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污染物排放</w:t>
                  </w:r>
                </w:p>
              </w:tc>
              <w:tc>
                <w:tcPr>
                  <w:tcW w:w="159" w:type="pct"/>
                  <w:vMerge w:val="restart"/>
                  <w:noWrap w:val="0"/>
                  <w:vAlign w:val="center"/>
                </w:tcPr>
                <w:p w14:paraId="683759D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eastAsia="zh-CN"/>
                    </w:rPr>
                  </w:pPr>
                  <w:r>
                    <w:rPr>
                      <w:rFonts w:hint="default" w:ascii="Times New Roman" w:hAnsi="Times New Roman" w:eastAsia="宋体" w:cs="Times New Roman"/>
                      <w:color w:val="auto"/>
                      <w:spacing w:val="0"/>
                      <w:position w:val="0"/>
                      <w:sz w:val="18"/>
                      <w:szCs w:val="18"/>
                      <w:highlight w:val="none"/>
                    </w:rPr>
                    <w:t>排放时间</w:t>
                  </w:r>
                  <w:r>
                    <w:rPr>
                      <w:rFonts w:hint="default" w:ascii="Times New Roman" w:hAnsi="Times New Roman" w:cs="Times New Roman"/>
                      <w:color w:val="auto"/>
                      <w:spacing w:val="0"/>
                      <w:position w:val="0"/>
                      <w:sz w:val="18"/>
                      <w:szCs w:val="18"/>
                      <w:highlight w:val="none"/>
                      <w:lang w:val="en-US" w:eastAsia="zh-CN"/>
                    </w:rPr>
                    <w:t>/h</w:t>
                  </w:r>
                </w:p>
              </w:tc>
            </w:tr>
            <w:tr w14:paraId="7B3B10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60" w:type="pct"/>
                  <w:vMerge w:val="continue"/>
                  <w:noWrap w:val="0"/>
                  <w:vAlign w:val="center"/>
                </w:tcPr>
                <w:p w14:paraId="7824938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13" w:type="pct"/>
                  <w:vMerge w:val="continue"/>
                  <w:noWrap w:val="0"/>
                  <w:vAlign w:val="center"/>
                </w:tcPr>
                <w:p w14:paraId="63681DC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01" w:type="pct"/>
                  <w:vMerge w:val="continue"/>
                  <w:noWrap w:val="0"/>
                  <w:vAlign w:val="center"/>
                </w:tcPr>
                <w:p w14:paraId="20738F4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48" w:type="pct"/>
                  <w:noWrap w:val="0"/>
                  <w:vAlign w:val="center"/>
                </w:tcPr>
                <w:p w14:paraId="0335982B">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核算方法</w:t>
                  </w:r>
                </w:p>
              </w:tc>
              <w:tc>
                <w:tcPr>
                  <w:tcW w:w="336" w:type="pct"/>
                  <w:noWrap w:val="0"/>
                  <w:vAlign w:val="center"/>
                </w:tcPr>
                <w:p w14:paraId="768EC33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废气产生量（m</w:t>
                  </w:r>
                  <w:r>
                    <w:rPr>
                      <w:rFonts w:hint="default" w:ascii="Times New Roman" w:hAnsi="Times New Roman" w:eastAsia="宋体" w:cs="Times New Roman"/>
                      <w:color w:val="auto"/>
                      <w:spacing w:val="0"/>
                      <w:position w:val="0"/>
                      <w:sz w:val="18"/>
                      <w:szCs w:val="18"/>
                      <w:highlight w:val="none"/>
                      <w:vertAlign w:val="superscript"/>
                    </w:rPr>
                    <w:t>3</w:t>
                  </w:r>
                  <w:r>
                    <w:rPr>
                      <w:rFonts w:hint="default" w:ascii="Times New Roman" w:hAnsi="Times New Roman" w:eastAsia="宋体" w:cs="Times New Roman"/>
                      <w:color w:val="auto"/>
                      <w:spacing w:val="0"/>
                      <w:position w:val="0"/>
                      <w:sz w:val="18"/>
                      <w:szCs w:val="18"/>
                      <w:highlight w:val="none"/>
                    </w:rPr>
                    <w:t>/h）</w:t>
                  </w:r>
                </w:p>
              </w:tc>
              <w:tc>
                <w:tcPr>
                  <w:tcW w:w="384" w:type="pct"/>
                  <w:noWrap w:val="0"/>
                  <w:vAlign w:val="center"/>
                </w:tcPr>
                <w:p w14:paraId="033F70EC">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产生浓度（mg/m</w:t>
                  </w:r>
                  <w:r>
                    <w:rPr>
                      <w:rFonts w:hint="default" w:ascii="Times New Roman" w:hAnsi="Times New Roman" w:eastAsia="宋体" w:cs="Times New Roman"/>
                      <w:color w:val="auto"/>
                      <w:spacing w:val="0"/>
                      <w:position w:val="0"/>
                      <w:sz w:val="18"/>
                      <w:szCs w:val="18"/>
                      <w:highlight w:val="none"/>
                      <w:vertAlign w:val="superscript"/>
                    </w:rPr>
                    <w:t>3</w:t>
                  </w:r>
                  <w:r>
                    <w:rPr>
                      <w:rFonts w:hint="default" w:ascii="Times New Roman" w:hAnsi="Times New Roman" w:eastAsia="宋体" w:cs="Times New Roman"/>
                      <w:color w:val="auto"/>
                      <w:spacing w:val="0"/>
                      <w:position w:val="0"/>
                      <w:sz w:val="18"/>
                      <w:szCs w:val="18"/>
                      <w:highlight w:val="none"/>
                    </w:rPr>
                    <w:t>）</w:t>
                  </w:r>
                </w:p>
              </w:tc>
              <w:tc>
                <w:tcPr>
                  <w:tcW w:w="347" w:type="pct"/>
                  <w:noWrap w:val="0"/>
                  <w:vAlign w:val="center"/>
                </w:tcPr>
                <w:p w14:paraId="101D826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产生</w:t>
                  </w:r>
                  <w:r>
                    <w:rPr>
                      <w:rFonts w:hint="default" w:ascii="Times New Roman" w:hAnsi="Times New Roman" w:cs="Times New Roman"/>
                      <w:color w:val="auto"/>
                      <w:spacing w:val="0"/>
                      <w:position w:val="0"/>
                      <w:sz w:val="18"/>
                      <w:szCs w:val="18"/>
                      <w:highlight w:val="none"/>
                      <w:lang w:val="en-US" w:eastAsia="zh-CN"/>
                    </w:rPr>
                    <w:t>速率</w:t>
                  </w:r>
                  <w:r>
                    <w:rPr>
                      <w:rFonts w:hint="default" w:ascii="Times New Roman" w:hAnsi="Times New Roman" w:eastAsia="宋体" w:cs="Times New Roman"/>
                      <w:color w:val="auto"/>
                      <w:spacing w:val="0"/>
                      <w:position w:val="0"/>
                      <w:sz w:val="18"/>
                      <w:szCs w:val="18"/>
                      <w:highlight w:val="none"/>
                    </w:rPr>
                    <w:t>（kg/h）</w:t>
                  </w:r>
                </w:p>
              </w:tc>
              <w:tc>
                <w:tcPr>
                  <w:tcW w:w="301" w:type="pct"/>
                  <w:noWrap w:val="0"/>
                  <w:vAlign w:val="center"/>
                </w:tcPr>
                <w:p w14:paraId="54378C81">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产生量（t/a）</w:t>
                  </w:r>
                </w:p>
              </w:tc>
              <w:tc>
                <w:tcPr>
                  <w:tcW w:w="390" w:type="pct"/>
                  <w:noWrap w:val="0"/>
                  <w:vAlign w:val="center"/>
                </w:tcPr>
                <w:p w14:paraId="5FDA752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工艺</w:t>
                  </w:r>
                </w:p>
              </w:tc>
              <w:tc>
                <w:tcPr>
                  <w:tcW w:w="171" w:type="pct"/>
                  <w:noWrap w:val="0"/>
                  <w:vAlign w:val="center"/>
                </w:tcPr>
                <w:p w14:paraId="3B0FB62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效率</w:t>
                  </w:r>
                  <w:r>
                    <w:rPr>
                      <w:rFonts w:hint="default" w:ascii="Times New Roman" w:hAnsi="Times New Roman" w:cs="Times New Roman"/>
                      <w:color w:val="auto"/>
                      <w:spacing w:val="0"/>
                      <w:position w:val="0"/>
                      <w:sz w:val="18"/>
                      <w:szCs w:val="18"/>
                      <w:highlight w:val="none"/>
                      <w:lang w:val="en-US" w:eastAsia="zh-CN"/>
                    </w:rPr>
                    <w:t>/</w:t>
                  </w:r>
                  <w:r>
                    <w:rPr>
                      <w:rFonts w:hint="default" w:ascii="Times New Roman" w:hAnsi="Times New Roman" w:eastAsia="宋体" w:cs="Times New Roman"/>
                      <w:color w:val="auto"/>
                      <w:spacing w:val="0"/>
                      <w:position w:val="0"/>
                      <w:sz w:val="18"/>
                      <w:szCs w:val="18"/>
                      <w:highlight w:val="none"/>
                    </w:rPr>
                    <w:t>%</w:t>
                  </w:r>
                </w:p>
              </w:tc>
              <w:tc>
                <w:tcPr>
                  <w:tcW w:w="248" w:type="pct"/>
                  <w:noWrap w:val="0"/>
                  <w:vAlign w:val="center"/>
                </w:tcPr>
                <w:p w14:paraId="0D8FC87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是否为可行技术</w:t>
                  </w:r>
                </w:p>
              </w:tc>
              <w:tc>
                <w:tcPr>
                  <w:tcW w:w="230" w:type="pct"/>
                  <w:noWrap w:val="0"/>
                  <w:vAlign w:val="center"/>
                </w:tcPr>
                <w:p w14:paraId="1BC35D6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核算方法</w:t>
                  </w:r>
                </w:p>
              </w:tc>
              <w:tc>
                <w:tcPr>
                  <w:tcW w:w="325" w:type="pct"/>
                  <w:noWrap w:val="0"/>
                  <w:vAlign w:val="center"/>
                </w:tcPr>
                <w:p w14:paraId="588BCB1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废气排放量（m</w:t>
                  </w:r>
                  <w:r>
                    <w:rPr>
                      <w:rFonts w:hint="default" w:ascii="Times New Roman" w:hAnsi="Times New Roman" w:eastAsia="宋体" w:cs="Times New Roman"/>
                      <w:color w:val="auto"/>
                      <w:spacing w:val="0"/>
                      <w:position w:val="0"/>
                      <w:sz w:val="18"/>
                      <w:szCs w:val="18"/>
                      <w:highlight w:val="none"/>
                      <w:vertAlign w:val="superscript"/>
                    </w:rPr>
                    <w:t>3</w:t>
                  </w:r>
                  <w:r>
                    <w:rPr>
                      <w:rFonts w:hint="default" w:ascii="Times New Roman" w:hAnsi="Times New Roman" w:eastAsia="宋体" w:cs="Times New Roman"/>
                      <w:color w:val="auto"/>
                      <w:spacing w:val="0"/>
                      <w:position w:val="0"/>
                      <w:sz w:val="18"/>
                      <w:szCs w:val="18"/>
                      <w:highlight w:val="none"/>
                    </w:rPr>
                    <w:t>/h）</w:t>
                  </w:r>
                </w:p>
              </w:tc>
              <w:tc>
                <w:tcPr>
                  <w:tcW w:w="396" w:type="pct"/>
                  <w:noWrap w:val="0"/>
                  <w:vAlign w:val="center"/>
                </w:tcPr>
                <w:p w14:paraId="295B64F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排放浓度（mg/m</w:t>
                  </w:r>
                  <w:r>
                    <w:rPr>
                      <w:rFonts w:hint="default" w:ascii="Times New Roman" w:hAnsi="Times New Roman" w:eastAsia="宋体" w:cs="Times New Roman"/>
                      <w:color w:val="auto"/>
                      <w:spacing w:val="0"/>
                      <w:position w:val="0"/>
                      <w:sz w:val="18"/>
                      <w:szCs w:val="18"/>
                      <w:highlight w:val="none"/>
                      <w:vertAlign w:val="superscript"/>
                    </w:rPr>
                    <w:t>3</w:t>
                  </w:r>
                  <w:r>
                    <w:rPr>
                      <w:rFonts w:hint="default" w:ascii="Times New Roman" w:hAnsi="Times New Roman" w:eastAsia="宋体" w:cs="Times New Roman"/>
                      <w:color w:val="auto"/>
                      <w:spacing w:val="0"/>
                      <w:position w:val="0"/>
                      <w:sz w:val="18"/>
                      <w:szCs w:val="18"/>
                      <w:highlight w:val="none"/>
                    </w:rPr>
                    <w:t>）</w:t>
                  </w:r>
                </w:p>
              </w:tc>
              <w:tc>
                <w:tcPr>
                  <w:tcW w:w="372" w:type="pct"/>
                  <w:noWrap w:val="0"/>
                  <w:vAlign w:val="center"/>
                </w:tcPr>
                <w:p w14:paraId="24E6986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排放</w:t>
                  </w:r>
                  <w:r>
                    <w:rPr>
                      <w:rFonts w:hint="default" w:ascii="Times New Roman" w:hAnsi="Times New Roman" w:cs="Times New Roman"/>
                      <w:color w:val="auto"/>
                      <w:spacing w:val="0"/>
                      <w:position w:val="0"/>
                      <w:sz w:val="18"/>
                      <w:szCs w:val="18"/>
                      <w:highlight w:val="none"/>
                      <w:lang w:val="en-US" w:eastAsia="zh-CN"/>
                    </w:rPr>
                    <w:t>速率</w:t>
                  </w:r>
                  <w:r>
                    <w:rPr>
                      <w:rFonts w:hint="default" w:ascii="Times New Roman" w:hAnsi="Times New Roman" w:eastAsia="宋体" w:cs="Times New Roman"/>
                      <w:color w:val="auto"/>
                      <w:spacing w:val="0"/>
                      <w:position w:val="0"/>
                      <w:sz w:val="18"/>
                      <w:szCs w:val="18"/>
                      <w:highlight w:val="none"/>
                    </w:rPr>
                    <w:t>（kg/h）</w:t>
                  </w:r>
                </w:p>
              </w:tc>
              <w:tc>
                <w:tcPr>
                  <w:tcW w:w="313" w:type="pct"/>
                  <w:noWrap w:val="0"/>
                  <w:vAlign w:val="center"/>
                </w:tcPr>
                <w:p w14:paraId="7C025E9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cs="Times New Roman"/>
                      <w:color w:val="auto"/>
                      <w:spacing w:val="0"/>
                      <w:position w:val="0"/>
                      <w:sz w:val="18"/>
                      <w:szCs w:val="18"/>
                      <w:highlight w:val="none"/>
                      <w:lang w:val="en-US" w:eastAsia="zh-CN"/>
                    </w:rPr>
                    <w:t>排放量（t/a）</w:t>
                  </w:r>
                </w:p>
              </w:tc>
              <w:tc>
                <w:tcPr>
                  <w:tcW w:w="159" w:type="pct"/>
                  <w:vMerge w:val="continue"/>
                  <w:noWrap w:val="0"/>
                  <w:vAlign w:val="center"/>
                </w:tcPr>
                <w:p w14:paraId="0221362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r>
            <w:tr w14:paraId="343714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160" w:type="pct"/>
                  <w:vMerge w:val="restart"/>
                  <w:noWrap w:val="0"/>
                  <w:vAlign w:val="center"/>
                </w:tcPr>
                <w:p w14:paraId="57EA6CD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预处理车间</w:t>
                  </w:r>
                </w:p>
              </w:tc>
              <w:tc>
                <w:tcPr>
                  <w:tcW w:w="313" w:type="pct"/>
                  <w:noWrap w:val="0"/>
                  <w:vAlign w:val="center"/>
                </w:tcPr>
                <w:p w14:paraId="442E97B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DA001</w:t>
                  </w:r>
                </w:p>
              </w:tc>
              <w:tc>
                <w:tcPr>
                  <w:tcW w:w="301" w:type="pct"/>
                  <w:vMerge w:val="restart"/>
                  <w:noWrap w:val="0"/>
                  <w:vAlign w:val="center"/>
                </w:tcPr>
                <w:p w14:paraId="32615672">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颗粒物</w:t>
                  </w:r>
                </w:p>
              </w:tc>
              <w:tc>
                <w:tcPr>
                  <w:tcW w:w="248" w:type="pct"/>
                  <w:vMerge w:val="restart"/>
                  <w:noWrap w:val="0"/>
                  <w:vAlign w:val="center"/>
                </w:tcPr>
                <w:p w14:paraId="441EDE8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cs="Times New Roman"/>
                      <w:color w:val="auto"/>
                      <w:spacing w:val="0"/>
                      <w:position w:val="0"/>
                      <w:sz w:val="18"/>
                      <w:szCs w:val="18"/>
                      <w:highlight w:val="none"/>
                      <w:lang w:val="en-US" w:eastAsia="zh-CN"/>
                    </w:rPr>
                    <w:t>产污系数法</w:t>
                  </w:r>
                </w:p>
              </w:tc>
              <w:tc>
                <w:tcPr>
                  <w:tcW w:w="336" w:type="pct"/>
                  <w:noWrap w:val="0"/>
                  <w:vAlign w:val="center"/>
                </w:tcPr>
                <w:p w14:paraId="32AF5A6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10</w:t>
                  </w:r>
                  <w:r>
                    <w:rPr>
                      <w:rFonts w:hint="default" w:ascii="Times New Roman" w:hAnsi="Times New Roman" w:eastAsia="宋体" w:cs="Times New Roman"/>
                      <w:color w:val="auto"/>
                      <w:spacing w:val="0"/>
                      <w:position w:val="0"/>
                      <w:sz w:val="18"/>
                      <w:szCs w:val="18"/>
                      <w:highlight w:val="none"/>
                      <w:lang w:val="en-US" w:eastAsia="zh-CN"/>
                    </w:rPr>
                    <w:t>000</w:t>
                  </w:r>
                </w:p>
              </w:tc>
              <w:tc>
                <w:tcPr>
                  <w:tcW w:w="384" w:type="pct"/>
                  <w:noWrap w:val="0"/>
                  <w:vAlign w:val="center"/>
                </w:tcPr>
                <w:p w14:paraId="0F4595B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246.429</w:t>
                  </w:r>
                </w:p>
              </w:tc>
              <w:tc>
                <w:tcPr>
                  <w:tcW w:w="347" w:type="pct"/>
                  <w:noWrap w:val="0"/>
                  <w:vAlign w:val="center"/>
                </w:tcPr>
                <w:p w14:paraId="6B46319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2.464</w:t>
                  </w:r>
                </w:p>
              </w:tc>
              <w:tc>
                <w:tcPr>
                  <w:tcW w:w="301" w:type="pct"/>
                  <w:noWrap w:val="0"/>
                  <w:vAlign w:val="center"/>
                </w:tcPr>
                <w:p w14:paraId="168287E7">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20.7</w:t>
                  </w:r>
                </w:p>
              </w:tc>
              <w:tc>
                <w:tcPr>
                  <w:tcW w:w="390" w:type="pct"/>
                  <w:noWrap w:val="0"/>
                  <w:vAlign w:val="center"/>
                </w:tcPr>
                <w:p w14:paraId="7BA4F57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布袋除尘器</w:t>
                  </w:r>
                </w:p>
              </w:tc>
              <w:tc>
                <w:tcPr>
                  <w:tcW w:w="171" w:type="pct"/>
                  <w:noWrap w:val="0"/>
                  <w:vAlign w:val="center"/>
                </w:tcPr>
                <w:p w14:paraId="58F5A0C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99</w:t>
                  </w:r>
                </w:p>
              </w:tc>
              <w:tc>
                <w:tcPr>
                  <w:tcW w:w="248" w:type="pct"/>
                  <w:noWrap w:val="0"/>
                  <w:vAlign w:val="center"/>
                </w:tcPr>
                <w:p w14:paraId="06BB4357">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是</w:t>
                  </w:r>
                </w:p>
              </w:tc>
              <w:tc>
                <w:tcPr>
                  <w:tcW w:w="230" w:type="pct"/>
                  <w:vMerge w:val="restart"/>
                  <w:noWrap w:val="0"/>
                  <w:vAlign w:val="center"/>
                </w:tcPr>
                <w:p w14:paraId="573348F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cs="Times New Roman"/>
                      <w:color w:val="auto"/>
                      <w:spacing w:val="0"/>
                      <w:position w:val="0"/>
                      <w:sz w:val="18"/>
                      <w:szCs w:val="18"/>
                      <w:highlight w:val="none"/>
                      <w:lang w:val="en-US" w:eastAsia="zh-CN"/>
                    </w:rPr>
                    <w:t>产污系数法</w:t>
                  </w:r>
                </w:p>
              </w:tc>
              <w:tc>
                <w:tcPr>
                  <w:tcW w:w="325" w:type="pct"/>
                  <w:noWrap w:val="0"/>
                  <w:vAlign w:val="center"/>
                </w:tcPr>
                <w:p w14:paraId="7EECCFE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10000</w:t>
                  </w:r>
                </w:p>
              </w:tc>
              <w:tc>
                <w:tcPr>
                  <w:tcW w:w="396" w:type="pct"/>
                  <w:noWrap w:val="0"/>
                  <w:vAlign w:val="center"/>
                </w:tcPr>
                <w:p w14:paraId="401E40D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2.464</w:t>
                  </w:r>
                </w:p>
              </w:tc>
              <w:tc>
                <w:tcPr>
                  <w:tcW w:w="372" w:type="pct"/>
                  <w:noWrap w:val="0"/>
                  <w:vAlign w:val="center"/>
                </w:tcPr>
                <w:p w14:paraId="60A1F97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0.0</w:t>
                  </w:r>
                  <w:r>
                    <w:rPr>
                      <w:rFonts w:hint="default" w:ascii="Times New Roman" w:hAnsi="Times New Roman" w:cs="Times New Roman"/>
                      <w:color w:val="auto"/>
                      <w:spacing w:val="0"/>
                      <w:position w:val="0"/>
                      <w:sz w:val="18"/>
                      <w:szCs w:val="18"/>
                      <w:highlight w:val="none"/>
                      <w:lang w:val="en-US" w:eastAsia="zh-CN"/>
                    </w:rPr>
                    <w:t>25</w:t>
                  </w:r>
                </w:p>
              </w:tc>
              <w:tc>
                <w:tcPr>
                  <w:tcW w:w="313" w:type="pct"/>
                  <w:noWrap w:val="0"/>
                  <w:vAlign w:val="center"/>
                </w:tcPr>
                <w:p w14:paraId="21F8FE6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0.207</w:t>
                  </w:r>
                </w:p>
              </w:tc>
              <w:tc>
                <w:tcPr>
                  <w:tcW w:w="159" w:type="pct"/>
                  <w:vMerge w:val="restart"/>
                  <w:noWrap w:val="0"/>
                  <w:vAlign w:val="center"/>
                </w:tcPr>
                <w:p w14:paraId="19D92A2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8400</w:t>
                  </w:r>
                </w:p>
              </w:tc>
            </w:tr>
            <w:tr w14:paraId="1C665D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160" w:type="pct"/>
                  <w:vMerge w:val="continue"/>
                  <w:noWrap w:val="0"/>
                  <w:vAlign w:val="center"/>
                </w:tcPr>
                <w:p w14:paraId="031F58D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13" w:type="pct"/>
                  <w:noWrap w:val="0"/>
                  <w:vAlign w:val="center"/>
                </w:tcPr>
                <w:p w14:paraId="0830085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无组织</w:t>
                  </w:r>
                </w:p>
              </w:tc>
              <w:tc>
                <w:tcPr>
                  <w:tcW w:w="301" w:type="pct"/>
                  <w:vMerge w:val="continue"/>
                  <w:noWrap w:val="0"/>
                  <w:vAlign w:val="center"/>
                </w:tcPr>
                <w:p w14:paraId="725F4DF7">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48" w:type="pct"/>
                  <w:vMerge w:val="continue"/>
                  <w:noWrap w:val="0"/>
                  <w:vAlign w:val="center"/>
                </w:tcPr>
                <w:p w14:paraId="4E0193A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p>
              </w:tc>
              <w:tc>
                <w:tcPr>
                  <w:tcW w:w="336" w:type="pct"/>
                  <w:noWrap w:val="0"/>
                  <w:vAlign w:val="center"/>
                </w:tcPr>
                <w:p w14:paraId="661EFFB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w:t>
                  </w:r>
                </w:p>
              </w:tc>
              <w:tc>
                <w:tcPr>
                  <w:tcW w:w="384" w:type="pct"/>
                  <w:noWrap w:val="0"/>
                  <w:vAlign w:val="center"/>
                </w:tcPr>
                <w:p w14:paraId="50166CB1">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w:t>
                  </w:r>
                </w:p>
              </w:tc>
              <w:tc>
                <w:tcPr>
                  <w:tcW w:w="347" w:type="pct"/>
                  <w:noWrap w:val="0"/>
                  <w:vAlign w:val="center"/>
                </w:tcPr>
                <w:p w14:paraId="1C5297C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0.274</w:t>
                  </w:r>
                </w:p>
              </w:tc>
              <w:tc>
                <w:tcPr>
                  <w:tcW w:w="301" w:type="pct"/>
                  <w:noWrap w:val="0"/>
                  <w:vAlign w:val="center"/>
                </w:tcPr>
                <w:p w14:paraId="6548472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2.3</w:t>
                  </w:r>
                </w:p>
              </w:tc>
              <w:tc>
                <w:tcPr>
                  <w:tcW w:w="390" w:type="pct"/>
                  <w:noWrap w:val="0"/>
                  <w:vAlign w:val="center"/>
                </w:tcPr>
                <w:p w14:paraId="0421FB7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车间密闭</w:t>
                  </w:r>
                </w:p>
              </w:tc>
              <w:tc>
                <w:tcPr>
                  <w:tcW w:w="171" w:type="pct"/>
                  <w:noWrap w:val="0"/>
                  <w:vAlign w:val="center"/>
                </w:tcPr>
                <w:p w14:paraId="571D9CF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99</w:t>
                  </w:r>
                </w:p>
              </w:tc>
              <w:tc>
                <w:tcPr>
                  <w:tcW w:w="248" w:type="pct"/>
                  <w:noWrap w:val="0"/>
                  <w:vAlign w:val="center"/>
                </w:tcPr>
                <w:p w14:paraId="09D4E8F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是</w:t>
                  </w:r>
                </w:p>
              </w:tc>
              <w:tc>
                <w:tcPr>
                  <w:tcW w:w="230" w:type="pct"/>
                  <w:vMerge w:val="continue"/>
                  <w:noWrap w:val="0"/>
                  <w:vAlign w:val="center"/>
                </w:tcPr>
                <w:p w14:paraId="6EFDF6A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p>
              </w:tc>
              <w:tc>
                <w:tcPr>
                  <w:tcW w:w="325" w:type="pct"/>
                  <w:noWrap w:val="0"/>
                  <w:vAlign w:val="center"/>
                </w:tcPr>
                <w:p w14:paraId="11AA3F5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w:t>
                  </w:r>
                </w:p>
              </w:tc>
              <w:tc>
                <w:tcPr>
                  <w:tcW w:w="396" w:type="pct"/>
                  <w:noWrap w:val="0"/>
                  <w:vAlign w:val="center"/>
                </w:tcPr>
                <w:p w14:paraId="44EC760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w:t>
                  </w:r>
                </w:p>
              </w:tc>
              <w:tc>
                <w:tcPr>
                  <w:tcW w:w="372" w:type="pct"/>
                  <w:noWrap w:val="0"/>
                  <w:vAlign w:val="center"/>
                </w:tcPr>
                <w:p w14:paraId="39CE9EB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0.003</w:t>
                  </w:r>
                </w:p>
              </w:tc>
              <w:tc>
                <w:tcPr>
                  <w:tcW w:w="313" w:type="pct"/>
                  <w:noWrap w:val="0"/>
                  <w:vAlign w:val="center"/>
                </w:tcPr>
                <w:p w14:paraId="7E95594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0.023</w:t>
                  </w:r>
                </w:p>
              </w:tc>
              <w:tc>
                <w:tcPr>
                  <w:tcW w:w="159" w:type="pct"/>
                  <w:vMerge w:val="continue"/>
                  <w:noWrap w:val="0"/>
                  <w:vAlign w:val="center"/>
                </w:tcPr>
                <w:p w14:paraId="5614E591">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r>
            <w:tr w14:paraId="488776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0" w:hRule="atLeast"/>
                <w:jc w:val="center"/>
              </w:trPr>
              <w:tc>
                <w:tcPr>
                  <w:tcW w:w="160" w:type="pct"/>
                  <w:noWrap w:val="0"/>
                  <w:vAlign w:val="center"/>
                </w:tcPr>
                <w:p w14:paraId="3A718CF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浸出车间</w:t>
                  </w:r>
                </w:p>
              </w:tc>
              <w:tc>
                <w:tcPr>
                  <w:tcW w:w="313" w:type="pct"/>
                  <w:noWrap w:val="0"/>
                  <w:vAlign w:val="center"/>
                </w:tcPr>
                <w:p w14:paraId="3408F6E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eastAsia="zh-CN"/>
                    </w:rPr>
                  </w:pPr>
                  <w:r>
                    <w:rPr>
                      <w:rFonts w:hint="default" w:ascii="Times New Roman" w:hAnsi="Times New Roman" w:eastAsia="宋体" w:cs="Times New Roman"/>
                      <w:color w:val="auto"/>
                      <w:spacing w:val="0"/>
                      <w:position w:val="0"/>
                      <w:sz w:val="18"/>
                      <w:szCs w:val="18"/>
                      <w:highlight w:val="none"/>
                    </w:rPr>
                    <w:t>DA00</w:t>
                  </w:r>
                  <w:r>
                    <w:rPr>
                      <w:rFonts w:hint="default" w:ascii="Times New Roman" w:hAnsi="Times New Roman" w:eastAsia="宋体" w:cs="Times New Roman"/>
                      <w:color w:val="auto"/>
                      <w:spacing w:val="0"/>
                      <w:position w:val="0"/>
                      <w:sz w:val="18"/>
                      <w:szCs w:val="18"/>
                      <w:highlight w:val="none"/>
                      <w:lang w:val="en-US" w:eastAsia="zh-CN"/>
                    </w:rPr>
                    <w:t>2</w:t>
                  </w:r>
                </w:p>
              </w:tc>
              <w:tc>
                <w:tcPr>
                  <w:tcW w:w="301" w:type="pct"/>
                  <w:noWrap w:val="0"/>
                  <w:vAlign w:val="center"/>
                </w:tcPr>
                <w:p w14:paraId="6B533CCC">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非甲烷总烃</w:t>
                  </w:r>
                </w:p>
              </w:tc>
              <w:tc>
                <w:tcPr>
                  <w:tcW w:w="248" w:type="pct"/>
                  <w:noWrap w:val="0"/>
                  <w:vAlign w:val="center"/>
                </w:tcPr>
                <w:p w14:paraId="720300D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eastAsia="zh-CN"/>
                    </w:rPr>
                  </w:pPr>
                  <w:r>
                    <w:rPr>
                      <w:rFonts w:hint="default" w:ascii="Times New Roman" w:hAnsi="Times New Roman" w:cs="Times New Roman"/>
                      <w:color w:val="auto"/>
                      <w:spacing w:val="0"/>
                      <w:position w:val="0"/>
                      <w:sz w:val="18"/>
                      <w:szCs w:val="18"/>
                      <w:highlight w:val="none"/>
                      <w:lang w:val="en-US" w:eastAsia="zh-CN"/>
                    </w:rPr>
                    <w:t>产污系数法</w:t>
                  </w:r>
                </w:p>
              </w:tc>
              <w:tc>
                <w:tcPr>
                  <w:tcW w:w="336" w:type="pct"/>
                  <w:noWrap w:val="0"/>
                  <w:vAlign w:val="center"/>
                </w:tcPr>
                <w:p w14:paraId="6A3FADF1">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10000</w:t>
                  </w:r>
                </w:p>
              </w:tc>
              <w:tc>
                <w:tcPr>
                  <w:tcW w:w="384" w:type="pct"/>
                  <w:noWrap w:val="0"/>
                  <w:vAlign w:val="center"/>
                </w:tcPr>
                <w:p w14:paraId="25A8392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1464.286</w:t>
                  </w:r>
                </w:p>
              </w:tc>
              <w:tc>
                <w:tcPr>
                  <w:tcW w:w="347" w:type="pct"/>
                  <w:noWrap w:val="0"/>
                  <w:vAlign w:val="center"/>
                </w:tcPr>
                <w:p w14:paraId="13BA6502">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14.643</w:t>
                  </w:r>
                </w:p>
              </w:tc>
              <w:tc>
                <w:tcPr>
                  <w:tcW w:w="301" w:type="pct"/>
                  <w:noWrap w:val="0"/>
                  <w:vAlign w:val="center"/>
                </w:tcPr>
                <w:p w14:paraId="17599F6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123</w:t>
                  </w:r>
                </w:p>
              </w:tc>
              <w:tc>
                <w:tcPr>
                  <w:tcW w:w="390" w:type="pct"/>
                  <w:noWrap w:val="0"/>
                  <w:vAlign w:val="center"/>
                </w:tcPr>
                <w:p w14:paraId="2A4354A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lang w:val="en-US" w:eastAsia="zh-CN"/>
                    </w:rPr>
                    <w:t>冷凝+</w:t>
                  </w:r>
                  <w:r>
                    <w:rPr>
                      <w:rFonts w:hint="default" w:ascii="Times New Roman" w:hAnsi="Times New Roman" w:eastAsia="宋体" w:cs="Times New Roman"/>
                      <w:color w:val="auto"/>
                      <w:spacing w:val="0"/>
                      <w:position w:val="0"/>
                      <w:sz w:val="18"/>
                      <w:szCs w:val="18"/>
                      <w:highlight w:val="none"/>
                    </w:rPr>
                    <w:t>石蜡吸收工艺</w:t>
                  </w:r>
                </w:p>
              </w:tc>
              <w:tc>
                <w:tcPr>
                  <w:tcW w:w="171" w:type="pct"/>
                  <w:noWrap w:val="0"/>
                  <w:vAlign w:val="center"/>
                </w:tcPr>
                <w:p w14:paraId="41DFE2C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rPr>
                  </w:pPr>
                  <w:r>
                    <w:rPr>
                      <w:rFonts w:hint="default" w:ascii="Times New Roman" w:hAnsi="Times New Roman" w:eastAsia="宋体" w:cs="Times New Roman"/>
                      <w:color w:val="auto"/>
                      <w:spacing w:val="0"/>
                      <w:position w:val="0"/>
                      <w:sz w:val="18"/>
                      <w:szCs w:val="18"/>
                      <w:highlight w:val="none"/>
                      <w:lang w:val="en-US" w:eastAsia="zh-CN"/>
                    </w:rPr>
                    <w:t>99.9</w:t>
                  </w:r>
                </w:p>
              </w:tc>
              <w:tc>
                <w:tcPr>
                  <w:tcW w:w="248" w:type="pct"/>
                  <w:noWrap w:val="0"/>
                  <w:vAlign w:val="center"/>
                </w:tcPr>
                <w:p w14:paraId="19200FB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是</w:t>
                  </w:r>
                </w:p>
              </w:tc>
              <w:tc>
                <w:tcPr>
                  <w:tcW w:w="230" w:type="pct"/>
                  <w:noWrap w:val="0"/>
                  <w:vAlign w:val="center"/>
                </w:tcPr>
                <w:p w14:paraId="6DB6D53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cs="Times New Roman"/>
                      <w:color w:val="auto"/>
                      <w:spacing w:val="0"/>
                      <w:position w:val="0"/>
                      <w:sz w:val="18"/>
                      <w:szCs w:val="18"/>
                      <w:highlight w:val="none"/>
                      <w:lang w:val="en-US" w:eastAsia="zh-CN"/>
                    </w:rPr>
                    <w:t>产污系数法</w:t>
                  </w:r>
                </w:p>
              </w:tc>
              <w:tc>
                <w:tcPr>
                  <w:tcW w:w="325" w:type="pct"/>
                  <w:noWrap w:val="0"/>
                  <w:vAlign w:val="center"/>
                </w:tcPr>
                <w:p w14:paraId="49D3E8D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10</w:t>
                  </w:r>
                  <w:r>
                    <w:rPr>
                      <w:rFonts w:hint="default" w:ascii="Times New Roman" w:hAnsi="Times New Roman" w:eastAsia="宋体" w:cs="Times New Roman"/>
                      <w:color w:val="auto"/>
                      <w:spacing w:val="0"/>
                      <w:position w:val="0"/>
                      <w:sz w:val="18"/>
                      <w:szCs w:val="18"/>
                      <w:highlight w:val="none"/>
                    </w:rPr>
                    <w:t>000</w:t>
                  </w:r>
                </w:p>
              </w:tc>
              <w:tc>
                <w:tcPr>
                  <w:tcW w:w="396" w:type="pct"/>
                  <w:noWrap w:val="0"/>
                  <w:vAlign w:val="center"/>
                </w:tcPr>
                <w:p w14:paraId="2DE36F9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1.464</w:t>
                  </w:r>
                </w:p>
              </w:tc>
              <w:tc>
                <w:tcPr>
                  <w:tcW w:w="372" w:type="pct"/>
                  <w:noWrap w:val="0"/>
                  <w:vAlign w:val="center"/>
                </w:tcPr>
                <w:p w14:paraId="303EF4B1">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0.015</w:t>
                  </w:r>
                </w:p>
              </w:tc>
              <w:tc>
                <w:tcPr>
                  <w:tcW w:w="313" w:type="pct"/>
                  <w:noWrap w:val="0"/>
                  <w:vAlign w:val="center"/>
                </w:tcPr>
                <w:p w14:paraId="0872074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0.123</w:t>
                  </w:r>
                </w:p>
              </w:tc>
              <w:tc>
                <w:tcPr>
                  <w:tcW w:w="159" w:type="pct"/>
                  <w:noWrap w:val="0"/>
                  <w:vAlign w:val="center"/>
                </w:tcPr>
                <w:p w14:paraId="15E1C2B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8400</w:t>
                  </w:r>
                </w:p>
              </w:tc>
            </w:tr>
            <w:tr w14:paraId="28BFD8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60" w:type="pct"/>
                  <w:vMerge w:val="restart"/>
                  <w:noWrap w:val="0"/>
                  <w:vAlign w:val="center"/>
                </w:tcPr>
                <w:p w14:paraId="5DD142D7">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精炼车间</w:t>
                  </w:r>
                </w:p>
              </w:tc>
              <w:tc>
                <w:tcPr>
                  <w:tcW w:w="313" w:type="pct"/>
                  <w:vMerge w:val="restart"/>
                  <w:noWrap w:val="0"/>
                  <w:vAlign w:val="center"/>
                </w:tcPr>
                <w:p w14:paraId="49C59B61">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DA003</w:t>
                  </w:r>
                </w:p>
              </w:tc>
              <w:tc>
                <w:tcPr>
                  <w:tcW w:w="301" w:type="pct"/>
                  <w:shd w:val="clear" w:color="auto" w:fill="auto"/>
                  <w:noWrap w:val="0"/>
                  <w:vAlign w:val="center"/>
                </w:tcPr>
                <w:p w14:paraId="15322DC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kern w:val="2"/>
                      <w:position w:val="0"/>
                      <w:sz w:val="18"/>
                      <w:szCs w:val="18"/>
                      <w:highlight w:val="none"/>
                      <w:lang w:val="en-US" w:eastAsia="zh-CN" w:bidi="ar-SA"/>
                    </w:rPr>
                  </w:pPr>
                  <w:r>
                    <w:rPr>
                      <w:rFonts w:hint="default" w:ascii="Times New Roman" w:hAnsi="Times New Roman" w:eastAsia="宋体" w:cs="Times New Roman"/>
                      <w:color w:val="auto"/>
                      <w:spacing w:val="0"/>
                      <w:position w:val="0"/>
                      <w:sz w:val="18"/>
                      <w:szCs w:val="18"/>
                      <w:highlight w:val="none"/>
                    </w:rPr>
                    <w:t>非甲烷总烃</w:t>
                  </w:r>
                </w:p>
              </w:tc>
              <w:tc>
                <w:tcPr>
                  <w:tcW w:w="248" w:type="pct"/>
                  <w:vMerge w:val="restart"/>
                  <w:shd w:val="clear" w:color="auto" w:fill="auto"/>
                  <w:noWrap w:val="0"/>
                  <w:vAlign w:val="center"/>
                </w:tcPr>
                <w:p w14:paraId="038591E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kern w:val="2"/>
                      <w:position w:val="0"/>
                      <w:sz w:val="18"/>
                      <w:szCs w:val="18"/>
                      <w:highlight w:val="none"/>
                      <w:lang w:val="en-US" w:eastAsia="zh-CN" w:bidi="ar-SA"/>
                    </w:rPr>
                  </w:pPr>
                  <w:r>
                    <w:rPr>
                      <w:rFonts w:hint="default" w:ascii="Times New Roman" w:hAnsi="Times New Roman" w:cs="Times New Roman"/>
                      <w:color w:val="auto"/>
                      <w:spacing w:val="0"/>
                      <w:position w:val="0"/>
                      <w:sz w:val="18"/>
                      <w:szCs w:val="18"/>
                      <w:highlight w:val="none"/>
                      <w:lang w:val="en-US" w:eastAsia="zh-CN"/>
                    </w:rPr>
                    <w:t>产污系数法</w:t>
                  </w:r>
                </w:p>
              </w:tc>
              <w:tc>
                <w:tcPr>
                  <w:tcW w:w="336" w:type="pct"/>
                  <w:vMerge w:val="restart"/>
                  <w:noWrap w:val="0"/>
                  <w:vAlign w:val="center"/>
                </w:tcPr>
                <w:p w14:paraId="35B65D3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2000</w:t>
                  </w:r>
                </w:p>
              </w:tc>
              <w:tc>
                <w:tcPr>
                  <w:tcW w:w="384" w:type="pct"/>
                  <w:noWrap w:val="0"/>
                  <w:vAlign w:val="center"/>
                </w:tcPr>
                <w:p w14:paraId="0DAF765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10.714</w:t>
                  </w:r>
                </w:p>
              </w:tc>
              <w:tc>
                <w:tcPr>
                  <w:tcW w:w="347" w:type="pct"/>
                  <w:noWrap w:val="0"/>
                  <w:vAlign w:val="center"/>
                </w:tcPr>
                <w:p w14:paraId="0E469D0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0.021</w:t>
                  </w:r>
                </w:p>
              </w:tc>
              <w:tc>
                <w:tcPr>
                  <w:tcW w:w="301" w:type="pct"/>
                  <w:noWrap w:val="0"/>
                  <w:vAlign w:val="center"/>
                </w:tcPr>
                <w:p w14:paraId="52B45AA1">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0.18</w:t>
                  </w:r>
                </w:p>
              </w:tc>
              <w:tc>
                <w:tcPr>
                  <w:tcW w:w="390" w:type="pct"/>
                  <w:vMerge w:val="restart"/>
                  <w:noWrap w:val="0"/>
                  <w:vAlign w:val="center"/>
                </w:tcPr>
                <w:p w14:paraId="2DBB4FB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石蜡吸收+活性炭吸附</w:t>
                  </w:r>
                </w:p>
              </w:tc>
              <w:tc>
                <w:tcPr>
                  <w:tcW w:w="171" w:type="pct"/>
                  <w:noWrap w:val="0"/>
                  <w:vAlign w:val="center"/>
                </w:tcPr>
                <w:p w14:paraId="3DECE4B2">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99</w:t>
                  </w:r>
                </w:p>
              </w:tc>
              <w:tc>
                <w:tcPr>
                  <w:tcW w:w="248" w:type="pct"/>
                  <w:vMerge w:val="restart"/>
                  <w:shd w:val="clear" w:color="auto" w:fill="auto"/>
                  <w:noWrap w:val="0"/>
                  <w:vAlign w:val="center"/>
                </w:tcPr>
                <w:p w14:paraId="5EBAA197">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kern w:val="2"/>
                      <w:position w:val="0"/>
                      <w:sz w:val="18"/>
                      <w:szCs w:val="18"/>
                      <w:highlight w:val="none"/>
                      <w:lang w:val="en-US" w:eastAsia="zh-CN" w:bidi="ar-SA"/>
                    </w:rPr>
                  </w:pPr>
                  <w:r>
                    <w:rPr>
                      <w:rFonts w:hint="default" w:ascii="Times New Roman" w:hAnsi="Times New Roman" w:eastAsia="宋体" w:cs="Times New Roman"/>
                      <w:color w:val="auto"/>
                      <w:spacing w:val="0"/>
                      <w:position w:val="0"/>
                      <w:sz w:val="18"/>
                      <w:szCs w:val="18"/>
                      <w:highlight w:val="none"/>
                    </w:rPr>
                    <w:t>是</w:t>
                  </w:r>
                </w:p>
              </w:tc>
              <w:tc>
                <w:tcPr>
                  <w:tcW w:w="230" w:type="pct"/>
                  <w:vMerge w:val="restart"/>
                  <w:shd w:val="clear" w:color="auto" w:fill="auto"/>
                  <w:noWrap w:val="0"/>
                  <w:vAlign w:val="center"/>
                </w:tcPr>
                <w:p w14:paraId="6B633C6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kern w:val="2"/>
                      <w:position w:val="0"/>
                      <w:sz w:val="18"/>
                      <w:szCs w:val="18"/>
                      <w:highlight w:val="none"/>
                      <w:lang w:val="en-US" w:eastAsia="zh-CN" w:bidi="ar-SA"/>
                    </w:rPr>
                  </w:pPr>
                  <w:r>
                    <w:rPr>
                      <w:rFonts w:hint="default" w:ascii="Times New Roman" w:hAnsi="Times New Roman" w:cs="Times New Roman"/>
                      <w:color w:val="auto"/>
                      <w:spacing w:val="0"/>
                      <w:position w:val="0"/>
                      <w:sz w:val="18"/>
                      <w:szCs w:val="18"/>
                      <w:highlight w:val="none"/>
                      <w:lang w:val="en-US" w:eastAsia="zh-CN"/>
                    </w:rPr>
                    <w:t>产污系数法</w:t>
                  </w:r>
                </w:p>
              </w:tc>
              <w:tc>
                <w:tcPr>
                  <w:tcW w:w="325" w:type="pct"/>
                  <w:vMerge w:val="restart"/>
                  <w:noWrap w:val="0"/>
                  <w:vAlign w:val="center"/>
                </w:tcPr>
                <w:p w14:paraId="55320011">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2000</w:t>
                  </w:r>
                </w:p>
              </w:tc>
              <w:tc>
                <w:tcPr>
                  <w:tcW w:w="396" w:type="pct"/>
                  <w:noWrap w:val="0"/>
                  <w:vAlign w:val="center"/>
                </w:tcPr>
                <w:p w14:paraId="605753EB">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0.107</w:t>
                  </w:r>
                </w:p>
              </w:tc>
              <w:tc>
                <w:tcPr>
                  <w:tcW w:w="372" w:type="pct"/>
                  <w:noWrap w:val="0"/>
                  <w:vAlign w:val="center"/>
                </w:tcPr>
                <w:p w14:paraId="6920B50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0.0002</w:t>
                  </w:r>
                </w:p>
              </w:tc>
              <w:tc>
                <w:tcPr>
                  <w:tcW w:w="313" w:type="pct"/>
                  <w:noWrap w:val="0"/>
                  <w:vAlign w:val="center"/>
                </w:tcPr>
                <w:p w14:paraId="1387168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0.002</w:t>
                  </w:r>
                </w:p>
              </w:tc>
              <w:tc>
                <w:tcPr>
                  <w:tcW w:w="159" w:type="pct"/>
                  <w:vMerge w:val="restart"/>
                  <w:noWrap w:val="0"/>
                  <w:vAlign w:val="center"/>
                </w:tcPr>
                <w:p w14:paraId="42018CA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8400</w:t>
                  </w:r>
                </w:p>
              </w:tc>
            </w:tr>
            <w:tr w14:paraId="566E65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60" w:type="pct"/>
                  <w:vMerge w:val="continue"/>
                  <w:noWrap w:val="0"/>
                  <w:vAlign w:val="center"/>
                </w:tcPr>
                <w:p w14:paraId="76397721">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highlight w:val="none"/>
                    </w:rPr>
                  </w:pPr>
                </w:p>
              </w:tc>
              <w:tc>
                <w:tcPr>
                  <w:tcW w:w="313" w:type="pct"/>
                  <w:vMerge w:val="continue"/>
                  <w:noWrap w:val="0"/>
                  <w:vAlign w:val="center"/>
                </w:tcPr>
                <w:p w14:paraId="03B9035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highlight w:val="none"/>
                    </w:rPr>
                  </w:pPr>
                </w:p>
              </w:tc>
              <w:tc>
                <w:tcPr>
                  <w:tcW w:w="301" w:type="pct"/>
                  <w:shd w:val="clear" w:color="auto" w:fill="auto"/>
                  <w:noWrap w:val="0"/>
                  <w:vAlign w:val="center"/>
                </w:tcPr>
                <w:p w14:paraId="78BD229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臭气浓度</w:t>
                  </w:r>
                </w:p>
              </w:tc>
              <w:tc>
                <w:tcPr>
                  <w:tcW w:w="248" w:type="pct"/>
                  <w:vMerge w:val="continue"/>
                  <w:shd w:val="clear" w:color="auto" w:fill="auto"/>
                  <w:noWrap w:val="0"/>
                  <w:vAlign w:val="center"/>
                </w:tcPr>
                <w:p w14:paraId="34E5D92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36" w:type="pct"/>
                  <w:vMerge w:val="continue"/>
                  <w:noWrap w:val="0"/>
                  <w:vAlign w:val="center"/>
                </w:tcPr>
                <w:p w14:paraId="608C59A2">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p>
              </w:tc>
              <w:tc>
                <w:tcPr>
                  <w:tcW w:w="384" w:type="pct"/>
                  <w:noWrap w:val="0"/>
                  <w:vAlign w:val="center"/>
                </w:tcPr>
                <w:p w14:paraId="4726C01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cs="Times New Roman"/>
                      <w:color w:val="auto"/>
                      <w:spacing w:val="0"/>
                      <w:position w:val="0"/>
                      <w:sz w:val="18"/>
                      <w:szCs w:val="18"/>
                      <w:highlight w:val="none"/>
                      <w:lang w:val="en-US" w:eastAsia="zh-CN"/>
                    </w:rPr>
                    <w:t>20000</w:t>
                  </w:r>
                </w:p>
              </w:tc>
              <w:tc>
                <w:tcPr>
                  <w:tcW w:w="347" w:type="pct"/>
                  <w:noWrap w:val="0"/>
                  <w:vAlign w:val="center"/>
                </w:tcPr>
                <w:p w14:paraId="3E9D823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w:t>
                  </w:r>
                </w:p>
              </w:tc>
              <w:tc>
                <w:tcPr>
                  <w:tcW w:w="301" w:type="pct"/>
                  <w:noWrap w:val="0"/>
                  <w:vAlign w:val="center"/>
                </w:tcPr>
                <w:p w14:paraId="478E25A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w:t>
                  </w:r>
                </w:p>
              </w:tc>
              <w:tc>
                <w:tcPr>
                  <w:tcW w:w="390" w:type="pct"/>
                  <w:vMerge w:val="continue"/>
                  <w:noWrap w:val="0"/>
                  <w:vAlign w:val="center"/>
                </w:tcPr>
                <w:p w14:paraId="110C94E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71" w:type="pct"/>
                  <w:noWrap w:val="0"/>
                  <w:vAlign w:val="center"/>
                </w:tcPr>
                <w:p w14:paraId="0989C36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90</w:t>
                  </w:r>
                </w:p>
              </w:tc>
              <w:tc>
                <w:tcPr>
                  <w:tcW w:w="248" w:type="pct"/>
                  <w:vMerge w:val="continue"/>
                  <w:shd w:val="clear" w:color="auto" w:fill="auto"/>
                  <w:noWrap w:val="0"/>
                  <w:vAlign w:val="center"/>
                </w:tcPr>
                <w:p w14:paraId="0F1EA4A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30" w:type="pct"/>
                  <w:vMerge w:val="continue"/>
                  <w:shd w:val="clear" w:color="auto" w:fill="auto"/>
                  <w:noWrap w:val="0"/>
                  <w:vAlign w:val="center"/>
                </w:tcPr>
                <w:p w14:paraId="38CEDD42">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25" w:type="pct"/>
                  <w:vMerge w:val="continue"/>
                  <w:noWrap w:val="0"/>
                  <w:vAlign w:val="center"/>
                </w:tcPr>
                <w:p w14:paraId="38E3E2D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96" w:type="pct"/>
                  <w:noWrap w:val="0"/>
                  <w:vAlign w:val="center"/>
                </w:tcPr>
                <w:p w14:paraId="5BE793F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&lt;2000</w:t>
                  </w:r>
                </w:p>
              </w:tc>
              <w:tc>
                <w:tcPr>
                  <w:tcW w:w="372" w:type="pct"/>
                  <w:noWrap w:val="0"/>
                  <w:vAlign w:val="center"/>
                </w:tcPr>
                <w:p w14:paraId="6A41DEC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w:t>
                  </w:r>
                </w:p>
              </w:tc>
              <w:tc>
                <w:tcPr>
                  <w:tcW w:w="313" w:type="pct"/>
                  <w:noWrap w:val="0"/>
                  <w:vAlign w:val="center"/>
                </w:tcPr>
                <w:p w14:paraId="48B2D69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w:t>
                  </w:r>
                </w:p>
              </w:tc>
              <w:tc>
                <w:tcPr>
                  <w:tcW w:w="159" w:type="pct"/>
                  <w:vMerge w:val="continue"/>
                  <w:noWrap w:val="0"/>
                  <w:vAlign w:val="center"/>
                </w:tcPr>
                <w:p w14:paraId="733870A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r>
            <w:tr w14:paraId="315EC0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160" w:type="pct"/>
                  <w:vMerge w:val="restart"/>
                  <w:noWrap w:val="0"/>
                  <w:vAlign w:val="center"/>
                </w:tcPr>
                <w:p w14:paraId="6E34059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生物质锅炉</w:t>
                  </w:r>
                </w:p>
              </w:tc>
              <w:tc>
                <w:tcPr>
                  <w:tcW w:w="313" w:type="pct"/>
                  <w:vMerge w:val="restart"/>
                  <w:noWrap w:val="0"/>
                  <w:vAlign w:val="center"/>
                </w:tcPr>
                <w:p w14:paraId="1A158467">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eastAsia="zh-CN"/>
                    </w:rPr>
                  </w:pPr>
                  <w:r>
                    <w:rPr>
                      <w:rFonts w:hint="default" w:ascii="Times New Roman" w:hAnsi="Times New Roman" w:eastAsia="宋体" w:cs="Times New Roman"/>
                      <w:color w:val="auto"/>
                      <w:spacing w:val="0"/>
                      <w:position w:val="0"/>
                      <w:sz w:val="18"/>
                      <w:szCs w:val="18"/>
                      <w:highlight w:val="none"/>
                    </w:rPr>
                    <w:t>DA00</w:t>
                  </w:r>
                  <w:r>
                    <w:rPr>
                      <w:rFonts w:hint="default" w:ascii="Times New Roman" w:hAnsi="Times New Roman" w:cs="Times New Roman"/>
                      <w:color w:val="auto"/>
                      <w:spacing w:val="0"/>
                      <w:position w:val="0"/>
                      <w:sz w:val="18"/>
                      <w:szCs w:val="18"/>
                      <w:highlight w:val="none"/>
                      <w:lang w:val="en-US" w:eastAsia="zh-CN"/>
                    </w:rPr>
                    <w:t>4</w:t>
                  </w:r>
                </w:p>
              </w:tc>
              <w:tc>
                <w:tcPr>
                  <w:tcW w:w="301" w:type="pct"/>
                  <w:noWrap w:val="0"/>
                  <w:vAlign w:val="center"/>
                </w:tcPr>
                <w:p w14:paraId="4405BBCD">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烟尘</w:t>
                  </w:r>
                </w:p>
              </w:tc>
              <w:tc>
                <w:tcPr>
                  <w:tcW w:w="248" w:type="pct"/>
                  <w:vMerge w:val="restart"/>
                  <w:noWrap w:val="0"/>
                  <w:vAlign w:val="center"/>
                </w:tcPr>
                <w:p w14:paraId="60DC40DB">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物料衡算</w:t>
                  </w:r>
                </w:p>
              </w:tc>
              <w:tc>
                <w:tcPr>
                  <w:tcW w:w="336" w:type="pct"/>
                  <w:vMerge w:val="restart"/>
                  <w:noWrap w:val="0"/>
                  <w:vAlign w:val="center"/>
                </w:tcPr>
                <w:p w14:paraId="55FAB0DB">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20190</w:t>
                  </w:r>
                </w:p>
              </w:tc>
              <w:tc>
                <w:tcPr>
                  <w:tcW w:w="384" w:type="pct"/>
                  <w:noWrap w:val="0"/>
                  <w:vAlign w:val="center"/>
                </w:tcPr>
                <w:p w14:paraId="6ACB95D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11383.146</w:t>
                  </w:r>
                </w:p>
              </w:tc>
              <w:tc>
                <w:tcPr>
                  <w:tcW w:w="347" w:type="pct"/>
                  <w:noWrap w:val="0"/>
                  <w:vAlign w:val="center"/>
                </w:tcPr>
                <w:p w14:paraId="148BBCFD">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229.826</w:t>
                  </w:r>
                </w:p>
              </w:tc>
              <w:tc>
                <w:tcPr>
                  <w:tcW w:w="301" w:type="pct"/>
                  <w:noWrap w:val="0"/>
                  <w:vAlign w:val="center"/>
                </w:tcPr>
                <w:p w14:paraId="4E5D4163">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1930.536</w:t>
                  </w:r>
                </w:p>
              </w:tc>
              <w:tc>
                <w:tcPr>
                  <w:tcW w:w="390" w:type="pct"/>
                  <w:vMerge w:val="restart"/>
                  <w:noWrap w:val="0"/>
                  <w:vAlign w:val="center"/>
                </w:tcPr>
                <w:p w14:paraId="7BE750EB">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lang w:eastAsia="zh-CN"/>
                    </w:rPr>
                    <w:t>多管旋风</w:t>
                  </w:r>
                  <w:r>
                    <w:rPr>
                      <w:rFonts w:hint="default" w:ascii="Times New Roman" w:hAnsi="Times New Roman" w:eastAsia="宋体" w:cs="Times New Roman"/>
                      <w:color w:val="auto"/>
                      <w:spacing w:val="0"/>
                      <w:position w:val="0"/>
                      <w:sz w:val="18"/>
                      <w:szCs w:val="18"/>
                      <w:highlight w:val="none"/>
                    </w:rPr>
                    <w:t>除尘器+布袋除尘器</w:t>
                  </w:r>
                </w:p>
              </w:tc>
              <w:tc>
                <w:tcPr>
                  <w:tcW w:w="171" w:type="pct"/>
                  <w:vMerge w:val="restart"/>
                  <w:noWrap w:val="0"/>
                  <w:vAlign w:val="center"/>
                </w:tcPr>
                <w:p w14:paraId="192B2EF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eastAsia="zh-CN"/>
                    </w:rPr>
                  </w:pPr>
                  <w:r>
                    <w:rPr>
                      <w:rFonts w:hint="default" w:ascii="Times New Roman" w:hAnsi="Times New Roman" w:eastAsia="宋体" w:cs="Times New Roman"/>
                      <w:color w:val="auto"/>
                      <w:spacing w:val="0"/>
                      <w:position w:val="0"/>
                      <w:sz w:val="18"/>
                      <w:szCs w:val="18"/>
                      <w:highlight w:val="none"/>
                    </w:rPr>
                    <w:t>99.</w:t>
                  </w:r>
                  <w:r>
                    <w:rPr>
                      <w:rFonts w:hint="default" w:ascii="Times New Roman" w:hAnsi="Times New Roman" w:cs="Times New Roman"/>
                      <w:color w:val="auto"/>
                      <w:spacing w:val="0"/>
                      <w:position w:val="0"/>
                      <w:sz w:val="18"/>
                      <w:szCs w:val="18"/>
                      <w:highlight w:val="none"/>
                      <w:lang w:val="en-US" w:eastAsia="zh-CN"/>
                    </w:rPr>
                    <w:t>6</w:t>
                  </w:r>
                </w:p>
              </w:tc>
              <w:tc>
                <w:tcPr>
                  <w:tcW w:w="248" w:type="pct"/>
                  <w:vMerge w:val="restart"/>
                  <w:noWrap w:val="0"/>
                  <w:vAlign w:val="center"/>
                </w:tcPr>
                <w:p w14:paraId="2D73D82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是</w:t>
                  </w:r>
                </w:p>
              </w:tc>
              <w:tc>
                <w:tcPr>
                  <w:tcW w:w="230" w:type="pct"/>
                  <w:vMerge w:val="restart"/>
                  <w:noWrap w:val="0"/>
                  <w:vAlign w:val="center"/>
                </w:tcPr>
                <w:p w14:paraId="51AA2322">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物料衡算法</w:t>
                  </w:r>
                </w:p>
              </w:tc>
              <w:tc>
                <w:tcPr>
                  <w:tcW w:w="325" w:type="pct"/>
                  <w:vMerge w:val="restart"/>
                  <w:noWrap w:val="0"/>
                  <w:vAlign w:val="center"/>
                </w:tcPr>
                <w:p w14:paraId="336D7AB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20190</w:t>
                  </w:r>
                </w:p>
              </w:tc>
              <w:tc>
                <w:tcPr>
                  <w:tcW w:w="396" w:type="pct"/>
                  <w:noWrap w:val="0"/>
                  <w:vAlign w:val="center"/>
                </w:tcPr>
                <w:p w14:paraId="1E4942E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45.533</w:t>
                  </w:r>
                </w:p>
              </w:tc>
              <w:tc>
                <w:tcPr>
                  <w:tcW w:w="372" w:type="pct"/>
                  <w:noWrap w:val="0"/>
                  <w:vAlign w:val="center"/>
                </w:tcPr>
                <w:p w14:paraId="6CA36BCE">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0.919</w:t>
                  </w:r>
                </w:p>
              </w:tc>
              <w:tc>
                <w:tcPr>
                  <w:tcW w:w="313" w:type="pct"/>
                  <w:noWrap w:val="0"/>
                  <w:vAlign w:val="center"/>
                </w:tcPr>
                <w:p w14:paraId="0493D03D">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7.722</w:t>
                  </w:r>
                </w:p>
              </w:tc>
              <w:tc>
                <w:tcPr>
                  <w:tcW w:w="159" w:type="pct"/>
                  <w:vMerge w:val="restart"/>
                  <w:noWrap w:val="0"/>
                  <w:vAlign w:val="center"/>
                </w:tcPr>
                <w:p w14:paraId="09FCBD4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8400</w:t>
                  </w:r>
                </w:p>
              </w:tc>
            </w:tr>
            <w:tr w14:paraId="5C9A6C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60" w:type="pct"/>
                  <w:vMerge w:val="continue"/>
                  <w:noWrap w:val="0"/>
                  <w:vAlign w:val="center"/>
                </w:tcPr>
                <w:p w14:paraId="2E5D9C9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13" w:type="pct"/>
                  <w:vMerge w:val="continue"/>
                  <w:noWrap w:val="0"/>
                  <w:vAlign w:val="center"/>
                </w:tcPr>
                <w:p w14:paraId="732F108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01" w:type="pct"/>
                  <w:noWrap w:val="0"/>
                  <w:vAlign w:val="center"/>
                </w:tcPr>
                <w:p w14:paraId="2DB6140E">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SO</w:t>
                  </w:r>
                  <w:r>
                    <w:rPr>
                      <w:rFonts w:hint="default" w:ascii="Times New Roman" w:hAnsi="Times New Roman" w:eastAsia="宋体" w:cs="Times New Roman"/>
                      <w:color w:val="auto"/>
                      <w:spacing w:val="0"/>
                      <w:position w:val="0"/>
                      <w:sz w:val="18"/>
                      <w:szCs w:val="18"/>
                      <w:highlight w:val="none"/>
                      <w:vertAlign w:val="subscript"/>
                    </w:rPr>
                    <w:t>2</w:t>
                  </w:r>
                </w:p>
              </w:tc>
              <w:tc>
                <w:tcPr>
                  <w:tcW w:w="248" w:type="pct"/>
                  <w:vMerge w:val="continue"/>
                  <w:noWrap w:val="0"/>
                  <w:vAlign w:val="center"/>
                </w:tcPr>
                <w:p w14:paraId="22E4662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36" w:type="pct"/>
                  <w:vMerge w:val="continue"/>
                  <w:noWrap w:val="0"/>
                  <w:vAlign w:val="center"/>
                </w:tcPr>
                <w:p w14:paraId="70D57D6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84" w:type="pct"/>
                  <w:noWrap w:val="0"/>
                  <w:vAlign w:val="center"/>
                </w:tcPr>
                <w:p w14:paraId="79AE356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85.374</w:t>
                  </w:r>
                </w:p>
              </w:tc>
              <w:tc>
                <w:tcPr>
                  <w:tcW w:w="347" w:type="pct"/>
                  <w:noWrap w:val="0"/>
                  <w:vAlign w:val="center"/>
                </w:tcPr>
                <w:p w14:paraId="79D4DFF0">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1.724</w:t>
                  </w:r>
                </w:p>
              </w:tc>
              <w:tc>
                <w:tcPr>
                  <w:tcW w:w="301" w:type="pct"/>
                  <w:noWrap w:val="0"/>
                  <w:vAlign w:val="center"/>
                </w:tcPr>
                <w:p w14:paraId="0B76E325">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14.479</w:t>
                  </w:r>
                </w:p>
              </w:tc>
              <w:tc>
                <w:tcPr>
                  <w:tcW w:w="390" w:type="pct"/>
                  <w:vMerge w:val="continue"/>
                  <w:noWrap w:val="0"/>
                  <w:vAlign w:val="center"/>
                </w:tcPr>
                <w:p w14:paraId="13A7E9C1">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71" w:type="pct"/>
                  <w:vMerge w:val="continue"/>
                  <w:noWrap w:val="0"/>
                  <w:vAlign w:val="center"/>
                </w:tcPr>
                <w:p w14:paraId="1E0EE1C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48" w:type="pct"/>
                  <w:vMerge w:val="continue"/>
                  <w:noWrap w:val="0"/>
                  <w:vAlign w:val="center"/>
                </w:tcPr>
                <w:p w14:paraId="786C4A4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30" w:type="pct"/>
                  <w:vMerge w:val="continue"/>
                  <w:noWrap w:val="0"/>
                  <w:vAlign w:val="center"/>
                </w:tcPr>
                <w:p w14:paraId="150500EC">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25" w:type="pct"/>
                  <w:vMerge w:val="continue"/>
                  <w:noWrap w:val="0"/>
                  <w:vAlign w:val="center"/>
                </w:tcPr>
                <w:p w14:paraId="235FFF3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96" w:type="pct"/>
                  <w:shd w:val="clear" w:color="auto" w:fill="auto"/>
                  <w:noWrap w:val="0"/>
                  <w:vAlign w:val="center"/>
                </w:tcPr>
                <w:p w14:paraId="3AA06BB7">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kern w:val="2"/>
                      <w:position w:val="0"/>
                      <w:sz w:val="18"/>
                      <w:szCs w:val="18"/>
                      <w:highlight w:val="none"/>
                      <w:lang w:val="en-US" w:eastAsia="zh-CN" w:bidi="ar-SA"/>
                    </w:rPr>
                  </w:pPr>
                  <w:r>
                    <w:rPr>
                      <w:rFonts w:hint="default" w:ascii="Times New Roman" w:hAnsi="Times New Roman" w:cs="Times New Roman"/>
                      <w:color w:val="auto"/>
                      <w:spacing w:val="0"/>
                      <w:position w:val="0"/>
                      <w:sz w:val="18"/>
                      <w:szCs w:val="18"/>
                      <w:highlight w:val="none"/>
                      <w:lang w:val="en-US" w:eastAsia="zh-CN"/>
                    </w:rPr>
                    <w:t>85.374</w:t>
                  </w:r>
                </w:p>
              </w:tc>
              <w:tc>
                <w:tcPr>
                  <w:tcW w:w="372" w:type="pct"/>
                  <w:shd w:val="clear" w:color="auto" w:fill="auto"/>
                  <w:noWrap w:val="0"/>
                  <w:vAlign w:val="center"/>
                </w:tcPr>
                <w:p w14:paraId="0B8F2CB9">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default" w:ascii="Times New Roman" w:hAnsi="Times New Roman" w:cs="Times New Roman"/>
                      <w:color w:val="auto"/>
                      <w:spacing w:val="0"/>
                      <w:position w:val="0"/>
                      <w:sz w:val="18"/>
                      <w:szCs w:val="18"/>
                      <w:highlight w:val="none"/>
                      <w:lang w:val="en-US" w:eastAsia="zh-CN"/>
                    </w:rPr>
                    <w:t>1.724</w:t>
                  </w:r>
                </w:p>
              </w:tc>
              <w:tc>
                <w:tcPr>
                  <w:tcW w:w="313" w:type="pct"/>
                  <w:shd w:val="clear" w:color="auto" w:fill="auto"/>
                  <w:noWrap w:val="0"/>
                  <w:vAlign w:val="center"/>
                </w:tcPr>
                <w:p w14:paraId="035D7CD3">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default" w:ascii="Times New Roman" w:hAnsi="Times New Roman" w:cs="Times New Roman"/>
                      <w:color w:val="auto"/>
                      <w:spacing w:val="0"/>
                      <w:position w:val="0"/>
                      <w:sz w:val="18"/>
                      <w:szCs w:val="18"/>
                      <w:highlight w:val="none"/>
                      <w:lang w:val="en-US" w:eastAsia="zh-CN"/>
                    </w:rPr>
                    <w:t>14.479</w:t>
                  </w:r>
                </w:p>
              </w:tc>
              <w:tc>
                <w:tcPr>
                  <w:tcW w:w="159" w:type="pct"/>
                  <w:vMerge w:val="continue"/>
                  <w:noWrap w:val="0"/>
                  <w:vAlign w:val="center"/>
                </w:tcPr>
                <w:p w14:paraId="4A80167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r>
            <w:tr w14:paraId="24D63F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160" w:type="pct"/>
                  <w:vMerge w:val="continue"/>
                  <w:noWrap w:val="0"/>
                  <w:vAlign w:val="center"/>
                </w:tcPr>
                <w:p w14:paraId="62E958E1">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13" w:type="pct"/>
                  <w:vMerge w:val="continue"/>
                  <w:noWrap w:val="0"/>
                  <w:vAlign w:val="center"/>
                </w:tcPr>
                <w:p w14:paraId="1228F9D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01" w:type="pct"/>
                  <w:noWrap w:val="0"/>
                  <w:vAlign w:val="center"/>
                </w:tcPr>
                <w:p w14:paraId="660BB0F0">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NO</w:t>
                  </w:r>
                  <w:r>
                    <w:rPr>
                      <w:rFonts w:hint="default" w:ascii="Times New Roman" w:hAnsi="Times New Roman" w:eastAsia="宋体" w:cs="Times New Roman"/>
                      <w:color w:val="auto"/>
                      <w:spacing w:val="0"/>
                      <w:position w:val="0"/>
                      <w:sz w:val="18"/>
                      <w:szCs w:val="18"/>
                      <w:highlight w:val="none"/>
                      <w:vertAlign w:val="subscript"/>
                    </w:rPr>
                    <w:t>X</w:t>
                  </w:r>
                </w:p>
              </w:tc>
              <w:tc>
                <w:tcPr>
                  <w:tcW w:w="248" w:type="pct"/>
                  <w:vMerge w:val="continue"/>
                  <w:noWrap w:val="0"/>
                  <w:vAlign w:val="center"/>
                </w:tcPr>
                <w:p w14:paraId="1BA9BBF7">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36" w:type="pct"/>
                  <w:vMerge w:val="continue"/>
                  <w:noWrap w:val="0"/>
                  <w:vAlign w:val="center"/>
                </w:tcPr>
                <w:p w14:paraId="284ADB2B">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84" w:type="pct"/>
                  <w:noWrap w:val="0"/>
                  <w:vAlign w:val="center"/>
                </w:tcPr>
                <w:p w14:paraId="360FC31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200</w:t>
                  </w:r>
                </w:p>
              </w:tc>
              <w:tc>
                <w:tcPr>
                  <w:tcW w:w="347" w:type="pct"/>
                  <w:noWrap w:val="0"/>
                  <w:vAlign w:val="center"/>
                </w:tcPr>
                <w:p w14:paraId="57FA4748">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4.038</w:t>
                  </w:r>
                </w:p>
              </w:tc>
              <w:tc>
                <w:tcPr>
                  <w:tcW w:w="301" w:type="pct"/>
                  <w:noWrap w:val="0"/>
                  <w:vAlign w:val="center"/>
                </w:tcPr>
                <w:p w14:paraId="4884791D">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33.918</w:t>
                  </w:r>
                </w:p>
              </w:tc>
              <w:tc>
                <w:tcPr>
                  <w:tcW w:w="390" w:type="pct"/>
                  <w:vMerge w:val="continue"/>
                  <w:noWrap w:val="0"/>
                  <w:vAlign w:val="center"/>
                </w:tcPr>
                <w:p w14:paraId="2839B64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71" w:type="pct"/>
                  <w:vMerge w:val="continue"/>
                  <w:noWrap w:val="0"/>
                  <w:vAlign w:val="center"/>
                </w:tcPr>
                <w:p w14:paraId="13E43CDB">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48" w:type="pct"/>
                  <w:vMerge w:val="continue"/>
                  <w:noWrap w:val="0"/>
                  <w:vAlign w:val="center"/>
                </w:tcPr>
                <w:p w14:paraId="76985EF7">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30" w:type="pct"/>
                  <w:vMerge w:val="continue"/>
                  <w:noWrap w:val="0"/>
                  <w:vAlign w:val="center"/>
                </w:tcPr>
                <w:p w14:paraId="65A4A78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25" w:type="pct"/>
                  <w:vMerge w:val="continue"/>
                  <w:noWrap w:val="0"/>
                  <w:vAlign w:val="center"/>
                </w:tcPr>
                <w:p w14:paraId="360950F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96" w:type="pct"/>
                  <w:shd w:val="clear" w:color="auto" w:fill="auto"/>
                  <w:noWrap w:val="0"/>
                  <w:vAlign w:val="center"/>
                </w:tcPr>
                <w:p w14:paraId="1273CAC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kern w:val="2"/>
                      <w:position w:val="0"/>
                      <w:sz w:val="18"/>
                      <w:szCs w:val="18"/>
                      <w:highlight w:val="none"/>
                      <w:lang w:val="en-US" w:eastAsia="zh-CN" w:bidi="ar-SA"/>
                    </w:rPr>
                  </w:pPr>
                  <w:r>
                    <w:rPr>
                      <w:rFonts w:hint="default" w:ascii="Times New Roman" w:hAnsi="Times New Roman" w:cs="Times New Roman"/>
                      <w:color w:val="auto"/>
                      <w:spacing w:val="0"/>
                      <w:position w:val="0"/>
                      <w:sz w:val="18"/>
                      <w:szCs w:val="18"/>
                      <w:highlight w:val="none"/>
                      <w:lang w:val="en-US" w:eastAsia="zh-CN"/>
                    </w:rPr>
                    <w:t>200</w:t>
                  </w:r>
                </w:p>
              </w:tc>
              <w:tc>
                <w:tcPr>
                  <w:tcW w:w="372" w:type="pct"/>
                  <w:shd w:val="clear" w:color="auto" w:fill="auto"/>
                  <w:noWrap w:val="0"/>
                  <w:vAlign w:val="center"/>
                </w:tcPr>
                <w:p w14:paraId="33B41CFB">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default" w:ascii="Times New Roman" w:hAnsi="Times New Roman" w:cs="Times New Roman"/>
                      <w:color w:val="auto"/>
                      <w:spacing w:val="0"/>
                      <w:position w:val="0"/>
                      <w:sz w:val="18"/>
                      <w:szCs w:val="18"/>
                      <w:highlight w:val="none"/>
                      <w:lang w:val="en-US" w:eastAsia="zh-CN"/>
                    </w:rPr>
                    <w:t>4.038</w:t>
                  </w:r>
                </w:p>
              </w:tc>
              <w:tc>
                <w:tcPr>
                  <w:tcW w:w="313" w:type="pct"/>
                  <w:shd w:val="clear" w:color="auto" w:fill="auto"/>
                  <w:noWrap w:val="0"/>
                  <w:vAlign w:val="center"/>
                </w:tcPr>
                <w:p w14:paraId="6E287D82">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default" w:ascii="Times New Roman" w:hAnsi="Times New Roman" w:cs="Times New Roman"/>
                      <w:color w:val="auto"/>
                      <w:spacing w:val="0"/>
                      <w:position w:val="0"/>
                      <w:sz w:val="18"/>
                      <w:szCs w:val="18"/>
                      <w:highlight w:val="none"/>
                      <w:lang w:val="en-US" w:eastAsia="zh-CN"/>
                    </w:rPr>
                    <w:t>33.918</w:t>
                  </w:r>
                </w:p>
              </w:tc>
              <w:tc>
                <w:tcPr>
                  <w:tcW w:w="159" w:type="pct"/>
                  <w:vMerge w:val="continue"/>
                  <w:noWrap w:val="0"/>
                  <w:vAlign w:val="center"/>
                </w:tcPr>
                <w:p w14:paraId="59C5F541">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r>
            <w:tr w14:paraId="107ECB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160" w:type="pct"/>
                  <w:vMerge w:val="restart"/>
                  <w:noWrap w:val="0"/>
                  <w:vAlign w:val="center"/>
                </w:tcPr>
                <w:p w14:paraId="5D17E54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污水处理站</w:t>
                  </w:r>
                </w:p>
              </w:tc>
              <w:tc>
                <w:tcPr>
                  <w:tcW w:w="313" w:type="pct"/>
                  <w:vMerge w:val="restart"/>
                  <w:noWrap w:val="0"/>
                  <w:vAlign w:val="center"/>
                </w:tcPr>
                <w:p w14:paraId="3631294B">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DA005</w:t>
                  </w:r>
                </w:p>
              </w:tc>
              <w:tc>
                <w:tcPr>
                  <w:tcW w:w="301" w:type="pct"/>
                  <w:noWrap w:val="0"/>
                  <w:vAlign w:val="center"/>
                </w:tcPr>
                <w:p w14:paraId="411A2C24">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氨</w:t>
                  </w:r>
                </w:p>
              </w:tc>
              <w:tc>
                <w:tcPr>
                  <w:tcW w:w="248" w:type="pct"/>
                  <w:vMerge w:val="restart"/>
                  <w:noWrap w:val="0"/>
                  <w:vAlign w:val="center"/>
                </w:tcPr>
                <w:p w14:paraId="71C5965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cs="Times New Roman"/>
                      <w:color w:val="auto"/>
                      <w:spacing w:val="0"/>
                      <w:position w:val="0"/>
                      <w:sz w:val="18"/>
                      <w:szCs w:val="18"/>
                      <w:highlight w:val="none"/>
                      <w:lang w:val="en-US" w:eastAsia="zh-CN"/>
                    </w:rPr>
                    <w:t>产污系数法</w:t>
                  </w:r>
                </w:p>
              </w:tc>
              <w:tc>
                <w:tcPr>
                  <w:tcW w:w="336" w:type="pct"/>
                  <w:vMerge w:val="restart"/>
                  <w:noWrap w:val="0"/>
                  <w:vAlign w:val="center"/>
                </w:tcPr>
                <w:p w14:paraId="70EB85F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2000</w:t>
                  </w:r>
                </w:p>
              </w:tc>
              <w:tc>
                <w:tcPr>
                  <w:tcW w:w="384" w:type="pct"/>
                  <w:noWrap w:val="0"/>
                  <w:vAlign w:val="center"/>
                </w:tcPr>
                <w:p w14:paraId="4B83456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1.929</w:t>
                  </w:r>
                </w:p>
              </w:tc>
              <w:tc>
                <w:tcPr>
                  <w:tcW w:w="347" w:type="pct"/>
                  <w:noWrap w:val="0"/>
                  <w:vAlign w:val="center"/>
                </w:tcPr>
                <w:p w14:paraId="6767CC8D">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0.00386</w:t>
                  </w:r>
                </w:p>
              </w:tc>
              <w:tc>
                <w:tcPr>
                  <w:tcW w:w="301" w:type="pct"/>
                  <w:noWrap w:val="0"/>
                  <w:vAlign w:val="center"/>
                </w:tcPr>
                <w:p w14:paraId="5F17F1E7">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0.0324</w:t>
                  </w:r>
                </w:p>
              </w:tc>
              <w:tc>
                <w:tcPr>
                  <w:tcW w:w="390" w:type="pct"/>
                  <w:vMerge w:val="restart"/>
                  <w:noWrap w:val="0"/>
                  <w:vAlign w:val="center"/>
                </w:tcPr>
                <w:p w14:paraId="4A3FBAB2">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活性炭吸附</w:t>
                  </w:r>
                </w:p>
              </w:tc>
              <w:tc>
                <w:tcPr>
                  <w:tcW w:w="171" w:type="pct"/>
                  <w:vMerge w:val="restart"/>
                  <w:noWrap w:val="0"/>
                  <w:vAlign w:val="center"/>
                </w:tcPr>
                <w:p w14:paraId="13DA5102">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80</w:t>
                  </w:r>
                </w:p>
              </w:tc>
              <w:tc>
                <w:tcPr>
                  <w:tcW w:w="248" w:type="pct"/>
                  <w:vMerge w:val="restart"/>
                  <w:noWrap w:val="0"/>
                  <w:vAlign w:val="center"/>
                </w:tcPr>
                <w:p w14:paraId="3D11A07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eastAsia="zh-CN"/>
                    </w:rPr>
                  </w:pPr>
                  <w:r>
                    <w:rPr>
                      <w:rFonts w:hint="default" w:ascii="Times New Roman" w:hAnsi="Times New Roman" w:eastAsia="宋体" w:cs="Times New Roman"/>
                      <w:color w:val="auto"/>
                      <w:spacing w:val="0"/>
                      <w:position w:val="0"/>
                      <w:sz w:val="18"/>
                      <w:szCs w:val="18"/>
                      <w:highlight w:val="none"/>
                      <w:lang w:eastAsia="zh-CN"/>
                    </w:rPr>
                    <w:t>是</w:t>
                  </w:r>
                </w:p>
              </w:tc>
              <w:tc>
                <w:tcPr>
                  <w:tcW w:w="230" w:type="pct"/>
                  <w:vMerge w:val="restart"/>
                  <w:noWrap w:val="0"/>
                  <w:vAlign w:val="center"/>
                </w:tcPr>
                <w:p w14:paraId="2592C7E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cs="Times New Roman"/>
                      <w:color w:val="auto"/>
                      <w:spacing w:val="0"/>
                      <w:position w:val="0"/>
                      <w:sz w:val="18"/>
                      <w:szCs w:val="18"/>
                      <w:highlight w:val="none"/>
                      <w:lang w:val="en-US" w:eastAsia="zh-CN"/>
                    </w:rPr>
                    <w:t>产污系数法</w:t>
                  </w:r>
                </w:p>
              </w:tc>
              <w:tc>
                <w:tcPr>
                  <w:tcW w:w="325" w:type="pct"/>
                  <w:vMerge w:val="restart"/>
                  <w:noWrap w:val="0"/>
                  <w:vAlign w:val="center"/>
                </w:tcPr>
                <w:p w14:paraId="6769AF02">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2000</w:t>
                  </w:r>
                </w:p>
              </w:tc>
              <w:tc>
                <w:tcPr>
                  <w:tcW w:w="396" w:type="pct"/>
                  <w:shd w:val="clear" w:color="auto" w:fill="auto"/>
                  <w:noWrap w:val="0"/>
                  <w:vAlign w:val="center"/>
                </w:tcPr>
                <w:p w14:paraId="6EC36E6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0.386</w:t>
                  </w:r>
                </w:p>
              </w:tc>
              <w:tc>
                <w:tcPr>
                  <w:tcW w:w="372" w:type="pct"/>
                  <w:shd w:val="clear" w:color="auto" w:fill="auto"/>
                  <w:noWrap w:val="0"/>
                  <w:vAlign w:val="center"/>
                </w:tcPr>
                <w:p w14:paraId="291215D6">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0.00077</w:t>
                  </w:r>
                </w:p>
              </w:tc>
              <w:tc>
                <w:tcPr>
                  <w:tcW w:w="313" w:type="pct"/>
                  <w:shd w:val="clear" w:color="auto" w:fill="auto"/>
                  <w:noWrap w:val="0"/>
                  <w:vAlign w:val="center"/>
                </w:tcPr>
                <w:p w14:paraId="4DCD0AC2">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0.0065</w:t>
                  </w:r>
                </w:p>
              </w:tc>
              <w:tc>
                <w:tcPr>
                  <w:tcW w:w="159" w:type="pct"/>
                  <w:vMerge w:val="restart"/>
                  <w:noWrap w:val="0"/>
                  <w:vAlign w:val="center"/>
                </w:tcPr>
                <w:p w14:paraId="0358E4A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8400</w:t>
                  </w:r>
                </w:p>
              </w:tc>
            </w:tr>
            <w:tr w14:paraId="271017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160" w:type="pct"/>
                  <w:vMerge w:val="continue"/>
                  <w:noWrap w:val="0"/>
                  <w:vAlign w:val="center"/>
                </w:tcPr>
                <w:p w14:paraId="0ACB81B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13" w:type="pct"/>
                  <w:vMerge w:val="continue"/>
                  <w:noWrap w:val="0"/>
                  <w:vAlign w:val="center"/>
                </w:tcPr>
                <w:p w14:paraId="5CF9DC3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01" w:type="pct"/>
                  <w:noWrap w:val="0"/>
                  <w:vAlign w:val="center"/>
                </w:tcPr>
                <w:p w14:paraId="510422D4">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硫化氢</w:t>
                  </w:r>
                </w:p>
              </w:tc>
              <w:tc>
                <w:tcPr>
                  <w:tcW w:w="248" w:type="pct"/>
                  <w:vMerge w:val="continue"/>
                  <w:noWrap w:val="0"/>
                  <w:vAlign w:val="center"/>
                </w:tcPr>
                <w:p w14:paraId="74CFA59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36" w:type="pct"/>
                  <w:vMerge w:val="continue"/>
                  <w:noWrap w:val="0"/>
                  <w:vAlign w:val="center"/>
                </w:tcPr>
                <w:p w14:paraId="4201000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84" w:type="pct"/>
                  <w:noWrap w:val="0"/>
                  <w:vAlign w:val="center"/>
                </w:tcPr>
                <w:p w14:paraId="7187088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0.075</w:t>
                  </w:r>
                </w:p>
              </w:tc>
              <w:tc>
                <w:tcPr>
                  <w:tcW w:w="347" w:type="pct"/>
                  <w:noWrap w:val="0"/>
                  <w:vAlign w:val="center"/>
                </w:tcPr>
                <w:p w14:paraId="49090E58">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0.00015</w:t>
                  </w:r>
                </w:p>
              </w:tc>
              <w:tc>
                <w:tcPr>
                  <w:tcW w:w="301" w:type="pct"/>
                  <w:noWrap w:val="0"/>
                  <w:vAlign w:val="center"/>
                </w:tcPr>
                <w:p w14:paraId="28534101">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0.0013</w:t>
                  </w:r>
                </w:p>
              </w:tc>
              <w:tc>
                <w:tcPr>
                  <w:tcW w:w="390" w:type="pct"/>
                  <w:vMerge w:val="continue"/>
                  <w:noWrap w:val="0"/>
                  <w:vAlign w:val="center"/>
                </w:tcPr>
                <w:p w14:paraId="3E55CAE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71" w:type="pct"/>
                  <w:vMerge w:val="continue"/>
                  <w:noWrap w:val="0"/>
                  <w:vAlign w:val="center"/>
                </w:tcPr>
                <w:p w14:paraId="078B4FA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48" w:type="pct"/>
                  <w:vMerge w:val="continue"/>
                  <w:noWrap w:val="0"/>
                  <w:vAlign w:val="center"/>
                </w:tcPr>
                <w:p w14:paraId="6D96EC4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30" w:type="pct"/>
                  <w:vMerge w:val="continue"/>
                  <w:noWrap w:val="0"/>
                  <w:vAlign w:val="center"/>
                </w:tcPr>
                <w:p w14:paraId="4B8B2D3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25" w:type="pct"/>
                  <w:vMerge w:val="continue"/>
                  <w:noWrap w:val="0"/>
                  <w:vAlign w:val="center"/>
                </w:tcPr>
                <w:p w14:paraId="65CEDC1B">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96" w:type="pct"/>
                  <w:shd w:val="clear" w:color="auto" w:fill="auto"/>
                  <w:noWrap w:val="0"/>
                  <w:vAlign w:val="center"/>
                </w:tcPr>
                <w:p w14:paraId="4396295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0.015</w:t>
                  </w:r>
                </w:p>
              </w:tc>
              <w:tc>
                <w:tcPr>
                  <w:tcW w:w="372" w:type="pct"/>
                  <w:shd w:val="clear" w:color="auto" w:fill="auto"/>
                  <w:noWrap w:val="0"/>
                  <w:vAlign w:val="center"/>
                </w:tcPr>
                <w:p w14:paraId="42D11999">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0.00003</w:t>
                  </w:r>
                </w:p>
              </w:tc>
              <w:tc>
                <w:tcPr>
                  <w:tcW w:w="313" w:type="pct"/>
                  <w:shd w:val="clear" w:color="auto" w:fill="auto"/>
                  <w:noWrap w:val="0"/>
                  <w:vAlign w:val="center"/>
                </w:tcPr>
                <w:p w14:paraId="1F9AE932">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0.0003</w:t>
                  </w:r>
                </w:p>
              </w:tc>
              <w:tc>
                <w:tcPr>
                  <w:tcW w:w="159" w:type="pct"/>
                  <w:vMerge w:val="continue"/>
                  <w:noWrap w:val="0"/>
                  <w:vAlign w:val="center"/>
                </w:tcPr>
                <w:p w14:paraId="510F9CC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r>
            <w:tr w14:paraId="40EFC2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160" w:type="pct"/>
                  <w:vMerge w:val="continue"/>
                  <w:noWrap w:val="0"/>
                  <w:vAlign w:val="center"/>
                </w:tcPr>
                <w:p w14:paraId="103271BC">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13" w:type="pct"/>
                  <w:vMerge w:val="restart"/>
                  <w:noWrap w:val="0"/>
                  <w:vAlign w:val="center"/>
                </w:tcPr>
                <w:p w14:paraId="27A5892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无组织</w:t>
                  </w:r>
                </w:p>
              </w:tc>
              <w:tc>
                <w:tcPr>
                  <w:tcW w:w="301" w:type="pct"/>
                  <w:shd w:val="clear" w:color="auto" w:fill="auto"/>
                  <w:noWrap w:val="0"/>
                  <w:vAlign w:val="center"/>
                </w:tcPr>
                <w:p w14:paraId="3EDD2BB8">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default" w:ascii="Times New Roman" w:hAnsi="Times New Roman" w:eastAsia="宋体" w:cs="Times New Roman"/>
                      <w:color w:val="auto"/>
                      <w:spacing w:val="0"/>
                      <w:position w:val="0"/>
                      <w:sz w:val="18"/>
                      <w:szCs w:val="18"/>
                      <w:highlight w:val="none"/>
                      <w:lang w:val="en-US" w:eastAsia="zh-CN"/>
                    </w:rPr>
                    <w:t>氨</w:t>
                  </w:r>
                </w:p>
              </w:tc>
              <w:tc>
                <w:tcPr>
                  <w:tcW w:w="248" w:type="pct"/>
                  <w:vMerge w:val="continue"/>
                  <w:noWrap w:val="0"/>
                  <w:vAlign w:val="center"/>
                </w:tcPr>
                <w:p w14:paraId="751BE93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36" w:type="pct"/>
                  <w:vMerge w:val="restart"/>
                  <w:noWrap w:val="0"/>
                  <w:vAlign w:val="center"/>
                </w:tcPr>
                <w:p w14:paraId="626362F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w:t>
                  </w:r>
                </w:p>
              </w:tc>
              <w:tc>
                <w:tcPr>
                  <w:tcW w:w="384" w:type="pct"/>
                  <w:noWrap w:val="0"/>
                  <w:vAlign w:val="center"/>
                </w:tcPr>
                <w:p w14:paraId="334CEED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w:t>
                  </w:r>
                </w:p>
              </w:tc>
              <w:tc>
                <w:tcPr>
                  <w:tcW w:w="347" w:type="pct"/>
                  <w:noWrap w:val="0"/>
                  <w:vAlign w:val="center"/>
                </w:tcPr>
                <w:p w14:paraId="1D7BF4C1">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0.00043</w:t>
                  </w:r>
                </w:p>
              </w:tc>
              <w:tc>
                <w:tcPr>
                  <w:tcW w:w="301" w:type="pct"/>
                  <w:noWrap w:val="0"/>
                  <w:vAlign w:val="center"/>
                </w:tcPr>
                <w:p w14:paraId="6CA5AEE1">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0.0036</w:t>
                  </w:r>
                </w:p>
              </w:tc>
              <w:tc>
                <w:tcPr>
                  <w:tcW w:w="390" w:type="pct"/>
                  <w:vMerge w:val="restart"/>
                  <w:noWrap w:val="0"/>
                  <w:vAlign w:val="center"/>
                </w:tcPr>
                <w:p w14:paraId="7EE0071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w:t>
                  </w:r>
                </w:p>
              </w:tc>
              <w:tc>
                <w:tcPr>
                  <w:tcW w:w="171" w:type="pct"/>
                  <w:vMerge w:val="restart"/>
                  <w:noWrap w:val="0"/>
                  <w:vAlign w:val="center"/>
                </w:tcPr>
                <w:p w14:paraId="5323D1E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w:t>
                  </w:r>
                </w:p>
              </w:tc>
              <w:tc>
                <w:tcPr>
                  <w:tcW w:w="248" w:type="pct"/>
                  <w:vMerge w:val="restart"/>
                  <w:noWrap w:val="0"/>
                  <w:vAlign w:val="center"/>
                </w:tcPr>
                <w:p w14:paraId="7AF6167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w:t>
                  </w:r>
                </w:p>
              </w:tc>
              <w:tc>
                <w:tcPr>
                  <w:tcW w:w="230" w:type="pct"/>
                  <w:vMerge w:val="continue"/>
                  <w:noWrap w:val="0"/>
                  <w:vAlign w:val="center"/>
                </w:tcPr>
                <w:p w14:paraId="57B4223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25" w:type="pct"/>
                  <w:vMerge w:val="restart"/>
                  <w:noWrap w:val="0"/>
                  <w:vAlign w:val="center"/>
                </w:tcPr>
                <w:p w14:paraId="588C6F67">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w:t>
                  </w:r>
                </w:p>
              </w:tc>
              <w:tc>
                <w:tcPr>
                  <w:tcW w:w="396" w:type="pct"/>
                  <w:shd w:val="clear" w:color="auto" w:fill="auto"/>
                  <w:noWrap w:val="0"/>
                  <w:vAlign w:val="center"/>
                </w:tcPr>
                <w:p w14:paraId="38FF8CD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w:t>
                  </w:r>
                </w:p>
              </w:tc>
              <w:tc>
                <w:tcPr>
                  <w:tcW w:w="372" w:type="pct"/>
                  <w:shd w:val="clear" w:color="auto" w:fill="auto"/>
                  <w:noWrap w:val="0"/>
                  <w:vAlign w:val="center"/>
                </w:tcPr>
                <w:p w14:paraId="45FFB448">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default" w:ascii="Times New Roman" w:hAnsi="Times New Roman" w:cs="Times New Roman"/>
                      <w:color w:val="auto"/>
                      <w:spacing w:val="0"/>
                      <w:position w:val="0"/>
                      <w:sz w:val="18"/>
                      <w:szCs w:val="18"/>
                      <w:highlight w:val="none"/>
                      <w:lang w:val="en-US" w:eastAsia="zh-CN"/>
                    </w:rPr>
                    <w:t>0.00043</w:t>
                  </w:r>
                </w:p>
              </w:tc>
              <w:tc>
                <w:tcPr>
                  <w:tcW w:w="313" w:type="pct"/>
                  <w:shd w:val="clear" w:color="auto" w:fill="auto"/>
                  <w:noWrap w:val="0"/>
                  <w:vAlign w:val="center"/>
                </w:tcPr>
                <w:p w14:paraId="6A14353E">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default" w:ascii="Times New Roman" w:hAnsi="Times New Roman" w:cs="Times New Roman"/>
                      <w:color w:val="auto"/>
                      <w:spacing w:val="0"/>
                      <w:position w:val="0"/>
                      <w:sz w:val="18"/>
                      <w:szCs w:val="18"/>
                      <w:highlight w:val="none"/>
                      <w:lang w:val="en-US" w:eastAsia="zh-CN"/>
                    </w:rPr>
                    <w:t>0.0036</w:t>
                  </w:r>
                </w:p>
              </w:tc>
              <w:tc>
                <w:tcPr>
                  <w:tcW w:w="159" w:type="pct"/>
                  <w:vMerge w:val="continue"/>
                  <w:noWrap w:val="0"/>
                  <w:vAlign w:val="center"/>
                </w:tcPr>
                <w:p w14:paraId="5914662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r>
            <w:tr w14:paraId="65414C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160" w:type="pct"/>
                  <w:vMerge w:val="continue"/>
                  <w:noWrap w:val="0"/>
                  <w:vAlign w:val="center"/>
                </w:tcPr>
                <w:p w14:paraId="507253A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13" w:type="pct"/>
                  <w:vMerge w:val="continue"/>
                  <w:noWrap w:val="0"/>
                  <w:vAlign w:val="center"/>
                </w:tcPr>
                <w:p w14:paraId="2EE779E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01" w:type="pct"/>
                  <w:shd w:val="clear" w:color="auto" w:fill="auto"/>
                  <w:noWrap w:val="0"/>
                  <w:vAlign w:val="center"/>
                </w:tcPr>
                <w:p w14:paraId="6FCFCD79">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default" w:ascii="Times New Roman" w:hAnsi="Times New Roman" w:eastAsia="宋体" w:cs="Times New Roman"/>
                      <w:color w:val="auto"/>
                      <w:spacing w:val="0"/>
                      <w:position w:val="0"/>
                      <w:sz w:val="18"/>
                      <w:szCs w:val="18"/>
                      <w:highlight w:val="none"/>
                      <w:lang w:val="en-US" w:eastAsia="zh-CN"/>
                    </w:rPr>
                    <w:t>硫化氢</w:t>
                  </w:r>
                </w:p>
              </w:tc>
              <w:tc>
                <w:tcPr>
                  <w:tcW w:w="248" w:type="pct"/>
                  <w:vMerge w:val="continue"/>
                  <w:noWrap w:val="0"/>
                  <w:vAlign w:val="center"/>
                </w:tcPr>
                <w:p w14:paraId="50F2147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36" w:type="pct"/>
                  <w:vMerge w:val="continue"/>
                  <w:noWrap w:val="0"/>
                  <w:vAlign w:val="center"/>
                </w:tcPr>
                <w:p w14:paraId="53D06A5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84" w:type="pct"/>
                  <w:noWrap w:val="0"/>
                  <w:vAlign w:val="center"/>
                </w:tcPr>
                <w:p w14:paraId="709E431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w:t>
                  </w:r>
                </w:p>
              </w:tc>
              <w:tc>
                <w:tcPr>
                  <w:tcW w:w="347" w:type="pct"/>
                  <w:noWrap w:val="0"/>
                  <w:vAlign w:val="center"/>
                </w:tcPr>
                <w:p w14:paraId="15176B2F">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0.00002</w:t>
                  </w:r>
                </w:p>
              </w:tc>
              <w:tc>
                <w:tcPr>
                  <w:tcW w:w="301" w:type="pct"/>
                  <w:noWrap w:val="0"/>
                  <w:vAlign w:val="center"/>
                </w:tcPr>
                <w:p w14:paraId="5C0763B1">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0.0001</w:t>
                  </w:r>
                </w:p>
              </w:tc>
              <w:tc>
                <w:tcPr>
                  <w:tcW w:w="390" w:type="pct"/>
                  <w:vMerge w:val="continue"/>
                  <w:noWrap w:val="0"/>
                  <w:vAlign w:val="center"/>
                </w:tcPr>
                <w:p w14:paraId="300B4D5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71" w:type="pct"/>
                  <w:vMerge w:val="continue"/>
                  <w:noWrap w:val="0"/>
                  <w:vAlign w:val="center"/>
                </w:tcPr>
                <w:p w14:paraId="6A932B4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48" w:type="pct"/>
                  <w:vMerge w:val="continue"/>
                  <w:noWrap w:val="0"/>
                  <w:vAlign w:val="center"/>
                </w:tcPr>
                <w:p w14:paraId="091DCC1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30" w:type="pct"/>
                  <w:vMerge w:val="continue"/>
                  <w:noWrap w:val="0"/>
                  <w:vAlign w:val="center"/>
                </w:tcPr>
                <w:p w14:paraId="4ECBA8D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25" w:type="pct"/>
                  <w:vMerge w:val="continue"/>
                  <w:noWrap w:val="0"/>
                  <w:vAlign w:val="center"/>
                </w:tcPr>
                <w:p w14:paraId="3134AD4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96" w:type="pct"/>
                  <w:shd w:val="clear" w:color="auto" w:fill="auto"/>
                  <w:noWrap w:val="0"/>
                  <w:vAlign w:val="center"/>
                </w:tcPr>
                <w:p w14:paraId="652391E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w:t>
                  </w:r>
                </w:p>
              </w:tc>
              <w:tc>
                <w:tcPr>
                  <w:tcW w:w="372" w:type="pct"/>
                  <w:shd w:val="clear" w:color="auto" w:fill="auto"/>
                  <w:noWrap w:val="0"/>
                  <w:vAlign w:val="center"/>
                </w:tcPr>
                <w:p w14:paraId="237DE73D">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default" w:ascii="Times New Roman" w:hAnsi="Times New Roman" w:cs="Times New Roman"/>
                      <w:color w:val="auto"/>
                      <w:spacing w:val="0"/>
                      <w:position w:val="0"/>
                      <w:sz w:val="18"/>
                      <w:szCs w:val="18"/>
                      <w:highlight w:val="none"/>
                      <w:lang w:val="en-US" w:eastAsia="zh-CN"/>
                    </w:rPr>
                    <w:t>0.00002</w:t>
                  </w:r>
                </w:p>
              </w:tc>
              <w:tc>
                <w:tcPr>
                  <w:tcW w:w="313" w:type="pct"/>
                  <w:shd w:val="clear" w:color="auto" w:fill="auto"/>
                  <w:noWrap w:val="0"/>
                  <w:vAlign w:val="center"/>
                </w:tcPr>
                <w:p w14:paraId="308F8FF7">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default" w:ascii="Times New Roman" w:hAnsi="Times New Roman" w:cs="Times New Roman"/>
                      <w:color w:val="auto"/>
                      <w:spacing w:val="0"/>
                      <w:position w:val="0"/>
                      <w:sz w:val="18"/>
                      <w:szCs w:val="18"/>
                      <w:highlight w:val="none"/>
                      <w:lang w:val="en-US" w:eastAsia="zh-CN"/>
                    </w:rPr>
                    <w:t>0.0001</w:t>
                  </w:r>
                </w:p>
              </w:tc>
              <w:tc>
                <w:tcPr>
                  <w:tcW w:w="159" w:type="pct"/>
                  <w:vMerge w:val="continue"/>
                  <w:noWrap w:val="0"/>
                  <w:vAlign w:val="center"/>
                </w:tcPr>
                <w:p w14:paraId="1EC98A3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r>
            <w:tr w14:paraId="4A614B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160" w:type="pct"/>
                  <w:noWrap w:val="0"/>
                  <w:vAlign w:val="center"/>
                </w:tcPr>
                <w:p w14:paraId="7DDB3E0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溶剂油储罐</w:t>
                  </w:r>
                </w:p>
              </w:tc>
              <w:tc>
                <w:tcPr>
                  <w:tcW w:w="313" w:type="pct"/>
                  <w:noWrap w:val="0"/>
                  <w:vAlign w:val="center"/>
                </w:tcPr>
                <w:p w14:paraId="68B461D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无组织</w:t>
                  </w:r>
                </w:p>
              </w:tc>
              <w:tc>
                <w:tcPr>
                  <w:tcW w:w="301" w:type="pct"/>
                  <w:noWrap w:val="0"/>
                  <w:vAlign w:val="center"/>
                </w:tcPr>
                <w:p w14:paraId="44DFCB13">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非甲烷总烃</w:t>
                  </w:r>
                </w:p>
              </w:tc>
              <w:tc>
                <w:tcPr>
                  <w:tcW w:w="248" w:type="pct"/>
                  <w:noWrap w:val="0"/>
                  <w:vAlign w:val="center"/>
                </w:tcPr>
                <w:p w14:paraId="32111B1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物料衡算</w:t>
                  </w:r>
                </w:p>
              </w:tc>
              <w:tc>
                <w:tcPr>
                  <w:tcW w:w="336" w:type="pct"/>
                  <w:noWrap w:val="0"/>
                  <w:vAlign w:val="center"/>
                </w:tcPr>
                <w:p w14:paraId="0AEB126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w:t>
                  </w:r>
                </w:p>
              </w:tc>
              <w:tc>
                <w:tcPr>
                  <w:tcW w:w="384" w:type="pct"/>
                  <w:noWrap w:val="0"/>
                  <w:vAlign w:val="center"/>
                </w:tcPr>
                <w:p w14:paraId="0708AA8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w:t>
                  </w:r>
                </w:p>
              </w:tc>
              <w:tc>
                <w:tcPr>
                  <w:tcW w:w="347" w:type="pct"/>
                  <w:noWrap w:val="0"/>
                  <w:vAlign w:val="center"/>
                </w:tcPr>
                <w:p w14:paraId="3B29B54D">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0.0008</w:t>
                  </w:r>
                </w:p>
              </w:tc>
              <w:tc>
                <w:tcPr>
                  <w:tcW w:w="301" w:type="pct"/>
                  <w:noWrap w:val="0"/>
                  <w:vAlign w:val="center"/>
                </w:tcPr>
                <w:p w14:paraId="000BA564">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0.0066</w:t>
                  </w:r>
                </w:p>
              </w:tc>
              <w:tc>
                <w:tcPr>
                  <w:tcW w:w="390" w:type="pct"/>
                  <w:noWrap w:val="0"/>
                  <w:vAlign w:val="center"/>
                </w:tcPr>
                <w:p w14:paraId="6A42E26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大呼吸设气相平衡管</w:t>
                  </w:r>
                </w:p>
              </w:tc>
              <w:tc>
                <w:tcPr>
                  <w:tcW w:w="171" w:type="pct"/>
                  <w:noWrap w:val="0"/>
                  <w:vAlign w:val="center"/>
                </w:tcPr>
                <w:p w14:paraId="750310B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90</w:t>
                  </w:r>
                </w:p>
              </w:tc>
              <w:tc>
                <w:tcPr>
                  <w:tcW w:w="248" w:type="pct"/>
                  <w:noWrap w:val="0"/>
                  <w:vAlign w:val="center"/>
                </w:tcPr>
                <w:p w14:paraId="2A2AD51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eastAsia="zh-CN"/>
                    </w:rPr>
                  </w:pPr>
                  <w:r>
                    <w:rPr>
                      <w:rFonts w:hint="default" w:ascii="Times New Roman" w:hAnsi="Times New Roman" w:eastAsia="宋体" w:cs="Times New Roman"/>
                      <w:color w:val="auto"/>
                      <w:spacing w:val="0"/>
                      <w:position w:val="0"/>
                      <w:sz w:val="18"/>
                      <w:szCs w:val="18"/>
                      <w:highlight w:val="none"/>
                      <w:lang w:eastAsia="zh-CN"/>
                    </w:rPr>
                    <w:t>是</w:t>
                  </w:r>
                </w:p>
              </w:tc>
              <w:tc>
                <w:tcPr>
                  <w:tcW w:w="230" w:type="pct"/>
                  <w:noWrap w:val="0"/>
                  <w:vAlign w:val="center"/>
                </w:tcPr>
                <w:p w14:paraId="359D941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物料衡算法</w:t>
                  </w:r>
                </w:p>
              </w:tc>
              <w:tc>
                <w:tcPr>
                  <w:tcW w:w="325" w:type="pct"/>
                  <w:noWrap w:val="0"/>
                  <w:vAlign w:val="center"/>
                </w:tcPr>
                <w:p w14:paraId="43FB59D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w:t>
                  </w:r>
                </w:p>
              </w:tc>
              <w:tc>
                <w:tcPr>
                  <w:tcW w:w="396" w:type="pct"/>
                  <w:shd w:val="clear" w:color="auto" w:fill="auto"/>
                  <w:noWrap w:val="0"/>
                  <w:vAlign w:val="center"/>
                </w:tcPr>
                <w:p w14:paraId="697553D2">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w:t>
                  </w:r>
                </w:p>
              </w:tc>
              <w:tc>
                <w:tcPr>
                  <w:tcW w:w="372" w:type="pct"/>
                  <w:shd w:val="clear" w:color="auto" w:fill="auto"/>
                  <w:noWrap w:val="0"/>
                  <w:vAlign w:val="center"/>
                </w:tcPr>
                <w:p w14:paraId="3DBC9AD5">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0.00024</w:t>
                  </w:r>
                </w:p>
              </w:tc>
              <w:tc>
                <w:tcPr>
                  <w:tcW w:w="313" w:type="pct"/>
                  <w:shd w:val="clear" w:color="auto" w:fill="auto"/>
                  <w:noWrap w:val="0"/>
                  <w:vAlign w:val="center"/>
                </w:tcPr>
                <w:p w14:paraId="164CB8ED">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pacing w:val="0"/>
                      <w:position w:val="0"/>
                      <w:sz w:val="18"/>
                      <w:szCs w:val="18"/>
                      <w:highlight w:val="none"/>
                      <w:lang w:val="en-US" w:eastAsia="zh-CN"/>
                    </w:rPr>
                  </w:pPr>
                  <w:r>
                    <w:rPr>
                      <w:rFonts w:hint="default" w:ascii="Times New Roman" w:hAnsi="Times New Roman" w:cs="Times New Roman"/>
                      <w:color w:val="auto"/>
                      <w:spacing w:val="0"/>
                      <w:position w:val="0"/>
                      <w:sz w:val="18"/>
                      <w:szCs w:val="18"/>
                      <w:highlight w:val="none"/>
                      <w:lang w:val="en-US" w:eastAsia="zh-CN"/>
                    </w:rPr>
                    <w:t>0.002</w:t>
                  </w:r>
                </w:p>
              </w:tc>
              <w:tc>
                <w:tcPr>
                  <w:tcW w:w="159" w:type="pct"/>
                  <w:noWrap w:val="0"/>
                  <w:vAlign w:val="center"/>
                </w:tcPr>
                <w:p w14:paraId="02E3785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8400</w:t>
                  </w:r>
                </w:p>
              </w:tc>
            </w:tr>
          </w:tbl>
          <w:p w14:paraId="7E3D7949">
            <w:pPr>
              <w:pStyle w:val="26"/>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auto"/>
                <w:spacing w:val="0"/>
                <w:position w:val="0"/>
                <w:highlight w:val="none"/>
              </w:rPr>
            </w:pPr>
          </w:p>
        </w:tc>
      </w:tr>
    </w:tbl>
    <w:p w14:paraId="681B34EF">
      <w:pPr>
        <w:pStyle w:val="8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sectPr>
          <w:pgSz w:w="16840" w:h="11907" w:orient="landscape"/>
          <w:pgMar w:top="1531" w:right="1701" w:bottom="1531" w:left="2127" w:header="851" w:footer="851" w:gutter="0"/>
          <w:pgBorders>
            <w:top w:val="none" w:sz="0" w:space="0"/>
            <w:left w:val="none" w:sz="0" w:space="0"/>
            <w:bottom w:val="none" w:sz="0" w:space="0"/>
            <w:right w:val="none" w:sz="0" w:space="0"/>
          </w:pgBorders>
          <w:pgNumType w:fmt="numberInDash"/>
          <w:cols w:space="720" w:num="1"/>
          <w:docGrid w:linePitch="312" w:charSpace="0"/>
        </w:sectPr>
      </w:pPr>
    </w:p>
    <w:tbl>
      <w:tblPr>
        <w:tblStyle w:val="29"/>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18"/>
        <w:gridCol w:w="8563"/>
      </w:tblGrid>
      <w:tr w14:paraId="79F2CA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8" w:type="dxa"/>
            <w:noWrap w:val="0"/>
            <w:tcMar>
              <w:left w:w="28" w:type="dxa"/>
              <w:right w:w="28" w:type="dxa"/>
            </w:tcMar>
            <w:vAlign w:val="center"/>
          </w:tcPr>
          <w:p w14:paraId="777930D8">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pacing w:val="0"/>
                <w:position w:val="0"/>
                <w:szCs w:val="21"/>
                <w:highlight w:val="none"/>
              </w:rPr>
            </w:pPr>
            <w:r>
              <w:rPr>
                <w:rFonts w:hint="default" w:ascii="Times New Roman" w:hAnsi="Times New Roman" w:eastAsia="宋体" w:cs="Times New Roman"/>
                <w:bCs/>
                <w:color w:val="auto"/>
                <w:spacing w:val="0"/>
                <w:position w:val="0"/>
                <w:szCs w:val="21"/>
                <w:highlight w:val="none"/>
              </w:rPr>
              <w:t>运营</w:t>
            </w:r>
          </w:p>
          <w:p w14:paraId="6858AC84">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pacing w:val="0"/>
                <w:position w:val="0"/>
                <w:szCs w:val="21"/>
                <w:highlight w:val="none"/>
              </w:rPr>
            </w:pPr>
            <w:r>
              <w:rPr>
                <w:rFonts w:hint="default" w:ascii="Times New Roman" w:hAnsi="Times New Roman" w:eastAsia="宋体" w:cs="Times New Roman"/>
                <w:bCs/>
                <w:color w:val="auto"/>
                <w:spacing w:val="0"/>
                <w:position w:val="0"/>
                <w:szCs w:val="21"/>
                <w:highlight w:val="none"/>
              </w:rPr>
              <w:t>期环</w:t>
            </w:r>
          </w:p>
          <w:p w14:paraId="5E725876">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pacing w:val="0"/>
                <w:position w:val="0"/>
                <w:szCs w:val="21"/>
                <w:highlight w:val="none"/>
              </w:rPr>
            </w:pPr>
            <w:r>
              <w:rPr>
                <w:rFonts w:hint="default" w:ascii="Times New Roman" w:hAnsi="Times New Roman" w:eastAsia="宋体" w:cs="Times New Roman"/>
                <w:bCs/>
                <w:color w:val="auto"/>
                <w:spacing w:val="0"/>
                <w:position w:val="0"/>
                <w:szCs w:val="21"/>
                <w:highlight w:val="none"/>
              </w:rPr>
              <w:t>境影</w:t>
            </w:r>
          </w:p>
          <w:p w14:paraId="1EE90659">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pacing w:val="0"/>
                <w:position w:val="0"/>
                <w:szCs w:val="21"/>
                <w:highlight w:val="none"/>
              </w:rPr>
            </w:pPr>
            <w:r>
              <w:rPr>
                <w:rFonts w:hint="default" w:ascii="Times New Roman" w:hAnsi="Times New Roman" w:eastAsia="宋体" w:cs="Times New Roman"/>
                <w:bCs/>
                <w:color w:val="auto"/>
                <w:spacing w:val="0"/>
                <w:position w:val="0"/>
                <w:szCs w:val="21"/>
                <w:highlight w:val="none"/>
              </w:rPr>
              <w:t>响和</w:t>
            </w:r>
          </w:p>
          <w:p w14:paraId="5D0D1835">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pacing w:val="0"/>
                <w:position w:val="0"/>
                <w:szCs w:val="21"/>
                <w:highlight w:val="none"/>
              </w:rPr>
            </w:pPr>
            <w:r>
              <w:rPr>
                <w:rFonts w:hint="default" w:ascii="Times New Roman" w:hAnsi="Times New Roman" w:eastAsia="宋体" w:cs="Times New Roman"/>
                <w:bCs/>
                <w:color w:val="auto"/>
                <w:spacing w:val="0"/>
                <w:position w:val="0"/>
                <w:szCs w:val="21"/>
                <w:highlight w:val="none"/>
              </w:rPr>
              <w:t>保护</w:t>
            </w:r>
          </w:p>
          <w:p w14:paraId="17385CF9">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pacing w:val="0"/>
                <w:position w:val="0"/>
                <w:szCs w:val="21"/>
                <w:highlight w:val="none"/>
              </w:rPr>
            </w:pPr>
            <w:r>
              <w:rPr>
                <w:rFonts w:hint="default" w:ascii="Times New Roman" w:hAnsi="Times New Roman" w:eastAsia="宋体" w:cs="Times New Roman"/>
                <w:bCs/>
                <w:color w:val="auto"/>
                <w:spacing w:val="0"/>
                <w:position w:val="0"/>
                <w:szCs w:val="21"/>
                <w:highlight w:val="none"/>
              </w:rPr>
              <w:t>措施</w:t>
            </w:r>
          </w:p>
        </w:tc>
        <w:tc>
          <w:tcPr>
            <w:tcW w:w="8563" w:type="dxa"/>
            <w:noWrap w:val="0"/>
            <w:vAlign w:val="center"/>
          </w:tcPr>
          <w:p w14:paraId="250F9BD9">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2、废气污染物排放源强</w:t>
            </w:r>
          </w:p>
          <w:p w14:paraId="719BDD48">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（1）预处理工序粉尘（G1）</w:t>
            </w:r>
          </w:p>
          <w:p w14:paraId="08CA7DD5">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rPr>
              <w:t>本项目</w:t>
            </w:r>
            <w:r>
              <w:rPr>
                <w:rFonts w:hint="default" w:ascii="Times New Roman" w:hAnsi="Times New Roman" w:cs="Times New Roman"/>
                <w:color w:val="auto"/>
                <w:spacing w:val="0"/>
                <w:position w:val="0"/>
                <w:sz w:val="24"/>
                <w:szCs w:val="24"/>
                <w:highlight w:val="none"/>
                <w:lang w:val="en-US" w:eastAsia="zh-CN"/>
              </w:rPr>
              <w:t>米糠</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大豆在预处理车间进行清理分级时会产生</w:t>
            </w:r>
            <w:r>
              <w:rPr>
                <w:rFonts w:hint="default" w:ascii="Times New Roman" w:hAnsi="Times New Roman" w:cs="Times New Roman"/>
                <w:color w:val="auto"/>
                <w:spacing w:val="0"/>
                <w:position w:val="0"/>
                <w:sz w:val="24"/>
                <w:szCs w:val="24"/>
                <w:highlight w:val="none"/>
                <w:lang w:val="en-US" w:eastAsia="zh-CN"/>
              </w:rPr>
              <w:t>粉尘</w:t>
            </w:r>
            <w:r>
              <w:rPr>
                <w:rFonts w:hint="default" w:ascii="Times New Roman" w:hAnsi="Times New Roman" w:eastAsia="宋体" w:cs="Times New Roman"/>
                <w:color w:val="auto"/>
                <w:spacing w:val="0"/>
                <w:position w:val="0"/>
                <w:sz w:val="24"/>
                <w:szCs w:val="24"/>
                <w:highlight w:val="none"/>
              </w:rPr>
              <w:t>，根据《逸散性工业粉尘控制技术（中国环境科学出版社）》，</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第五章 谷物贮存</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中</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过筛和清理</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的逸散尘排放因子为0.1kg/t（过筛和清理料）。</w:t>
            </w:r>
            <w:r>
              <w:rPr>
                <w:rFonts w:hint="default" w:ascii="Times New Roman" w:hAnsi="Times New Roman" w:cs="Times New Roman"/>
                <w:color w:val="auto"/>
                <w:spacing w:val="0"/>
                <w:position w:val="0"/>
                <w:sz w:val="24"/>
                <w:szCs w:val="24"/>
                <w:highlight w:val="none"/>
                <w:lang w:val="en-US" w:eastAsia="zh-CN"/>
              </w:rPr>
              <w:t>本项目年清理100000t米糠和30000t大豆，则粉尘产生量为13t/a。</w:t>
            </w:r>
          </w:p>
          <w:p w14:paraId="52118A03">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本项目米糠膨化后烘干会产生粉尘，根据《逸散性工业粉尘控制技术（中国环境科学出版社）》，“第五章 谷物贮存”中“干燥”的逸散尘排放因子为0.1kg/t（干燥料）。本项目年加工米糠100000t/a，烘干后物料相较于烘干前变化量较小，因此烘干后物料仍按100000t计，则粉尘产生量为10t/a，</w:t>
            </w:r>
          </w:p>
          <w:p w14:paraId="2DED1896">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企业在清理工段、平板烘干机上方设置</w:t>
            </w:r>
            <w:r>
              <w:rPr>
                <w:rFonts w:hint="default" w:ascii="Times New Roman" w:hAnsi="Times New Roman" w:cs="Times New Roman"/>
                <w:color w:val="auto"/>
                <w:spacing w:val="0"/>
                <w:position w:val="0"/>
                <w:sz w:val="24"/>
                <w:szCs w:val="24"/>
                <w:highlight w:val="none"/>
                <w:lang w:eastAsia="zh-CN"/>
              </w:rPr>
              <w:t>集气装置</w:t>
            </w:r>
            <w:r>
              <w:rPr>
                <w:rFonts w:hint="default" w:ascii="Times New Roman" w:hAnsi="Times New Roman" w:eastAsia="宋体" w:cs="Times New Roman"/>
                <w:color w:val="auto"/>
                <w:spacing w:val="0"/>
                <w:position w:val="0"/>
                <w:sz w:val="24"/>
                <w:szCs w:val="24"/>
                <w:highlight w:val="none"/>
              </w:rPr>
              <w:t>，经收集的废气经袋式除尘器处理后经1根</w:t>
            </w:r>
            <w:r>
              <w:rPr>
                <w:rFonts w:hint="default" w:ascii="Times New Roman" w:hAnsi="Times New Roman" w:cs="Times New Roman"/>
                <w:color w:val="auto"/>
                <w:spacing w:val="0"/>
                <w:position w:val="0"/>
                <w:sz w:val="24"/>
                <w:szCs w:val="24"/>
                <w:highlight w:val="none"/>
                <w:lang w:val="en-US" w:eastAsia="zh-CN"/>
              </w:rPr>
              <w:t>15</w:t>
            </w:r>
            <w:r>
              <w:rPr>
                <w:rFonts w:hint="default" w:ascii="Times New Roman" w:hAnsi="Times New Roman" w:eastAsia="宋体" w:cs="Times New Roman"/>
                <w:color w:val="auto"/>
                <w:spacing w:val="0"/>
                <w:position w:val="0"/>
                <w:sz w:val="24"/>
                <w:szCs w:val="24"/>
                <w:highlight w:val="none"/>
              </w:rPr>
              <w:t>m高排气筒排放（DA001）；本项目预处理车间年运行时间为</w:t>
            </w:r>
            <w:r>
              <w:rPr>
                <w:rFonts w:hint="default" w:ascii="Times New Roman" w:hAnsi="Times New Roman" w:cs="Times New Roman"/>
                <w:color w:val="auto"/>
                <w:spacing w:val="0"/>
                <w:position w:val="0"/>
                <w:sz w:val="24"/>
                <w:szCs w:val="24"/>
                <w:highlight w:val="none"/>
                <w:lang w:val="en-US" w:eastAsia="zh-CN"/>
              </w:rPr>
              <w:t>8400</w:t>
            </w:r>
            <w:r>
              <w:rPr>
                <w:rFonts w:hint="default" w:ascii="Times New Roman" w:hAnsi="Times New Roman" w:eastAsia="宋体" w:cs="Times New Roman"/>
                <w:color w:val="auto"/>
                <w:spacing w:val="0"/>
                <w:position w:val="0"/>
                <w:sz w:val="24"/>
                <w:szCs w:val="24"/>
                <w:highlight w:val="none"/>
              </w:rPr>
              <w:t>h，</w:t>
            </w:r>
            <w:r>
              <w:rPr>
                <w:rFonts w:hint="default" w:ascii="Times New Roman" w:hAnsi="Times New Roman" w:cs="Times New Roman"/>
                <w:color w:val="auto"/>
                <w:spacing w:val="0"/>
                <w:position w:val="0"/>
                <w:sz w:val="24"/>
                <w:szCs w:val="24"/>
                <w:highlight w:val="none"/>
                <w:lang w:eastAsia="zh-CN"/>
              </w:rPr>
              <w:t>集气装置</w:t>
            </w:r>
            <w:r>
              <w:rPr>
                <w:rFonts w:hint="default" w:ascii="Times New Roman" w:hAnsi="Times New Roman" w:eastAsia="宋体" w:cs="Times New Roman"/>
                <w:color w:val="auto"/>
                <w:spacing w:val="0"/>
                <w:position w:val="0"/>
                <w:sz w:val="24"/>
                <w:szCs w:val="24"/>
                <w:highlight w:val="none"/>
              </w:rPr>
              <w:t>收集效率为90%，除尘效率为99%，风机风量为</w:t>
            </w:r>
            <w:r>
              <w:rPr>
                <w:rFonts w:hint="default" w:ascii="Times New Roman" w:hAnsi="Times New Roman" w:cs="Times New Roman"/>
                <w:color w:val="auto"/>
                <w:spacing w:val="0"/>
                <w:position w:val="0"/>
                <w:sz w:val="24"/>
                <w:szCs w:val="24"/>
                <w:highlight w:val="none"/>
                <w:lang w:val="en-US" w:eastAsia="zh-CN"/>
              </w:rPr>
              <w:t>10</w:t>
            </w:r>
            <w:r>
              <w:rPr>
                <w:rFonts w:hint="default" w:ascii="Times New Roman" w:hAnsi="Times New Roman" w:eastAsia="宋体" w:cs="Times New Roman"/>
                <w:color w:val="auto"/>
                <w:spacing w:val="0"/>
                <w:position w:val="0"/>
                <w:sz w:val="24"/>
                <w:szCs w:val="24"/>
                <w:highlight w:val="none"/>
              </w:rPr>
              <w:t>000m</w:t>
            </w:r>
            <w:r>
              <w:rPr>
                <w:rFonts w:hint="default" w:ascii="Times New Roman" w:hAnsi="Times New Roman" w:eastAsia="宋体" w:cs="Times New Roman"/>
                <w:color w:val="auto"/>
                <w:spacing w:val="0"/>
                <w:position w:val="0"/>
                <w:sz w:val="24"/>
                <w:szCs w:val="24"/>
                <w:highlight w:val="none"/>
                <w:vertAlign w:val="superscript"/>
              </w:rPr>
              <w:t>3</w:t>
            </w:r>
            <w:r>
              <w:rPr>
                <w:rFonts w:hint="default" w:ascii="Times New Roman" w:hAnsi="Times New Roman" w:eastAsia="宋体" w:cs="Times New Roman"/>
                <w:color w:val="auto"/>
                <w:spacing w:val="0"/>
                <w:position w:val="0"/>
                <w:sz w:val="24"/>
                <w:szCs w:val="24"/>
                <w:highlight w:val="none"/>
              </w:rPr>
              <w:t>/h。</w:t>
            </w:r>
          </w:p>
          <w:p w14:paraId="45B78546">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经计算，</w:t>
            </w:r>
            <w:r>
              <w:rPr>
                <w:rFonts w:hint="default" w:ascii="Times New Roman" w:hAnsi="Times New Roman" w:eastAsia="宋体" w:cs="Times New Roman"/>
                <w:color w:val="auto"/>
                <w:spacing w:val="0"/>
                <w:position w:val="0"/>
                <w:sz w:val="24"/>
                <w:szCs w:val="24"/>
                <w:highlight w:val="none"/>
              </w:rPr>
              <w:t>预处理车间</w:t>
            </w:r>
            <w:r>
              <w:rPr>
                <w:rFonts w:hint="default" w:ascii="Times New Roman" w:hAnsi="Times New Roman" w:cs="Times New Roman"/>
                <w:color w:val="auto"/>
                <w:spacing w:val="0"/>
                <w:position w:val="0"/>
                <w:sz w:val="24"/>
                <w:szCs w:val="24"/>
                <w:highlight w:val="none"/>
                <w:lang w:val="en-US" w:eastAsia="zh-CN"/>
              </w:rPr>
              <w:t>有组织</w:t>
            </w:r>
            <w:r>
              <w:rPr>
                <w:rFonts w:hint="default" w:ascii="Times New Roman" w:hAnsi="Times New Roman" w:eastAsia="宋体" w:cs="Times New Roman"/>
                <w:color w:val="auto"/>
                <w:spacing w:val="0"/>
                <w:position w:val="0"/>
                <w:sz w:val="24"/>
                <w:szCs w:val="24"/>
                <w:highlight w:val="none"/>
              </w:rPr>
              <w:t>废气产生量</w:t>
            </w:r>
            <w:r>
              <w:rPr>
                <w:rFonts w:hint="default" w:ascii="Times New Roman" w:hAnsi="Times New Roman" w:cs="Times New Roman"/>
                <w:color w:val="auto"/>
                <w:spacing w:val="0"/>
                <w:position w:val="0"/>
                <w:sz w:val="24"/>
                <w:szCs w:val="24"/>
                <w:highlight w:val="none"/>
                <w:lang w:val="en-US" w:eastAsia="zh-CN"/>
              </w:rPr>
              <w:t>为</w:t>
            </w:r>
            <w:r>
              <w:rPr>
                <w:rFonts w:hint="default" w:ascii="Times New Roman" w:hAnsi="Times New Roman" w:eastAsia="宋体" w:cs="Times New Roman"/>
                <w:color w:val="auto"/>
                <w:spacing w:val="0"/>
                <w:position w:val="0"/>
                <w:sz w:val="24"/>
                <w:szCs w:val="24"/>
                <w:highlight w:val="none"/>
              </w:rPr>
              <w:t>2</w:t>
            </w:r>
            <w:r>
              <w:rPr>
                <w:rFonts w:hint="default" w:ascii="Times New Roman" w:hAnsi="Times New Roman" w:cs="Times New Roman"/>
                <w:color w:val="auto"/>
                <w:spacing w:val="0"/>
                <w:position w:val="0"/>
                <w:sz w:val="24"/>
                <w:szCs w:val="24"/>
                <w:highlight w:val="none"/>
                <w:lang w:val="en-US" w:eastAsia="zh-CN"/>
              </w:rPr>
              <w:t>0</w:t>
            </w:r>
            <w:r>
              <w:rPr>
                <w:rFonts w:hint="default" w:ascii="Times New Roman" w:hAnsi="Times New Roman" w:eastAsia="宋体" w:cs="Times New Roman"/>
                <w:color w:val="auto"/>
                <w:spacing w:val="0"/>
                <w:position w:val="0"/>
                <w:sz w:val="24"/>
                <w:szCs w:val="24"/>
                <w:highlight w:val="none"/>
              </w:rPr>
              <w:t>.7t/a、产生速率</w:t>
            </w:r>
            <w:r>
              <w:rPr>
                <w:rFonts w:hint="default" w:ascii="Times New Roman" w:hAnsi="Times New Roman" w:cs="Times New Roman"/>
                <w:color w:val="auto"/>
                <w:spacing w:val="0"/>
                <w:position w:val="0"/>
                <w:sz w:val="24"/>
                <w:szCs w:val="24"/>
                <w:highlight w:val="none"/>
                <w:lang w:val="en-US" w:eastAsia="zh-CN"/>
              </w:rPr>
              <w:t>2.464</w:t>
            </w:r>
            <w:r>
              <w:rPr>
                <w:rFonts w:hint="default" w:ascii="Times New Roman" w:hAnsi="Times New Roman" w:eastAsia="宋体" w:cs="Times New Roman"/>
                <w:color w:val="auto"/>
                <w:spacing w:val="0"/>
                <w:position w:val="0"/>
                <w:sz w:val="24"/>
                <w:szCs w:val="24"/>
                <w:highlight w:val="none"/>
              </w:rPr>
              <w:t>kg/h、产生浓度</w:t>
            </w:r>
            <w:r>
              <w:rPr>
                <w:rFonts w:hint="default" w:ascii="Times New Roman" w:hAnsi="Times New Roman" w:cs="Times New Roman"/>
                <w:color w:val="auto"/>
                <w:spacing w:val="0"/>
                <w:position w:val="0"/>
                <w:sz w:val="24"/>
                <w:szCs w:val="24"/>
                <w:highlight w:val="none"/>
                <w:lang w:val="en-US" w:eastAsia="zh-CN"/>
              </w:rPr>
              <w:t>246.429</w:t>
            </w:r>
            <w:r>
              <w:rPr>
                <w:rFonts w:hint="default" w:ascii="Times New Roman" w:hAnsi="Times New Roman" w:eastAsia="宋体" w:cs="Times New Roman"/>
                <w:color w:val="auto"/>
                <w:spacing w:val="0"/>
                <w:position w:val="0"/>
                <w:sz w:val="24"/>
                <w:szCs w:val="24"/>
                <w:highlight w:val="none"/>
              </w:rPr>
              <w:t>mg/m</w:t>
            </w:r>
            <w:r>
              <w:rPr>
                <w:rFonts w:hint="default" w:ascii="Times New Roman" w:hAnsi="Times New Roman" w:eastAsia="宋体" w:cs="Times New Roman"/>
                <w:color w:val="auto"/>
                <w:spacing w:val="0"/>
                <w:position w:val="0"/>
                <w:sz w:val="24"/>
                <w:szCs w:val="24"/>
                <w:highlight w:val="none"/>
                <w:vertAlign w:val="superscript"/>
              </w:rPr>
              <w:t>3</w:t>
            </w:r>
            <w:r>
              <w:rPr>
                <w:rFonts w:hint="default" w:ascii="Times New Roman" w:hAnsi="Times New Roman" w:eastAsia="宋体" w:cs="Times New Roman"/>
                <w:color w:val="auto"/>
                <w:spacing w:val="0"/>
                <w:position w:val="0"/>
                <w:sz w:val="24"/>
                <w:szCs w:val="24"/>
                <w:highlight w:val="none"/>
              </w:rPr>
              <w:t>，经布袋除尘器（去除效率99%）处理后</w:t>
            </w:r>
            <w:r>
              <w:rPr>
                <w:rFonts w:hint="default" w:ascii="Times New Roman" w:hAnsi="Times New Roman" w:cs="Times New Roman"/>
                <w:color w:val="auto"/>
                <w:spacing w:val="0"/>
                <w:position w:val="0"/>
                <w:sz w:val="24"/>
                <w:szCs w:val="24"/>
                <w:highlight w:val="none"/>
                <w:lang w:val="en-US" w:eastAsia="zh-CN"/>
              </w:rPr>
              <w:t>预处理车间</w:t>
            </w:r>
            <w:r>
              <w:rPr>
                <w:rFonts w:hint="default" w:ascii="Times New Roman" w:hAnsi="Times New Roman" w:eastAsia="宋体" w:cs="Times New Roman"/>
                <w:color w:val="auto"/>
                <w:spacing w:val="0"/>
                <w:position w:val="0"/>
                <w:sz w:val="24"/>
                <w:szCs w:val="24"/>
                <w:highlight w:val="none"/>
              </w:rPr>
              <w:t>有组织废气排放量为0.</w:t>
            </w:r>
            <w:r>
              <w:rPr>
                <w:rFonts w:hint="default" w:ascii="Times New Roman" w:hAnsi="Times New Roman" w:cs="Times New Roman"/>
                <w:color w:val="auto"/>
                <w:spacing w:val="0"/>
                <w:position w:val="0"/>
                <w:sz w:val="24"/>
                <w:szCs w:val="24"/>
                <w:highlight w:val="none"/>
                <w:lang w:val="en-US" w:eastAsia="zh-CN"/>
              </w:rPr>
              <w:t>207</w:t>
            </w:r>
            <w:r>
              <w:rPr>
                <w:rFonts w:hint="default" w:ascii="Times New Roman" w:hAnsi="Times New Roman" w:eastAsia="宋体" w:cs="Times New Roman"/>
                <w:color w:val="auto"/>
                <w:spacing w:val="0"/>
                <w:position w:val="0"/>
                <w:sz w:val="24"/>
                <w:szCs w:val="24"/>
                <w:highlight w:val="none"/>
              </w:rPr>
              <w:t>t/a、排放速率0.0</w:t>
            </w:r>
            <w:r>
              <w:rPr>
                <w:rFonts w:hint="default" w:ascii="Times New Roman" w:hAnsi="Times New Roman" w:cs="Times New Roman"/>
                <w:color w:val="auto"/>
                <w:spacing w:val="0"/>
                <w:position w:val="0"/>
                <w:sz w:val="24"/>
                <w:szCs w:val="24"/>
                <w:highlight w:val="none"/>
                <w:lang w:val="en-US" w:eastAsia="zh-CN"/>
              </w:rPr>
              <w:t>25</w:t>
            </w:r>
            <w:r>
              <w:rPr>
                <w:rFonts w:hint="default" w:ascii="Times New Roman" w:hAnsi="Times New Roman" w:eastAsia="宋体" w:cs="Times New Roman"/>
                <w:color w:val="auto"/>
                <w:spacing w:val="0"/>
                <w:position w:val="0"/>
                <w:sz w:val="24"/>
                <w:szCs w:val="24"/>
                <w:highlight w:val="none"/>
              </w:rPr>
              <w:t>kg/h、排放浓度</w:t>
            </w:r>
            <w:r>
              <w:rPr>
                <w:rFonts w:hint="default" w:ascii="Times New Roman" w:hAnsi="Times New Roman" w:cs="Times New Roman"/>
                <w:color w:val="auto"/>
                <w:spacing w:val="0"/>
                <w:position w:val="0"/>
                <w:sz w:val="24"/>
                <w:szCs w:val="24"/>
                <w:highlight w:val="none"/>
                <w:lang w:val="en-US" w:eastAsia="zh-CN"/>
              </w:rPr>
              <w:t>2.464</w:t>
            </w:r>
            <w:r>
              <w:rPr>
                <w:rFonts w:hint="default" w:ascii="Times New Roman" w:hAnsi="Times New Roman" w:eastAsia="宋体" w:cs="Times New Roman"/>
                <w:color w:val="auto"/>
                <w:spacing w:val="0"/>
                <w:position w:val="0"/>
                <w:sz w:val="24"/>
                <w:szCs w:val="24"/>
                <w:highlight w:val="none"/>
              </w:rPr>
              <w:t>mg/m</w:t>
            </w:r>
            <w:r>
              <w:rPr>
                <w:rFonts w:hint="default" w:ascii="Times New Roman" w:hAnsi="Times New Roman" w:eastAsia="宋体" w:cs="Times New Roman"/>
                <w:color w:val="auto"/>
                <w:spacing w:val="0"/>
                <w:position w:val="0"/>
                <w:sz w:val="24"/>
                <w:szCs w:val="24"/>
                <w:highlight w:val="none"/>
                <w:vertAlign w:val="superscript"/>
              </w:rPr>
              <w:t>3</w:t>
            </w:r>
            <w:r>
              <w:rPr>
                <w:rFonts w:hint="default" w:ascii="Times New Roman" w:hAnsi="Times New Roman" w:eastAsia="宋体" w:cs="Times New Roman"/>
                <w:color w:val="auto"/>
                <w:spacing w:val="0"/>
                <w:position w:val="0"/>
                <w:sz w:val="24"/>
                <w:szCs w:val="24"/>
                <w:highlight w:val="none"/>
              </w:rPr>
              <w:t>；无组织废气</w:t>
            </w:r>
            <w:r>
              <w:rPr>
                <w:rFonts w:hint="default" w:ascii="Times New Roman" w:hAnsi="Times New Roman" w:cs="Times New Roman"/>
                <w:color w:val="auto"/>
                <w:spacing w:val="0"/>
                <w:position w:val="0"/>
                <w:sz w:val="24"/>
                <w:szCs w:val="24"/>
                <w:highlight w:val="none"/>
                <w:lang w:val="en-US" w:eastAsia="zh-CN"/>
              </w:rPr>
              <w:t>产生</w:t>
            </w:r>
            <w:r>
              <w:rPr>
                <w:rFonts w:hint="default" w:ascii="Times New Roman" w:hAnsi="Times New Roman" w:eastAsia="宋体" w:cs="Times New Roman"/>
                <w:color w:val="auto"/>
                <w:spacing w:val="0"/>
                <w:position w:val="0"/>
                <w:sz w:val="24"/>
                <w:szCs w:val="24"/>
                <w:highlight w:val="none"/>
              </w:rPr>
              <w:t>量为</w:t>
            </w:r>
            <w:r>
              <w:rPr>
                <w:rFonts w:hint="default" w:ascii="Times New Roman" w:hAnsi="Times New Roman" w:cs="Times New Roman"/>
                <w:color w:val="auto"/>
                <w:spacing w:val="0"/>
                <w:position w:val="0"/>
                <w:sz w:val="24"/>
                <w:szCs w:val="24"/>
                <w:highlight w:val="none"/>
                <w:lang w:val="en-US" w:eastAsia="zh-CN"/>
              </w:rPr>
              <w:t>2</w:t>
            </w:r>
            <w:r>
              <w:rPr>
                <w:rFonts w:hint="default" w:ascii="Times New Roman" w:hAnsi="Times New Roman" w:eastAsia="宋体" w:cs="Times New Roman"/>
                <w:color w:val="auto"/>
                <w:spacing w:val="0"/>
                <w:position w:val="0"/>
                <w:sz w:val="24"/>
                <w:szCs w:val="24"/>
                <w:highlight w:val="none"/>
              </w:rPr>
              <w:t>.3t/a、</w:t>
            </w:r>
            <w:r>
              <w:rPr>
                <w:rFonts w:hint="default" w:ascii="Times New Roman" w:hAnsi="Times New Roman" w:cs="Times New Roman"/>
                <w:color w:val="auto"/>
                <w:spacing w:val="0"/>
                <w:position w:val="0"/>
                <w:sz w:val="24"/>
                <w:szCs w:val="24"/>
                <w:highlight w:val="none"/>
                <w:lang w:val="en-US" w:eastAsia="zh-CN"/>
              </w:rPr>
              <w:t>产生</w:t>
            </w:r>
            <w:r>
              <w:rPr>
                <w:rFonts w:hint="default" w:ascii="Times New Roman" w:hAnsi="Times New Roman" w:eastAsia="宋体" w:cs="Times New Roman"/>
                <w:color w:val="auto"/>
                <w:spacing w:val="0"/>
                <w:position w:val="0"/>
                <w:sz w:val="24"/>
                <w:szCs w:val="24"/>
                <w:highlight w:val="none"/>
              </w:rPr>
              <w:t>速率0.</w:t>
            </w:r>
            <w:r>
              <w:rPr>
                <w:rFonts w:hint="default" w:ascii="Times New Roman" w:hAnsi="Times New Roman" w:cs="Times New Roman"/>
                <w:color w:val="auto"/>
                <w:spacing w:val="0"/>
                <w:position w:val="0"/>
                <w:sz w:val="24"/>
                <w:szCs w:val="24"/>
                <w:highlight w:val="none"/>
                <w:lang w:val="en-US" w:eastAsia="zh-CN"/>
              </w:rPr>
              <w:t>274</w:t>
            </w:r>
            <w:r>
              <w:rPr>
                <w:rFonts w:hint="default" w:ascii="Times New Roman" w:hAnsi="Times New Roman" w:eastAsia="宋体" w:cs="Times New Roman"/>
                <w:color w:val="auto"/>
                <w:spacing w:val="0"/>
                <w:position w:val="0"/>
                <w:sz w:val="24"/>
                <w:szCs w:val="24"/>
                <w:highlight w:val="none"/>
              </w:rPr>
              <w:t>kg/h</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根据《排污申报登记使用手册》中装卸载封闭式储藏粉尘按抑尘率99%计算，本项目预处理车间为密闭建筑物，因此本项目预处理车间粉尘无组织排放量为0.0</w:t>
            </w:r>
            <w:r>
              <w:rPr>
                <w:rFonts w:hint="default" w:ascii="Times New Roman" w:hAnsi="Times New Roman" w:eastAsia="宋体" w:cs="Times New Roman"/>
                <w:color w:val="auto"/>
                <w:spacing w:val="0"/>
                <w:position w:val="0"/>
                <w:sz w:val="24"/>
                <w:szCs w:val="24"/>
                <w:highlight w:val="none"/>
                <w:lang w:val="en-US" w:eastAsia="zh-CN"/>
              </w:rPr>
              <w:t>23</w:t>
            </w:r>
            <w:r>
              <w:rPr>
                <w:rFonts w:hint="default" w:ascii="Times New Roman" w:hAnsi="Times New Roman" w:eastAsia="宋体" w:cs="Times New Roman"/>
                <w:color w:val="auto"/>
                <w:spacing w:val="0"/>
                <w:position w:val="0"/>
                <w:sz w:val="24"/>
                <w:szCs w:val="24"/>
                <w:highlight w:val="none"/>
              </w:rPr>
              <w:t>t/a</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lang w:val="en-US" w:eastAsia="zh-CN"/>
              </w:rPr>
              <w:t>排放速率0.003</w:t>
            </w:r>
            <w:r>
              <w:rPr>
                <w:rFonts w:hint="default" w:ascii="Times New Roman" w:hAnsi="Times New Roman" w:eastAsia="宋体" w:cs="Times New Roman"/>
                <w:color w:val="auto"/>
                <w:spacing w:val="0"/>
                <w:position w:val="0"/>
                <w:sz w:val="24"/>
                <w:szCs w:val="24"/>
                <w:highlight w:val="none"/>
              </w:rPr>
              <w:t>kg/h。经计算，颗粒物排放浓度</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排放速率能够满足《大气污染物综合排放标准》（GB16297-1996）表2中的二级标准要求</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排放速率按标准50%执行</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w:t>
            </w:r>
          </w:p>
          <w:p w14:paraId="31516AB3">
            <w:pPr>
              <w:keepNext w:val="0"/>
              <w:keepLines w:val="0"/>
              <w:pageBreakBefore w:val="0"/>
              <w:numPr>
                <w:ilvl w:val="0"/>
                <w:numId w:val="0"/>
              </w:numPr>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w:t>
            </w:r>
            <w:r>
              <w:rPr>
                <w:rFonts w:hint="default" w:ascii="Times New Roman" w:hAnsi="Times New Roman" w:cs="Times New Roman"/>
                <w:color w:val="auto"/>
                <w:spacing w:val="0"/>
                <w:position w:val="0"/>
                <w:sz w:val="24"/>
                <w:szCs w:val="24"/>
                <w:highlight w:val="none"/>
                <w:lang w:val="en-US" w:eastAsia="zh-CN"/>
              </w:rPr>
              <w:t>2</w:t>
            </w:r>
            <w:r>
              <w:rPr>
                <w:rFonts w:hint="default" w:ascii="Times New Roman" w:hAnsi="Times New Roman" w:eastAsia="宋体" w:cs="Times New Roman"/>
                <w:color w:val="auto"/>
                <w:spacing w:val="0"/>
                <w:position w:val="0"/>
                <w:sz w:val="24"/>
                <w:szCs w:val="24"/>
                <w:highlight w:val="none"/>
              </w:rPr>
              <w:t>）浸出车间废气</w:t>
            </w:r>
          </w:p>
          <w:p w14:paraId="6B4E3461">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浸出车间废气主要为浸出工序产生的正己烷废气，</w:t>
            </w:r>
            <w:r>
              <w:rPr>
                <w:rFonts w:hint="default" w:ascii="Times New Roman" w:hAnsi="Times New Roman" w:eastAsia="宋体" w:cs="Times New Roman"/>
                <w:color w:val="auto"/>
                <w:spacing w:val="0"/>
                <w:position w:val="0"/>
                <w:sz w:val="24"/>
                <w:szCs w:val="24"/>
                <w:highlight w:val="none"/>
              </w:rPr>
              <w:t>脱溶、干燥、冷却</w:t>
            </w:r>
            <w:r>
              <w:rPr>
                <w:rFonts w:hint="default" w:ascii="Times New Roman" w:hAnsi="Times New Roman" w:eastAsia="宋体" w:cs="Times New Roman"/>
                <w:color w:val="auto"/>
                <w:spacing w:val="0"/>
                <w:position w:val="0"/>
                <w:sz w:val="24"/>
                <w:szCs w:val="32"/>
                <w:highlight w:val="none"/>
              </w:rPr>
              <w:t>工序产生的正己烷不凝气，蒸发工序产生的正己烷不凝气</w:t>
            </w:r>
            <w:r>
              <w:rPr>
                <w:rFonts w:hint="default" w:ascii="Times New Roman" w:hAnsi="Times New Roman" w:cs="Times New Roman"/>
                <w:color w:val="auto"/>
                <w:spacing w:val="0"/>
                <w:position w:val="0"/>
                <w:sz w:val="24"/>
                <w:szCs w:val="32"/>
                <w:highlight w:val="none"/>
                <w:lang w:eastAsia="zh-CN"/>
              </w:rPr>
              <w:t>，</w:t>
            </w:r>
            <w:r>
              <w:rPr>
                <w:rFonts w:hint="default" w:ascii="Times New Roman" w:hAnsi="Times New Roman" w:eastAsia="宋体" w:cs="Times New Roman"/>
                <w:color w:val="auto"/>
                <w:spacing w:val="0"/>
                <w:position w:val="0"/>
                <w:sz w:val="24"/>
                <w:szCs w:val="32"/>
                <w:highlight w:val="none"/>
              </w:rPr>
              <w:t>汽提工序产生的正己烷不凝气。主要污染物为正己烷，以非甲烷总烃计。</w:t>
            </w:r>
          </w:p>
          <w:p w14:paraId="5A52B998">
            <w:pPr>
              <w:keepNext w:val="0"/>
              <w:keepLines w:val="0"/>
              <w:pageBreakBefore w:val="0"/>
              <w:widowControl w:val="0"/>
              <w:kinsoku/>
              <w:wordWrap/>
              <w:overflowPunct/>
              <w:topLinePunct w:val="0"/>
              <w:autoSpaceDE w:val="0"/>
              <w:autoSpaceDN w:val="0"/>
              <w:bidi w:val="0"/>
              <w:adjustRightInd w:val="0"/>
              <w:snapToGrid w:val="0"/>
              <w:spacing w:beforeAutospacing="0" w:afterAutospacing="0" w:line="520" w:lineRule="exact"/>
              <w:ind w:left="0" w:leftChars="0" w:right="0" w:rightChars="0" w:firstLine="480"/>
              <w:textAlignment w:val="auto"/>
              <w:rPr>
                <w:rFonts w:hint="default" w:ascii="Times New Roman" w:hAnsi="Times New Roman" w:eastAsia="宋体" w:cs="Times New Roman"/>
                <w:color w:val="auto"/>
                <w:spacing w:val="0"/>
                <w:position w:val="0"/>
                <w:sz w:val="24"/>
                <w:szCs w:val="32"/>
                <w:highlight w:val="none"/>
                <w:lang w:val="en-US" w:eastAsia="zh-CN"/>
              </w:rPr>
            </w:pPr>
            <w:r>
              <w:rPr>
                <w:rFonts w:hint="default" w:ascii="Times New Roman" w:hAnsi="Times New Roman" w:cs="Times New Roman"/>
                <w:color w:val="auto"/>
                <w:spacing w:val="0"/>
                <w:position w:val="0"/>
                <w:sz w:val="24"/>
                <w:szCs w:val="32"/>
                <w:highlight w:val="none"/>
                <w:lang w:val="en-US" w:eastAsia="zh-CN"/>
              </w:rPr>
              <w:t>参照</w:t>
            </w:r>
            <w:r>
              <w:rPr>
                <w:rFonts w:hint="default" w:ascii="Times New Roman" w:hAnsi="Times New Roman" w:eastAsia="宋体" w:cs="Times New Roman"/>
                <w:color w:val="auto"/>
                <w:spacing w:val="0"/>
                <w:position w:val="0"/>
                <w:sz w:val="24"/>
                <w:szCs w:val="32"/>
                <w:highlight w:val="none"/>
              </w:rPr>
              <w:t>《排放源统计调查产排污核算方法和系数手册》中1331食用植物油加工行业系数表（续</w:t>
            </w:r>
            <w:r>
              <w:rPr>
                <w:rFonts w:hint="default" w:ascii="Times New Roman" w:hAnsi="Times New Roman" w:cs="Times New Roman"/>
                <w:color w:val="auto"/>
                <w:spacing w:val="0"/>
                <w:position w:val="0"/>
                <w:sz w:val="24"/>
                <w:szCs w:val="32"/>
                <w:highlight w:val="none"/>
                <w:lang w:val="en-US" w:eastAsia="zh-CN"/>
              </w:rPr>
              <w:t>7</w:t>
            </w:r>
            <w:r>
              <w:rPr>
                <w:rFonts w:hint="default" w:ascii="Times New Roman" w:hAnsi="Times New Roman" w:eastAsia="宋体" w:cs="Times New Roman"/>
                <w:color w:val="auto"/>
                <w:spacing w:val="0"/>
                <w:position w:val="0"/>
                <w:sz w:val="24"/>
                <w:szCs w:val="32"/>
                <w:highlight w:val="none"/>
              </w:rPr>
              <w:t>），废气挥发性有机物产污系数1.2</w:t>
            </w:r>
            <w:r>
              <w:rPr>
                <w:rFonts w:hint="default" w:ascii="Times New Roman" w:hAnsi="Times New Roman" w:cs="Times New Roman"/>
                <w:color w:val="auto"/>
                <w:spacing w:val="0"/>
                <w:position w:val="0"/>
                <w:sz w:val="24"/>
                <w:szCs w:val="32"/>
                <w:highlight w:val="none"/>
                <w:lang w:val="en-US" w:eastAsia="zh-CN"/>
              </w:rPr>
              <w:t>3</w:t>
            </w:r>
            <w:r>
              <w:rPr>
                <w:rFonts w:hint="default" w:ascii="Times New Roman" w:hAnsi="Times New Roman" w:eastAsia="宋体" w:cs="Times New Roman"/>
                <w:color w:val="auto"/>
                <w:spacing w:val="0"/>
                <w:position w:val="0"/>
                <w:sz w:val="24"/>
                <w:szCs w:val="32"/>
                <w:highlight w:val="none"/>
              </w:rPr>
              <w:t>kg/t原料，</w:t>
            </w:r>
            <w:r>
              <w:rPr>
                <w:rFonts w:hint="default" w:ascii="Times New Roman" w:hAnsi="Times New Roman" w:cs="Times New Roman"/>
                <w:color w:val="auto"/>
                <w:spacing w:val="0"/>
                <w:position w:val="0"/>
                <w:sz w:val="24"/>
                <w:szCs w:val="32"/>
                <w:highlight w:val="none"/>
                <w:lang w:val="en-US" w:eastAsia="zh-CN"/>
              </w:rPr>
              <w:t>本项目年用米糠原料100000t，则挥发性有机物产生量为123t/a。</w:t>
            </w:r>
          </w:p>
          <w:p w14:paraId="75613C2F">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24"/>
                <w:highlight w:val="none"/>
                <w:lang w:val="en-US" w:eastAsia="zh-CN"/>
              </w:rPr>
              <w:t>浸出车间</w:t>
            </w:r>
            <w:r>
              <w:rPr>
                <w:rFonts w:hint="default" w:ascii="Times New Roman" w:hAnsi="Times New Roman" w:eastAsia="宋体" w:cs="Times New Roman"/>
                <w:color w:val="auto"/>
                <w:spacing w:val="0"/>
                <w:position w:val="0"/>
                <w:sz w:val="24"/>
                <w:szCs w:val="24"/>
                <w:highlight w:val="none"/>
              </w:rPr>
              <w:t>收集</w:t>
            </w:r>
            <w:r>
              <w:rPr>
                <w:rFonts w:hint="default" w:ascii="Times New Roman" w:hAnsi="Times New Roman" w:eastAsia="宋体" w:cs="Times New Roman"/>
                <w:color w:val="auto"/>
                <w:spacing w:val="0"/>
                <w:position w:val="0"/>
                <w:sz w:val="24"/>
                <w:szCs w:val="32"/>
                <w:highlight w:val="none"/>
              </w:rPr>
              <w:t>的气体经冷凝后回收，冷凝后产生的废气为不凝气（以非甲烷总烃计），经石蜡油吸收后</w:t>
            </w:r>
            <w:r>
              <w:rPr>
                <w:rFonts w:hint="default" w:ascii="Times New Roman" w:hAnsi="Times New Roman" w:eastAsia="宋体" w:cs="Times New Roman"/>
                <w:color w:val="auto"/>
                <w:spacing w:val="0"/>
                <w:position w:val="0"/>
                <w:sz w:val="24"/>
                <w:szCs w:val="24"/>
                <w:highlight w:val="none"/>
              </w:rPr>
              <w:t>经处理后经1根</w:t>
            </w:r>
            <w:r>
              <w:rPr>
                <w:rFonts w:hint="default" w:ascii="Times New Roman" w:hAnsi="Times New Roman" w:cs="Times New Roman"/>
                <w:color w:val="auto"/>
                <w:spacing w:val="0"/>
                <w:position w:val="0"/>
                <w:sz w:val="24"/>
                <w:szCs w:val="24"/>
                <w:highlight w:val="none"/>
                <w:lang w:val="en-US" w:eastAsia="zh-CN"/>
              </w:rPr>
              <w:t>15</w:t>
            </w:r>
            <w:r>
              <w:rPr>
                <w:rFonts w:hint="default" w:ascii="Times New Roman" w:hAnsi="Times New Roman" w:eastAsia="宋体" w:cs="Times New Roman"/>
                <w:color w:val="auto"/>
                <w:spacing w:val="0"/>
                <w:position w:val="0"/>
                <w:sz w:val="24"/>
                <w:szCs w:val="24"/>
                <w:highlight w:val="none"/>
              </w:rPr>
              <w:t>m高排气筒排放（DA00</w:t>
            </w:r>
            <w:r>
              <w:rPr>
                <w:rFonts w:hint="default" w:ascii="Times New Roman" w:hAnsi="Times New Roman" w:eastAsia="宋体" w:cs="Times New Roman"/>
                <w:color w:val="auto"/>
                <w:spacing w:val="0"/>
                <w:position w:val="0"/>
                <w:sz w:val="24"/>
                <w:szCs w:val="24"/>
                <w:highlight w:val="none"/>
                <w:lang w:val="en-US" w:eastAsia="zh-CN"/>
              </w:rPr>
              <w:t>2</w:t>
            </w:r>
            <w:r>
              <w:rPr>
                <w:rFonts w:hint="default" w:ascii="Times New Roman" w:hAnsi="Times New Roman" w:eastAsia="宋体" w:cs="Times New Roman"/>
                <w:color w:val="auto"/>
                <w:spacing w:val="0"/>
                <w:position w:val="0"/>
                <w:sz w:val="24"/>
                <w:szCs w:val="24"/>
                <w:highlight w:val="none"/>
              </w:rPr>
              <w:t>）；本项目</w:t>
            </w:r>
            <w:r>
              <w:rPr>
                <w:rFonts w:hint="default" w:ascii="Times New Roman" w:hAnsi="Times New Roman" w:eastAsia="宋体" w:cs="Times New Roman"/>
                <w:color w:val="auto"/>
                <w:spacing w:val="0"/>
                <w:position w:val="0"/>
                <w:sz w:val="24"/>
                <w:szCs w:val="24"/>
                <w:highlight w:val="none"/>
                <w:lang w:val="en-US" w:eastAsia="zh-CN"/>
              </w:rPr>
              <w:t>浸出</w:t>
            </w:r>
            <w:r>
              <w:rPr>
                <w:rFonts w:hint="default" w:ascii="Times New Roman" w:hAnsi="Times New Roman" w:eastAsia="宋体" w:cs="Times New Roman"/>
                <w:color w:val="auto"/>
                <w:spacing w:val="0"/>
                <w:position w:val="0"/>
                <w:sz w:val="24"/>
                <w:szCs w:val="24"/>
                <w:highlight w:val="none"/>
              </w:rPr>
              <w:t>车间年运行时间为</w:t>
            </w:r>
            <w:r>
              <w:rPr>
                <w:rFonts w:hint="default" w:ascii="Times New Roman" w:hAnsi="Times New Roman" w:cs="Times New Roman"/>
                <w:color w:val="auto"/>
                <w:spacing w:val="0"/>
                <w:position w:val="0"/>
                <w:sz w:val="24"/>
                <w:szCs w:val="24"/>
                <w:highlight w:val="none"/>
                <w:lang w:val="en-US" w:eastAsia="zh-CN"/>
              </w:rPr>
              <w:t>8400</w:t>
            </w:r>
            <w:r>
              <w:rPr>
                <w:rFonts w:hint="default" w:ascii="Times New Roman" w:hAnsi="Times New Roman" w:eastAsia="宋体" w:cs="Times New Roman"/>
                <w:color w:val="auto"/>
                <w:spacing w:val="0"/>
                <w:position w:val="0"/>
                <w:sz w:val="24"/>
                <w:szCs w:val="24"/>
                <w:highlight w:val="none"/>
              </w:rPr>
              <w:t>h，</w:t>
            </w:r>
            <w:r>
              <w:rPr>
                <w:rFonts w:hint="default" w:ascii="Times New Roman" w:hAnsi="Times New Roman" w:eastAsia="宋体" w:cs="Times New Roman"/>
                <w:color w:val="auto"/>
                <w:spacing w:val="0"/>
                <w:position w:val="0"/>
                <w:sz w:val="24"/>
                <w:szCs w:val="32"/>
                <w:highlight w:val="none"/>
              </w:rPr>
              <w:t>冷凝+石蜡吸收整体正己烷回收效率可达到99.9%以上</w:t>
            </w:r>
            <w:r>
              <w:rPr>
                <w:rFonts w:hint="default" w:ascii="Times New Roman" w:hAnsi="Times New Roman" w:eastAsia="宋体" w:cs="Times New Roman"/>
                <w:color w:val="auto"/>
                <w:spacing w:val="0"/>
                <w:position w:val="0"/>
                <w:sz w:val="24"/>
                <w:szCs w:val="24"/>
                <w:highlight w:val="none"/>
              </w:rPr>
              <w:t>，风机风量为</w:t>
            </w:r>
            <w:r>
              <w:rPr>
                <w:rFonts w:hint="default" w:ascii="Times New Roman" w:hAnsi="Times New Roman" w:cs="Times New Roman"/>
                <w:color w:val="auto"/>
                <w:spacing w:val="0"/>
                <w:position w:val="0"/>
                <w:sz w:val="24"/>
                <w:szCs w:val="24"/>
                <w:highlight w:val="none"/>
                <w:lang w:val="en-US" w:eastAsia="zh-CN"/>
              </w:rPr>
              <w:t>10</w:t>
            </w:r>
            <w:r>
              <w:rPr>
                <w:rFonts w:hint="default" w:ascii="Times New Roman" w:hAnsi="Times New Roman" w:eastAsia="宋体" w:cs="Times New Roman"/>
                <w:color w:val="auto"/>
                <w:spacing w:val="0"/>
                <w:position w:val="0"/>
                <w:sz w:val="24"/>
                <w:szCs w:val="24"/>
                <w:highlight w:val="none"/>
              </w:rPr>
              <w:t>000m</w:t>
            </w:r>
            <w:r>
              <w:rPr>
                <w:rFonts w:hint="default" w:ascii="Times New Roman" w:hAnsi="Times New Roman" w:eastAsia="宋体" w:cs="Times New Roman"/>
                <w:color w:val="auto"/>
                <w:spacing w:val="0"/>
                <w:position w:val="0"/>
                <w:sz w:val="24"/>
                <w:szCs w:val="24"/>
                <w:highlight w:val="none"/>
                <w:vertAlign w:val="superscript"/>
              </w:rPr>
              <w:t>3</w:t>
            </w:r>
            <w:r>
              <w:rPr>
                <w:rFonts w:hint="default" w:ascii="Times New Roman" w:hAnsi="Times New Roman" w:eastAsia="宋体" w:cs="Times New Roman"/>
                <w:color w:val="auto"/>
                <w:spacing w:val="0"/>
                <w:position w:val="0"/>
                <w:sz w:val="24"/>
                <w:szCs w:val="24"/>
                <w:highlight w:val="none"/>
              </w:rPr>
              <w:t>/h。</w:t>
            </w:r>
          </w:p>
          <w:p w14:paraId="419609F4">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32"/>
                <w:highlight w:val="none"/>
                <w:lang w:val="en-US" w:eastAsia="zh-CN"/>
              </w:rPr>
            </w:pPr>
            <w:r>
              <w:rPr>
                <w:rFonts w:hint="default" w:ascii="Times New Roman" w:hAnsi="Times New Roman" w:eastAsia="宋体" w:cs="Times New Roman"/>
                <w:color w:val="auto"/>
                <w:spacing w:val="0"/>
                <w:position w:val="0"/>
                <w:sz w:val="24"/>
                <w:szCs w:val="32"/>
                <w:highlight w:val="none"/>
                <w:lang w:val="en-US" w:eastAsia="zh-CN"/>
              </w:rPr>
              <w:t>经计算，浸出车间有组织废气产生量为123t/a</w:t>
            </w:r>
            <w:r>
              <w:rPr>
                <w:rFonts w:hint="default" w:ascii="Times New Roman" w:hAnsi="Times New Roman" w:eastAsia="宋体" w:cs="Times New Roman"/>
                <w:color w:val="auto"/>
                <w:spacing w:val="0"/>
                <w:position w:val="0"/>
                <w:sz w:val="24"/>
                <w:szCs w:val="24"/>
                <w:highlight w:val="none"/>
              </w:rPr>
              <w:t>、产生速率</w:t>
            </w:r>
            <w:r>
              <w:rPr>
                <w:rFonts w:hint="default" w:ascii="Times New Roman" w:hAnsi="Times New Roman" w:cs="Times New Roman"/>
                <w:color w:val="auto"/>
                <w:spacing w:val="0"/>
                <w:position w:val="0"/>
                <w:sz w:val="24"/>
                <w:szCs w:val="24"/>
                <w:highlight w:val="none"/>
                <w:lang w:val="en-US" w:eastAsia="zh-CN"/>
              </w:rPr>
              <w:t>14.643</w:t>
            </w:r>
            <w:r>
              <w:rPr>
                <w:rFonts w:hint="default" w:ascii="Times New Roman" w:hAnsi="Times New Roman" w:eastAsia="宋体" w:cs="Times New Roman"/>
                <w:color w:val="auto"/>
                <w:spacing w:val="0"/>
                <w:position w:val="0"/>
                <w:sz w:val="24"/>
                <w:szCs w:val="24"/>
                <w:highlight w:val="none"/>
              </w:rPr>
              <w:t>kg/h、产生浓度</w:t>
            </w:r>
            <w:r>
              <w:rPr>
                <w:rFonts w:hint="default" w:ascii="Times New Roman" w:hAnsi="Times New Roman" w:cs="Times New Roman"/>
                <w:color w:val="auto"/>
                <w:spacing w:val="0"/>
                <w:position w:val="0"/>
                <w:sz w:val="24"/>
                <w:szCs w:val="24"/>
                <w:highlight w:val="none"/>
                <w:lang w:val="en-US" w:eastAsia="zh-CN"/>
              </w:rPr>
              <w:t>1464.286</w:t>
            </w:r>
            <w:r>
              <w:rPr>
                <w:rFonts w:hint="default" w:ascii="Times New Roman" w:hAnsi="Times New Roman" w:eastAsia="宋体" w:cs="Times New Roman"/>
                <w:color w:val="auto"/>
                <w:spacing w:val="0"/>
                <w:position w:val="0"/>
                <w:sz w:val="24"/>
                <w:szCs w:val="24"/>
                <w:highlight w:val="none"/>
              </w:rPr>
              <w:t>mg/m</w:t>
            </w:r>
            <w:r>
              <w:rPr>
                <w:rFonts w:hint="default" w:ascii="Times New Roman" w:hAnsi="Times New Roman" w:eastAsia="宋体" w:cs="Times New Roman"/>
                <w:color w:val="auto"/>
                <w:spacing w:val="0"/>
                <w:position w:val="0"/>
                <w:sz w:val="24"/>
                <w:szCs w:val="24"/>
                <w:highlight w:val="none"/>
                <w:vertAlign w:val="superscript"/>
              </w:rPr>
              <w:t>3</w:t>
            </w:r>
            <w:r>
              <w:rPr>
                <w:rFonts w:hint="default" w:ascii="Times New Roman" w:hAnsi="Times New Roman" w:eastAsia="宋体" w:cs="Times New Roman"/>
                <w:color w:val="auto"/>
                <w:spacing w:val="0"/>
                <w:position w:val="0"/>
                <w:sz w:val="24"/>
                <w:szCs w:val="24"/>
                <w:highlight w:val="none"/>
              </w:rPr>
              <w:t>，经</w:t>
            </w:r>
            <w:r>
              <w:rPr>
                <w:rFonts w:hint="default" w:ascii="Times New Roman" w:hAnsi="Times New Roman" w:eastAsia="宋体" w:cs="Times New Roman"/>
                <w:color w:val="auto"/>
                <w:spacing w:val="0"/>
                <w:position w:val="0"/>
                <w:sz w:val="24"/>
                <w:szCs w:val="24"/>
                <w:highlight w:val="none"/>
                <w:lang w:val="en-US" w:eastAsia="zh-CN"/>
              </w:rPr>
              <w:t>冷凝+石蜡吸收</w:t>
            </w:r>
            <w:r>
              <w:rPr>
                <w:rFonts w:hint="default" w:ascii="Times New Roman" w:hAnsi="Times New Roman" w:eastAsia="宋体" w:cs="Times New Roman"/>
                <w:color w:val="auto"/>
                <w:spacing w:val="0"/>
                <w:position w:val="0"/>
                <w:sz w:val="24"/>
                <w:szCs w:val="24"/>
                <w:highlight w:val="none"/>
              </w:rPr>
              <w:t>（去除效率99</w:t>
            </w:r>
            <w:r>
              <w:rPr>
                <w:rFonts w:hint="default" w:ascii="Times New Roman" w:hAnsi="Times New Roman" w:eastAsia="宋体" w:cs="Times New Roman"/>
                <w:color w:val="auto"/>
                <w:spacing w:val="0"/>
                <w:position w:val="0"/>
                <w:sz w:val="24"/>
                <w:szCs w:val="24"/>
                <w:highlight w:val="none"/>
                <w:lang w:val="en-US" w:eastAsia="zh-CN"/>
              </w:rPr>
              <w:t>.9</w:t>
            </w:r>
            <w:r>
              <w:rPr>
                <w:rFonts w:hint="default" w:ascii="Times New Roman" w:hAnsi="Times New Roman" w:eastAsia="宋体" w:cs="Times New Roman"/>
                <w:color w:val="auto"/>
                <w:spacing w:val="0"/>
                <w:position w:val="0"/>
                <w:sz w:val="24"/>
                <w:szCs w:val="24"/>
                <w:highlight w:val="none"/>
              </w:rPr>
              <w:t>%）处理后</w:t>
            </w:r>
            <w:r>
              <w:rPr>
                <w:rFonts w:hint="default" w:ascii="Times New Roman" w:hAnsi="Times New Roman" w:cs="Times New Roman"/>
                <w:color w:val="auto"/>
                <w:spacing w:val="0"/>
                <w:position w:val="0"/>
                <w:sz w:val="24"/>
                <w:szCs w:val="24"/>
                <w:highlight w:val="none"/>
                <w:lang w:val="en-US" w:eastAsia="zh-CN"/>
              </w:rPr>
              <w:t>浸出车间</w:t>
            </w:r>
            <w:r>
              <w:rPr>
                <w:rFonts w:hint="default" w:ascii="Times New Roman" w:hAnsi="Times New Roman" w:eastAsia="宋体" w:cs="Times New Roman"/>
                <w:color w:val="auto"/>
                <w:spacing w:val="0"/>
                <w:position w:val="0"/>
                <w:sz w:val="24"/>
                <w:szCs w:val="24"/>
                <w:highlight w:val="none"/>
              </w:rPr>
              <w:t>有组织废气排放量为0.</w:t>
            </w:r>
            <w:r>
              <w:rPr>
                <w:rFonts w:hint="default" w:ascii="Times New Roman" w:hAnsi="Times New Roman" w:cs="Times New Roman"/>
                <w:color w:val="auto"/>
                <w:spacing w:val="0"/>
                <w:position w:val="0"/>
                <w:sz w:val="24"/>
                <w:szCs w:val="24"/>
                <w:highlight w:val="none"/>
                <w:lang w:val="en-US" w:eastAsia="zh-CN"/>
              </w:rPr>
              <w:t>123</w:t>
            </w:r>
            <w:r>
              <w:rPr>
                <w:rFonts w:hint="default" w:ascii="Times New Roman" w:hAnsi="Times New Roman" w:eastAsia="宋体" w:cs="Times New Roman"/>
                <w:color w:val="auto"/>
                <w:spacing w:val="0"/>
                <w:position w:val="0"/>
                <w:sz w:val="24"/>
                <w:szCs w:val="24"/>
                <w:highlight w:val="none"/>
              </w:rPr>
              <w:t>t/a、排放速率0.0</w:t>
            </w:r>
            <w:r>
              <w:rPr>
                <w:rFonts w:hint="default" w:ascii="Times New Roman" w:hAnsi="Times New Roman" w:cs="Times New Roman"/>
                <w:color w:val="auto"/>
                <w:spacing w:val="0"/>
                <w:position w:val="0"/>
                <w:sz w:val="24"/>
                <w:szCs w:val="24"/>
                <w:highlight w:val="none"/>
                <w:lang w:val="en-US" w:eastAsia="zh-CN"/>
              </w:rPr>
              <w:t>15</w:t>
            </w:r>
            <w:r>
              <w:rPr>
                <w:rFonts w:hint="default" w:ascii="Times New Roman" w:hAnsi="Times New Roman" w:eastAsia="宋体" w:cs="Times New Roman"/>
                <w:color w:val="auto"/>
                <w:spacing w:val="0"/>
                <w:position w:val="0"/>
                <w:sz w:val="24"/>
                <w:szCs w:val="24"/>
                <w:highlight w:val="none"/>
              </w:rPr>
              <w:t>kg/h、排放浓度</w:t>
            </w:r>
            <w:r>
              <w:rPr>
                <w:rFonts w:hint="default" w:ascii="Times New Roman" w:hAnsi="Times New Roman" w:cs="Times New Roman"/>
                <w:color w:val="auto"/>
                <w:spacing w:val="0"/>
                <w:position w:val="0"/>
                <w:sz w:val="24"/>
                <w:szCs w:val="24"/>
                <w:highlight w:val="none"/>
                <w:lang w:val="en-US" w:eastAsia="zh-CN"/>
              </w:rPr>
              <w:t>1.464</w:t>
            </w:r>
            <w:r>
              <w:rPr>
                <w:rFonts w:hint="default" w:ascii="Times New Roman" w:hAnsi="Times New Roman" w:eastAsia="宋体" w:cs="Times New Roman"/>
                <w:color w:val="auto"/>
                <w:spacing w:val="0"/>
                <w:position w:val="0"/>
                <w:sz w:val="24"/>
                <w:szCs w:val="24"/>
                <w:highlight w:val="none"/>
              </w:rPr>
              <w:t>mg/m</w:t>
            </w:r>
            <w:r>
              <w:rPr>
                <w:rFonts w:hint="default" w:ascii="Times New Roman" w:hAnsi="Times New Roman" w:eastAsia="宋体" w:cs="Times New Roman"/>
                <w:color w:val="auto"/>
                <w:spacing w:val="0"/>
                <w:position w:val="0"/>
                <w:sz w:val="24"/>
                <w:szCs w:val="24"/>
                <w:highlight w:val="none"/>
                <w:vertAlign w:val="superscript"/>
              </w:rPr>
              <w:t>3</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经计算，颗粒物排放浓度能够满足《大气污染物综合排放标准》（GB16297-1996）表2中的二级标准要求，</w:t>
            </w:r>
            <w:r>
              <w:rPr>
                <w:rFonts w:hint="default" w:ascii="Times New Roman" w:hAnsi="Times New Roman" w:cs="Times New Roman"/>
                <w:color w:val="auto"/>
                <w:spacing w:val="0"/>
                <w:position w:val="0"/>
                <w:sz w:val="24"/>
                <w:szCs w:val="24"/>
                <w:highlight w:val="none"/>
                <w:lang w:val="en-US" w:eastAsia="zh-CN"/>
              </w:rPr>
              <w:t>非甲烷总烃排放浓度、</w:t>
            </w:r>
            <w:r>
              <w:rPr>
                <w:rFonts w:hint="default" w:ascii="Times New Roman" w:hAnsi="Times New Roman" w:eastAsia="宋体" w:cs="Times New Roman"/>
                <w:color w:val="auto"/>
                <w:spacing w:val="0"/>
                <w:position w:val="0"/>
                <w:sz w:val="24"/>
                <w:szCs w:val="24"/>
                <w:highlight w:val="none"/>
              </w:rPr>
              <w:t>排放速率能够满足《大气污染物综合排放标准》（GB16297-1996）表2中的二级标准要求</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排放速率按标准50%执行</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w:t>
            </w:r>
          </w:p>
          <w:p w14:paraId="27531787">
            <w:pPr>
              <w:keepNext w:val="0"/>
              <w:keepLines w:val="0"/>
              <w:pageBreakBefore w:val="0"/>
              <w:widowControl w:val="0"/>
              <w:kinsoku/>
              <w:wordWrap/>
              <w:overflowPunct/>
              <w:topLinePunct w:val="0"/>
              <w:autoSpaceDE w:val="0"/>
              <w:autoSpaceDN w:val="0"/>
              <w:bidi w:val="0"/>
              <w:adjustRightInd w:val="0"/>
              <w:snapToGrid w:val="0"/>
              <w:spacing w:beforeAutospacing="0" w:afterAutospacing="0" w:line="520" w:lineRule="exact"/>
              <w:ind w:left="0" w:leftChars="0" w:right="0" w:rightChars="0" w:firstLine="480" w:firstLineChars="200"/>
              <w:jc w:val="both"/>
              <w:textAlignment w:val="auto"/>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3</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精炼车间废气</w:t>
            </w:r>
          </w:p>
          <w:p w14:paraId="3DD3D131">
            <w:pPr>
              <w:keepNext w:val="0"/>
              <w:keepLines w:val="0"/>
              <w:pageBreakBefore w:val="0"/>
              <w:widowControl w:val="0"/>
              <w:kinsoku/>
              <w:wordWrap/>
              <w:overflowPunct/>
              <w:topLinePunct w:val="0"/>
              <w:autoSpaceDE w:val="0"/>
              <w:autoSpaceDN w:val="0"/>
              <w:bidi w:val="0"/>
              <w:adjustRightInd w:val="0"/>
              <w:snapToGrid w:val="0"/>
              <w:spacing w:beforeAutospacing="0" w:afterAutospacing="0" w:line="520" w:lineRule="exact"/>
              <w:ind w:left="0" w:leftChars="0" w:right="0" w:rightChars="0" w:firstLine="480" w:firstLineChars="200"/>
              <w:jc w:val="both"/>
              <w:textAlignment w:val="auto"/>
              <w:rPr>
                <w:rFonts w:hint="default" w:ascii="Times New Roman" w:hAnsi="Times New Roman" w:eastAsia="宋体" w:cs="Times New Roman"/>
                <w:color w:val="auto"/>
                <w:spacing w:val="0"/>
                <w:position w:val="0"/>
                <w:sz w:val="24"/>
                <w:szCs w:val="24"/>
                <w:highlight w:val="none"/>
                <w:lang w:eastAsia="zh-CN"/>
              </w:rPr>
            </w:pPr>
            <w:r>
              <w:rPr>
                <w:rFonts w:hint="default" w:ascii="Times New Roman" w:hAnsi="Times New Roman" w:eastAsia="宋体" w:cs="Times New Roman"/>
                <w:color w:val="auto"/>
                <w:spacing w:val="0"/>
                <w:position w:val="0"/>
                <w:sz w:val="24"/>
                <w:szCs w:val="24"/>
                <w:highlight w:val="none"/>
                <w:lang w:eastAsia="zh-CN"/>
              </w:rPr>
              <w:t>本项目脱色过程中会产生少量挥发物如游离脂肪酸、各种异味物质；脱臭过程中温度较高（260℃左右），脱臭过程中挥发物如游离脂肪酸、各种异味物质在真空及高温作用下汽提出来。因此脱色脱臭过程中产生游离脂肪酸、异味。根据建设单位提供资料，项目脱色段温度较低，游离脂肪酸产生量微量，非甲烷总烃主要产生工段为脱臭工段，脱臭塔汽提气体进入</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lang w:eastAsia="zh-CN"/>
              </w:rPr>
              <w:t>两级脂肪酸喷淋捕集+多级冷凝</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lang w:eastAsia="zh-CN"/>
              </w:rPr>
              <w:t>将脂肪酸冷凝下来作为副产品外售，根据企业提供数据，精炼工序脱色、脱臭工段毛油损耗率约为0.2%-0.4%，本次取0.4%，本项目年使用</w:t>
            </w:r>
            <w:r>
              <w:rPr>
                <w:rFonts w:hint="default" w:ascii="Times New Roman" w:hAnsi="Times New Roman" w:cs="Times New Roman"/>
                <w:color w:val="auto"/>
                <w:spacing w:val="0"/>
                <w:position w:val="0"/>
                <w:sz w:val="24"/>
                <w:szCs w:val="24"/>
                <w:highlight w:val="none"/>
                <w:lang w:val="en-US" w:eastAsia="zh-CN"/>
              </w:rPr>
              <w:t>豆油</w:t>
            </w:r>
            <w:r>
              <w:rPr>
                <w:rFonts w:hint="default" w:ascii="Times New Roman" w:hAnsi="Times New Roman" w:eastAsia="宋体" w:cs="Times New Roman"/>
                <w:color w:val="auto"/>
                <w:spacing w:val="0"/>
                <w:position w:val="0"/>
                <w:sz w:val="24"/>
                <w:szCs w:val="24"/>
                <w:highlight w:val="none"/>
                <w:lang w:eastAsia="zh-CN"/>
              </w:rPr>
              <w:t>毛油</w:t>
            </w:r>
            <w:r>
              <w:rPr>
                <w:rFonts w:hint="default" w:ascii="Times New Roman" w:hAnsi="Times New Roman" w:cs="Times New Roman"/>
                <w:color w:val="auto"/>
                <w:spacing w:val="0"/>
                <w:position w:val="0"/>
                <w:sz w:val="24"/>
                <w:szCs w:val="24"/>
                <w:highlight w:val="none"/>
                <w:lang w:val="en-US" w:eastAsia="zh-CN"/>
              </w:rPr>
              <w:t>45</w:t>
            </w:r>
            <w:r>
              <w:rPr>
                <w:rFonts w:hint="default" w:ascii="Times New Roman" w:hAnsi="Times New Roman" w:eastAsia="宋体" w:cs="Times New Roman"/>
                <w:color w:val="auto"/>
                <w:spacing w:val="0"/>
                <w:position w:val="0"/>
                <w:sz w:val="24"/>
                <w:szCs w:val="24"/>
                <w:highlight w:val="none"/>
                <w:lang w:eastAsia="zh-CN"/>
              </w:rPr>
              <w:t>00t，损耗量为1</w:t>
            </w:r>
            <w:r>
              <w:rPr>
                <w:rFonts w:hint="default" w:ascii="Times New Roman" w:hAnsi="Times New Roman" w:cs="Times New Roman"/>
                <w:color w:val="auto"/>
                <w:spacing w:val="0"/>
                <w:position w:val="0"/>
                <w:sz w:val="24"/>
                <w:szCs w:val="24"/>
                <w:highlight w:val="none"/>
                <w:lang w:val="en-US" w:eastAsia="zh-CN"/>
              </w:rPr>
              <w:t>8</w:t>
            </w:r>
            <w:r>
              <w:rPr>
                <w:rFonts w:hint="default" w:ascii="Times New Roman" w:hAnsi="Times New Roman" w:eastAsia="宋体" w:cs="Times New Roman"/>
                <w:color w:val="auto"/>
                <w:spacing w:val="0"/>
                <w:position w:val="0"/>
                <w:sz w:val="24"/>
                <w:szCs w:val="24"/>
                <w:highlight w:val="none"/>
                <w:lang w:eastAsia="zh-CN"/>
              </w:rPr>
              <w:t>t/a，损耗的物质为游离脂肪酸，并同时含有异味，本项目</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lang w:eastAsia="zh-CN"/>
              </w:rPr>
              <w:t>两级脂肪酸喷淋捕集+多级冷凝</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lang w:eastAsia="zh-CN"/>
              </w:rPr>
              <w:t>原理将脱臭塔汽提气体迅速冷凝，收集凝结的脂肪酸，游离脂肪酸主要成分为植物油脂，极易凝结，属于植物油精炼脂肪酸回收常用工艺，根据企业提供设计资料，捕集效率为99%，则捕集游离脂肪酸的量为</w:t>
            </w:r>
            <w:r>
              <w:rPr>
                <w:rFonts w:hint="default" w:ascii="Times New Roman" w:hAnsi="Times New Roman" w:cs="Times New Roman"/>
                <w:color w:val="auto"/>
                <w:spacing w:val="0"/>
                <w:position w:val="0"/>
                <w:sz w:val="24"/>
                <w:szCs w:val="24"/>
                <w:highlight w:val="none"/>
                <w:lang w:val="en-US" w:eastAsia="zh-CN"/>
              </w:rPr>
              <w:t>17.82</w:t>
            </w:r>
            <w:r>
              <w:rPr>
                <w:rFonts w:hint="default" w:ascii="Times New Roman" w:hAnsi="Times New Roman" w:eastAsia="宋体" w:cs="Times New Roman"/>
                <w:color w:val="auto"/>
                <w:spacing w:val="0"/>
                <w:position w:val="0"/>
                <w:sz w:val="24"/>
                <w:szCs w:val="24"/>
                <w:highlight w:val="none"/>
                <w:lang w:eastAsia="zh-CN"/>
              </w:rPr>
              <w:t>t/a。未补集量为</w:t>
            </w:r>
            <w:r>
              <w:rPr>
                <w:rFonts w:hint="default" w:ascii="Times New Roman" w:hAnsi="Times New Roman" w:cs="Times New Roman"/>
                <w:color w:val="auto"/>
                <w:spacing w:val="0"/>
                <w:position w:val="0"/>
                <w:sz w:val="24"/>
                <w:szCs w:val="24"/>
                <w:highlight w:val="none"/>
                <w:lang w:val="en-US" w:eastAsia="zh-CN"/>
              </w:rPr>
              <w:t>0.18</w:t>
            </w:r>
            <w:r>
              <w:rPr>
                <w:rFonts w:hint="default" w:ascii="Times New Roman" w:hAnsi="Times New Roman" w:eastAsia="宋体" w:cs="Times New Roman"/>
                <w:color w:val="auto"/>
                <w:spacing w:val="0"/>
                <w:position w:val="0"/>
                <w:sz w:val="24"/>
                <w:szCs w:val="24"/>
                <w:highlight w:val="none"/>
                <w:lang w:eastAsia="zh-CN"/>
              </w:rPr>
              <w:t>t/a。本项目脱色、脱臭均采用密闭设备，精炼</w:t>
            </w:r>
            <w:r>
              <w:rPr>
                <w:rFonts w:hint="default" w:ascii="Times New Roman" w:hAnsi="Times New Roman" w:cs="Times New Roman"/>
                <w:color w:val="auto"/>
                <w:spacing w:val="0"/>
                <w:position w:val="0"/>
                <w:sz w:val="24"/>
                <w:szCs w:val="24"/>
                <w:highlight w:val="none"/>
                <w:lang w:val="en-US" w:eastAsia="zh-CN"/>
              </w:rPr>
              <w:t>车间</w:t>
            </w:r>
            <w:r>
              <w:rPr>
                <w:rFonts w:hint="default" w:ascii="Times New Roman" w:hAnsi="Times New Roman" w:eastAsia="宋体" w:cs="Times New Roman"/>
                <w:color w:val="auto"/>
                <w:spacing w:val="0"/>
                <w:position w:val="0"/>
                <w:sz w:val="24"/>
                <w:szCs w:val="24"/>
                <w:highlight w:val="none"/>
                <w:lang w:eastAsia="zh-CN"/>
              </w:rPr>
              <w:t>废气经密闭设备管道收集后送入一套</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石蜡吸收</w:t>
            </w:r>
            <w:r>
              <w:rPr>
                <w:rFonts w:hint="default" w:ascii="Times New Roman" w:hAnsi="Times New Roman" w:eastAsia="宋体" w:cs="Times New Roman"/>
                <w:color w:val="auto"/>
                <w:spacing w:val="0"/>
                <w:position w:val="0"/>
                <w:sz w:val="24"/>
                <w:szCs w:val="24"/>
                <w:highlight w:val="none"/>
                <w:lang w:eastAsia="zh-CN"/>
              </w:rPr>
              <w:t>+活性炭吸附</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lang w:eastAsia="zh-CN"/>
              </w:rPr>
              <w:t>装置处理后经管道引至</w:t>
            </w:r>
            <w:r>
              <w:rPr>
                <w:rFonts w:hint="default" w:ascii="Times New Roman" w:hAnsi="Times New Roman" w:cs="Times New Roman"/>
                <w:color w:val="auto"/>
                <w:spacing w:val="0"/>
                <w:position w:val="0"/>
                <w:sz w:val="24"/>
                <w:szCs w:val="24"/>
                <w:highlight w:val="none"/>
                <w:lang w:val="en-US" w:eastAsia="zh-CN"/>
              </w:rPr>
              <w:t>15m</w:t>
            </w:r>
            <w:r>
              <w:rPr>
                <w:rFonts w:hint="default" w:ascii="Times New Roman" w:hAnsi="Times New Roman" w:eastAsia="宋体" w:cs="Times New Roman"/>
                <w:color w:val="auto"/>
                <w:spacing w:val="0"/>
                <w:position w:val="0"/>
                <w:sz w:val="24"/>
                <w:szCs w:val="24"/>
                <w:highlight w:val="none"/>
                <w:lang w:eastAsia="zh-CN"/>
              </w:rPr>
              <w:t>高</w:t>
            </w:r>
            <w:r>
              <w:rPr>
                <w:rFonts w:hint="default" w:ascii="Times New Roman" w:hAnsi="Times New Roman" w:cs="Times New Roman"/>
                <w:color w:val="auto"/>
                <w:spacing w:val="0"/>
                <w:position w:val="0"/>
                <w:sz w:val="24"/>
                <w:szCs w:val="24"/>
                <w:highlight w:val="none"/>
                <w:lang w:val="en-US" w:eastAsia="zh-CN"/>
              </w:rPr>
              <w:t>排气筒</w:t>
            </w:r>
            <w:r>
              <w:rPr>
                <w:rFonts w:hint="default" w:ascii="Times New Roman" w:hAnsi="Times New Roman" w:eastAsia="宋体" w:cs="Times New Roman"/>
                <w:color w:val="auto"/>
                <w:spacing w:val="0"/>
                <w:position w:val="0"/>
                <w:sz w:val="24"/>
                <w:szCs w:val="24"/>
                <w:highlight w:val="none"/>
                <w:lang w:eastAsia="zh-CN"/>
              </w:rPr>
              <w:t>排放（DA00</w:t>
            </w:r>
            <w:r>
              <w:rPr>
                <w:rFonts w:hint="default" w:ascii="Times New Roman" w:hAnsi="Times New Roman" w:cs="Times New Roman"/>
                <w:color w:val="auto"/>
                <w:spacing w:val="0"/>
                <w:position w:val="0"/>
                <w:sz w:val="24"/>
                <w:szCs w:val="24"/>
                <w:highlight w:val="none"/>
                <w:lang w:val="en-US" w:eastAsia="zh-CN"/>
              </w:rPr>
              <w:t>3</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本项目</w:t>
            </w:r>
            <w:r>
              <w:rPr>
                <w:rFonts w:hint="default" w:ascii="Times New Roman" w:hAnsi="Times New Roman" w:eastAsia="宋体" w:cs="Times New Roman"/>
                <w:color w:val="auto"/>
                <w:spacing w:val="0"/>
                <w:position w:val="0"/>
                <w:sz w:val="24"/>
                <w:szCs w:val="24"/>
                <w:highlight w:val="none"/>
                <w:lang w:val="en-US" w:eastAsia="zh-CN"/>
              </w:rPr>
              <w:t>精炼</w:t>
            </w:r>
            <w:r>
              <w:rPr>
                <w:rFonts w:hint="default" w:ascii="Times New Roman" w:hAnsi="Times New Roman" w:eastAsia="宋体" w:cs="Times New Roman"/>
                <w:color w:val="auto"/>
                <w:spacing w:val="0"/>
                <w:position w:val="0"/>
                <w:sz w:val="24"/>
                <w:szCs w:val="24"/>
                <w:highlight w:val="none"/>
              </w:rPr>
              <w:t>车间年运行时间为</w:t>
            </w:r>
            <w:r>
              <w:rPr>
                <w:rFonts w:hint="default" w:ascii="Times New Roman" w:hAnsi="Times New Roman" w:cs="Times New Roman"/>
                <w:color w:val="auto"/>
                <w:spacing w:val="0"/>
                <w:position w:val="0"/>
                <w:sz w:val="24"/>
                <w:szCs w:val="24"/>
                <w:highlight w:val="none"/>
                <w:lang w:val="en-US" w:eastAsia="zh-CN"/>
              </w:rPr>
              <w:t>8400</w:t>
            </w:r>
            <w:r>
              <w:rPr>
                <w:rFonts w:hint="default" w:ascii="Times New Roman" w:hAnsi="Times New Roman" w:eastAsia="宋体" w:cs="Times New Roman"/>
                <w:color w:val="auto"/>
                <w:spacing w:val="0"/>
                <w:position w:val="0"/>
                <w:sz w:val="24"/>
                <w:szCs w:val="24"/>
                <w:highlight w:val="none"/>
              </w:rPr>
              <w:t>h，</w:t>
            </w:r>
            <w:r>
              <w:rPr>
                <w:rFonts w:hint="default" w:ascii="Times New Roman" w:hAnsi="Times New Roman" w:eastAsia="宋体" w:cs="Times New Roman"/>
                <w:color w:val="auto"/>
                <w:spacing w:val="0"/>
                <w:position w:val="0"/>
                <w:sz w:val="24"/>
                <w:szCs w:val="32"/>
                <w:highlight w:val="none"/>
              </w:rPr>
              <w:t>冷凝+石蜡吸收整体正己烷回收效率可达到99%以上</w:t>
            </w:r>
            <w:r>
              <w:rPr>
                <w:rFonts w:hint="default" w:ascii="Times New Roman" w:hAnsi="Times New Roman" w:eastAsia="宋体" w:cs="Times New Roman"/>
                <w:color w:val="auto"/>
                <w:spacing w:val="0"/>
                <w:position w:val="0"/>
                <w:sz w:val="24"/>
                <w:szCs w:val="24"/>
                <w:highlight w:val="none"/>
              </w:rPr>
              <w:t>，风机风量为</w:t>
            </w:r>
            <w:r>
              <w:rPr>
                <w:rFonts w:hint="default" w:ascii="Times New Roman" w:hAnsi="Times New Roman" w:cs="Times New Roman"/>
                <w:color w:val="auto"/>
                <w:spacing w:val="0"/>
                <w:position w:val="0"/>
                <w:sz w:val="24"/>
                <w:szCs w:val="24"/>
                <w:highlight w:val="none"/>
                <w:lang w:val="en-US" w:eastAsia="zh-CN"/>
              </w:rPr>
              <w:t>2</w:t>
            </w:r>
            <w:r>
              <w:rPr>
                <w:rFonts w:hint="default" w:ascii="Times New Roman" w:hAnsi="Times New Roman" w:eastAsia="宋体" w:cs="Times New Roman"/>
                <w:color w:val="auto"/>
                <w:spacing w:val="0"/>
                <w:position w:val="0"/>
                <w:sz w:val="24"/>
                <w:szCs w:val="24"/>
                <w:highlight w:val="none"/>
              </w:rPr>
              <w:t>000m</w:t>
            </w:r>
            <w:r>
              <w:rPr>
                <w:rFonts w:hint="default" w:ascii="Times New Roman" w:hAnsi="Times New Roman" w:eastAsia="宋体" w:cs="Times New Roman"/>
                <w:color w:val="auto"/>
                <w:spacing w:val="0"/>
                <w:position w:val="0"/>
                <w:sz w:val="24"/>
                <w:szCs w:val="24"/>
                <w:highlight w:val="none"/>
                <w:vertAlign w:val="superscript"/>
              </w:rPr>
              <w:t>3</w:t>
            </w:r>
            <w:r>
              <w:rPr>
                <w:rFonts w:hint="default" w:ascii="Times New Roman" w:hAnsi="Times New Roman" w:eastAsia="宋体" w:cs="Times New Roman"/>
                <w:color w:val="auto"/>
                <w:spacing w:val="0"/>
                <w:position w:val="0"/>
                <w:sz w:val="24"/>
                <w:szCs w:val="24"/>
                <w:highlight w:val="none"/>
              </w:rPr>
              <w:t>/h。</w:t>
            </w:r>
          </w:p>
          <w:p w14:paraId="62B7DD29">
            <w:pPr>
              <w:keepNext w:val="0"/>
              <w:keepLines w:val="0"/>
              <w:pageBreakBefore w:val="0"/>
              <w:widowControl w:val="0"/>
              <w:kinsoku/>
              <w:wordWrap/>
              <w:overflowPunct/>
              <w:topLinePunct w:val="0"/>
              <w:autoSpaceDE w:val="0"/>
              <w:autoSpaceDN w:val="0"/>
              <w:bidi w:val="0"/>
              <w:adjustRightInd w:val="0"/>
              <w:snapToGrid w:val="0"/>
              <w:spacing w:beforeAutospacing="0" w:afterAutospacing="0" w:line="520" w:lineRule="exact"/>
              <w:ind w:left="0" w:leftChars="0" w:right="0" w:rightChars="0" w:firstLine="480" w:firstLineChars="200"/>
              <w:jc w:val="both"/>
              <w:textAlignment w:val="auto"/>
              <w:rPr>
                <w:rFonts w:hint="default" w:ascii="Times New Roman" w:hAnsi="Times New Roman" w:eastAsia="宋体" w:cs="Times New Roman"/>
                <w:color w:val="auto"/>
                <w:spacing w:val="0"/>
                <w:position w:val="0"/>
                <w:sz w:val="24"/>
                <w:szCs w:val="24"/>
                <w:highlight w:val="none"/>
                <w:lang w:eastAsia="zh-CN"/>
              </w:rPr>
            </w:pPr>
            <w:r>
              <w:rPr>
                <w:rFonts w:hint="default" w:ascii="Times New Roman" w:hAnsi="Times New Roman" w:eastAsia="宋体" w:cs="Times New Roman"/>
                <w:color w:val="auto"/>
                <w:spacing w:val="0"/>
                <w:position w:val="0"/>
                <w:sz w:val="24"/>
                <w:szCs w:val="32"/>
                <w:highlight w:val="none"/>
                <w:lang w:val="en-US" w:eastAsia="zh-CN"/>
              </w:rPr>
              <w:t>经计算，精炼车间有组织废气产生量为0.18t/a</w:t>
            </w:r>
            <w:r>
              <w:rPr>
                <w:rFonts w:hint="default" w:ascii="Times New Roman" w:hAnsi="Times New Roman" w:eastAsia="宋体" w:cs="Times New Roman"/>
                <w:color w:val="auto"/>
                <w:spacing w:val="0"/>
                <w:position w:val="0"/>
                <w:sz w:val="24"/>
                <w:szCs w:val="24"/>
                <w:highlight w:val="none"/>
              </w:rPr>
              <w:t>、产生速率</w:t>
            </w:r>
            <w:r>
              <w:rPr>
                <w:rFonts w:hint="default" w:ascii="Times New Roman" w:hAnsi="Times New Roman" w:cs="Times New Roman"/>
                <w:color w:val="auto"/>
                <w:spacing w:val="0"/>
                <w:position w:val="0"/>
                <w:sz w:val="24"/>
                <w:szCs w:val="24"/>
                <w:highlight w:val="none"/>
                <w:lang w:val="en-US" w:eastAsia="zh-CN"/>
              </w:rPr>
              <w:t>0.021</w:t>
            </w:r>
            <w:r>
              <w:rPr>
                <w:rFonts w:hint="default" w:ascii="Times New Roman" w:hAnsi="Times New Roman" w:eastAsia="宋体" w:cs="Times New Roman"/>
                <w:color w:val="auto"/>
                <w:spacing w:val="0"/>
                <w:position w:val="0"/>
                <w:sz w:val="24"/>
                <w:szCs w:val="24"/>
                <w:highlight w:val="none"/>
              </w:rPr>
              <w:t>kg/h、产生浓度</w:t>
            </w:r>
            <w:r>
              <w:rPr>
                <w:rFonts w:hint="default" w:ascii="Times New Roman" w:hAnsi="Times New Roman" w:cs="Times New Roman"/>
                <w:color w:val="auto"/>
                <w:spacing w:val="0"/>
                <w:position w:val="0"/>
                <w:sz w:val="24"/>
                <w:szCs w:val="24"/>
                <w:highlight w:val="none"/>
                <w:lang w:val="en-US" w:eastAsia="zh-CN"/>
              </w:rPr>
              <w:t>10.714</w:t>
            </w:r>
            <w:r>
              <w:rPr>
                <w:rFonts w:hint="default" w:ascii="Times New Roman" w:hAnsi="Times New Roman" w:eastAsia="宋体" w:cs="Times New Roman"/>
                <w:color w:val="auto"/>
                <w:spacing w:val="0"/>
                <w:position w:val="0"/>
                <w:sz w:val="24"/>
                <w:szCs w:val="24"/>
                <w:highlight w:val="none"/>
              </w:rPr>
              <w:t>mg/m</w:t>
            </w:r>
            <w:r>
              <w:rPr>
                <w:rFonts w:hint="default" w:ascii="Times New Roman" w:hAnsi="Times New Roman" w:eastAsia="宋体" w:cs="Times New Roman"/>
                <w:color w:val="auto"/>
                <w:spacing w:val="0"/>
                <w:position w:val="0"/>
                <w:sz w:val="24"/>
                <w:szCs w:val="24"/>
                <w:highlight w:val="none"/>
                <w:vertAlign w:val="superscript"/>
              </w:rPr>
              <w:t>3</w:t>
            </w:r>
            <w:r>
              <w:rPr>
                <w:rFonts w:hint="default" w:ascii="Times New Roman" w:hAnsi="Times New Roman" w:eastAsia="宋体" w:cs="Times New Roman"/>
                <w:color w:val="auto"/>
                <w:spacing w:val="0"/>
                <w:position w:val="0"/>
                <w:sz w:val="24"/>
                <w:szCs w:val="24"/>
                <w:highlight w:val="none"/>
              </w:rPr>
              <w:t>，经</w:t>
            </w:r>
            <w:r>
              <w:rPr>
                <w:rFonts w:hint="default" w:ascii="Times New Roman" w:hAnsi="Times New Roman" w:eastAsia="宋体" w:cs="Times New Roman"/>
                <w:color w:val="auto"/>
                <w:spacing w:val="0"/>
                <w:position w:val="0"/>
                <w:sz w:val="24"/>
                <w:szCs w:val="24"/>
                <w:highlight w:val="none"/>
                <w:lang w:val="en-US" w:eastAsia="zh-CN"/>
              </w:rPr>
              <w:t>石蜡吸收+活性炭吸附</w:t>
            </w:r>
            <w:r>
              <w:rPr>
                <w:rFonts w:hint="default" w:ascii="Times New Roman" w:hAnsi="Times New Roman" w:eastAsia="宋体" w:cs="Times New Roman"/>
                <w:color w:val="auto"/>
                <w:spacing w:val="0"/>
                <w:position w:val="0"/>
                <w:sz w:val="24"/>
                <w:szCs w:val="24"/>
                <w:highlight w:val="none"/>
              </w:rPr>
              <w:t>（去除效率99%）处理后</w:t>
            </w:r>
            <w:r>
              <w:rPr>
                <w:rFonts w:hint="default" w:ascii="Times New Roman" w:hAnsi="Times New Roman" w:eastAsia="宋体" w:cs="Times New Roman"/>
                <w:color w:val="auto"/>
                <w:spacing w:val="0"/>
                <w:position w:val="0"/>
                <w:sz w:val="24"/>
                <w:szCs w:val="24"/>
                <w:highlight w:val="none"/>
                <w:lang w:val="en-US" w:eastAsia="zh-CN"/>
              </w:rPr>
              <w:t>精炼</w:t>
            </w:r>
            <w:r>
              <w:rPr>
                <w:rFonts w:hint="default" w:ascii="Times New Roman" w:hAnsi="Times New Roman" w:cs="Times New Roman"/>
                <w:color w:val="auto"/>
                <w:spacing w:val="0"/>
                <w:position w:val="0"/>
                <w:sz w:val="24"/>
                <w:szCs w:val="24"/>
                <w:highlight w:val="none"/>
                <w:lang w:val="en-US" w:eastAsia="zh-CN"/>
              </w:rPr>
              <w:t>车间</w:t>
            </w:r>
            <w:r>
              <w:rPr>
                <w:rFonts w:hint="default" w:ascii="Times New Roman" w:hAnsi="Times New Roman" w:eastAsia="宋体" w:cs="Times New Roman"/>
                <w:color w:val="auto"/>
                <w:spacing w:val="0"/>
                <w:position w:val="0"/>
                <w:sz w:val="24"/>
                <w:szCs w:val="24"/>
                <w:highlight w:val="none"/>
              </w:rPr>
              <w:t>有组织废气排放量为0.</w:t>
            </w:r>
            <w:r>
              <w:rPr>
                <w:rFonts w:hint="default" w:ascii="Times New Roman" w:hAnsi="Times New Roman" w:cs="Times New Roman"/>
                <w:color w:val="auto"/>
                <w:spacing w:val="0"/>
                <w:position w:val="0"/>
                <w:sz w:val="24"/>
                <w:szCs w:val="24"/>
                <w:highlight w:val="none"/>
                <w:lang w:val="en-US" w:eastAsia="zh-CN"/>
              </w:rPr>
              <w:t>002</w:t>
            </w:r>
            <w:r>
              <w:rPr>
                <w:rFonts w:hint="default" w:ascii="Times New Roman" w:hAnsi="Times New Roman" w:eastAsia="宋体" w:cs="Times New Roman"/>
                <w:color w:val="auto"/>
                <w:spacing w:val="0"/>
                <w:position w:val="0"/>
                <w:sz w:val="24"/>
                <w:szCs w:val="24"/>
                <w:highlight w:val="none"/>
              </w:rPr>
              <w:t>t/a、排放速率0.0</w:t>
            </w:r>
            <w:r>
              <w:rPr>
                <w:rFonts w:hint="default" w:ascii="Times New Roman" w:hAnsi="Times New Roman" w:cs="Times New Roman"/>
                <w:color w:val="auto"/>
                <w:spacing w:val="0"/>
                <w:position w:val="0"/>
                <w:sz w:val="24"/>
                <w:szCs w:val="24"/>
                <w:highlight w:val="none"/>
                <w:lang w:val="en-US" w:eastAsia="zh-CN"/>
              </w:rPr>
              <w:t>002</w:t>
            </w:r>
            <w:r>
              <w:rPr>
                <w:rFonts w:hint="default" w:ascii="Times New Roman" w:hAnsi="Times New Roman" w:eastAsia="宋体" w:cs="Times New Roman"/>
                <w:color w:val="auto"/>
                <w:spacing w:val="0"/>
                <w:position w:val="0"/>
                <w:sz w:val="24"/>
                <w:szCs w:val="24"/>
                <w:highlight w:val="none"/>
              </w:rPr>
              <w:t>kg/h、排放浓度</w:t>
            </w:r>
            <w:r>
              <w:rPr>
                <w:rFonts w:hint="default" w:ascii="Times New Roman" w:hAnsi="Times New Roman" w:cs="Times New Roman"/>
                <w:color w:val="auto"/>
                <w:spacing w:val="0"/>
                <w:position w:val="0"/>
                <w:sz w:val="24"/>
                <w:szCs w:val="24"/>
                <w:highlight w:val="none"/>
                <w:lang w:val="en-US" w:eastAsia="zh-CN"/>
              </w:rPr>
              <w:t>0.107</w:t>
            </w:r>
            <w:r>
              <w:rPr>
                <w:rFonts w:hint="default" w:ascii="Times New Roman" w:hAnsi="Times New Roman" w:eastAsia="宋体" w:cs="Times New Roman"/>
                <w:color w:val="auto"/>
                <w:spacing w:val="0"/>
                <w:position w:val="0"/>
                <w:sz w:val="24"/>
                <w:szCs w:val="24"/>
                <w:highlight w:val="none"/>
              </w:rPr>
              <w:t>mg/m</w:t>
            </w:r>
            <w:r>
              <w:rPr>
                <w:rFonts w:hint="default" w:ascii="Times New Roman" w:hAnsi="Times New Roman" w:eastAsia="宋体" w:cs="Times New Roman"/>
                <w:color w:val="auto"/>
                <w:spacing w:val="0"/>
                <w:position w:val="0"/>
                <w:sz w:val="24"/>
                <w:szCs w:val="24"/>
                <w:highlight w:val="none"/>
                <w:vertAlign w:val="superscript"/>
              </w:rPr>
              <w:t>3</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经计算，颗粒物排放浓度能够满足《大气污染物综合排放标准》（GB16297-1996）表2中的二级标准要求，</w:t>
            </w:r>
            <w:r>
              <w:rPr>
                <w:rFonts w:hint="default" w:ascii="Times New Roman" w:hAnsi="Times New Roman" w:cs="Times New Roman"/>
                <w:color w:val="auto"/>
                <w:spacing w:val="0"/>
                <w:position w:val="0"/>
                <w:sz w:val="24"/>
                <w:szCs w:val="24"/>
                <w:highlight w:val="none"/>
                <w:lang w:val="en-US" w:eastAsia="zh-CN"/>
              </w:rPr>
              <w:t>非甲烷总烃排放浓度、</w:t>
            </w:r>
            <w:r>
              <w:rPr>
                <w:rFonts w:hint="default" w:ascii="Times New Roman" w:hAnsi="Times New Roman" w:eastAsia="宋体" w:cs="Times New Roman"/>
                <w:color w:val="auto"/>
                <w:spacing w:val="0"/>
                <w:position w:val="0"/>
                <w:sz w:val="24"/>
                <w:szCs w:val="24"/>
                <w:highlight w:val="none"/>
              </w:rPr>
              <w:t>排放速率能够满足《大气污染物综合排放标准》（GB16297-1996）表2中的二级标准要求</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排放速率按标准50%执行</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w:t>
            </w:r>
          </w:p>
          <w:p w14:paraId="4DE46B33">
            <w:pPr>
              <w:keepNext w:val="0"/>
              <w:keepLines w:val="0"/>
              <w:pageBreakBefore w:val="0"/>
              <w:kinsoku/>
              <w:wordWrap/>
              <w:overflowPunct/>
              <w:topLinePunct w:val="0"/>
              <w:autoSpaceDE w:val="0"/>
              <w:autoSpaceDN w:val="0"/>
              <w:bidi w:val="0"/>
              <w:adjustRightInd w:val="0"/>
              <w:snapToGrid w:val="0"/>
              <w:spacing w:beforeAutospacing="0" w:afterAutospacing="0" w:line="520" w:lineRule="exact"/>
              <w:ind w:left="0" w:leftChars="0" w:right="0" w:rightChars="0" w:firstLine="480" w:firstLineChars="200"/>
              <w:jc w:val="both"/>
              <w:textAlignment w:val="auto"/>
              <w:rPr>
                <w:rFonts w:hint="default" w:ascii="Times New Roman" w:hAnsi="Times New Roman" w:cs="Times New Roman"/>
                <w:color w:val="auto"/>
                <w:spacing w:val="0"/>
                <w:position w:val="0"/>
                <w:sz w:val="24"/>
                <w:szCs w:val="24"/>
                <w:highlight w:val="none"/>
                <w:lang w:eastAsia="zh-CN"/>
              </w:rPr>
            </w:pPr>
            <w:r>
              <w:rPr>
                <w:rFonts w:hint="default" w:ascii="Times New Roman" w:hAnsi="Times New Roman" w:cs="Times New Roman"/>
                <w:color w:val="auto"/>
                <w:spacing w:val="0"/>
                <w:position w:val="0"/>
                <w:sz w:val="24"/>
                <w:szCs w:val="24"/>
                <w:highlight w:val="none"/>
                <w:lang w:eastAsia="zh-CN"/>
              </w:rPr>
              <w:t>臭气浓度主要为游离脂肪酸含有的异味，根据《排污许可证申请与核发技术规范 农副食品加工工业-饲料加工、植物油加工工业》（HJ1110-2020）脱臭、脱色工段脱色塔、脱臭塔工序产生的臭气浓度可行技术为喷淋塔除臭、活性炭吸附除臭，表明本项目采取臭气浓度处理措施“</w:t>
            </w:r>
            <w:r>
              <w:rPr>
                <w:rFonts w:hint="default" w:ascii="Times New Roman" w:hAnsi="Times New Roman" w:cs="Times New Roman"/>
                <w:color w:val="auto"/>
                <w:spacing w:val="0"/>
                <w:position w:val="0"/>
                <w:sz w:val="24"/>
                <w:szCs w:val="24"/>
                <w:highlight w:val="none"/>
                <w:lang w:val="en-US" w:eastAsia="zh-CN"/>
              </w:rPr>
              <w:t>石蜡吸收</w:t>
            </w:r>
            <w:r>
              <w:rPr>
                <w:rFonts w:hint="default" w:ascii="Times New Roman" w:hAnsi="Times New Roman" w:cs="Times New Roman"/>
                <w:color w:val="auto"/>
                <w:spacing w:val="0"/>
                <w:position w:val="0"/>
                <w:sz w:val="24"/>
                <w:szCs w:val="24"/>
                <w:highlight w:val="none"/>
                <w:lang w:eastAsia="zh-CN"/>
              </w:rPr>
              <w:t>+二级活性炭吸附”为可行技术，本项目采取的“</w:t>
            </w:r>
            <w:r>
              <w:rPr>
                <w:rFonts w:hint="default" w:ascii="Times New Roman" w:hAnsi="Times New Roman" w:cs="Times New Roman"/>
                <w:color w:val="auto"/>
                <w:spacing w:val="0"/>
                <w:position w:val="0"/>
                <w:sz w:val="24"/>
                <w:szCs w:val="24"/>
                <w:highlight w:val="none"/>
                <w:lang w:val="en-US" w:eastAsia="zh-CN"/>
              </w:rPr>
              <w:t>石蜡吸收</w:t>
            </w:r>
            <w:r>
              <w:rPr>
                <w:rFonts w:hint="default" w:ascii="Times New Roman" w:hAnsi="Times New Roman" w:cs="Times New Roman"/>
                <w:color w:val="auto"/>
                <w:spacing w:val="0"/>
                <w:position w:val="0"/>
                <w:sz w:val="24"/>
                <w:szCs w:val="24"/>
                <w:highlight w:val="none"/>
                <w:lang w:eastAsia="zh-CN"/>
              </w:rPr>
              <w:t>+两级活性炭吸附”对臭气浓度去除效率可达90%，可稳定达标排放，即臭气浓度排放可满足《恶臭污染物排放标准》（GB14554-93）表2中恶臭污染物排放标准值要求，即可</w:t>
            </w:r>
            <w:r>
              <w:rPr>
                <w:rFonts w:hint="default" w:ascii="Times New Roman" w:hAnsi="Times New Roman" w:eastAsia="微软雅黑" w:cs="Times New Roman"/>
                <w:color w:val="auto"/>
                <w:spacing w:val="0"/>
                <w:position w:val="0"/>
                <w:sz w:val="24"/>
                <w:szCs w:val="24"/>
                <w:highlight w:val="none"/>
                <w:lang w:eastAsia="zh-CN"/>
              </w:rPr>
              <w:t>&lt;</w:t>
            </w:r>
            <w:r>
              <w:rPr>
                <w:rFonts w:hint="default" w:ascii="Times New Roman" w:hAnsi="Times New Roman" w:cs="Times New Roman"/>
                <w:color w:val="auto"/>
                <w:spacing w:val="0"/>
                <w:position w:val="0"/>
                <w:sz w:val="24"/>
                <w:szCs w:val="24"/>
                <w:highlight w:val="none"/>
                <w:lang w:eastAsia="zh-CN"/>
              </w:rPr>
              <w:t>2000（无量纲）。</w:t>
            </w:r>
          </w:p>
          <w:p w14:paraId="01BAD4AB">
            <w:pPr>
              <w:keepNext w:val="0"/>
              <w:keepLines w:val="0"/>
              <w:pageBreakBefore w:val="0"/>
              <w:kinsoku/>
              <w:wordWrap/>
              <w:overflowPunct/>
              <w:topLinePunct w:val="0"/>
              <w:autoSpaceDE w:val="0"/>
              <w:autoSpaceDN w:val="0"/>
              <w:bidi w:val="0"/>
              <w:adjustRightInd w:val="0"/>
              <w:snapToGrid w:val="0"/>
              <w:spacing w:beforeAutospacing="0" w:afterAutospacing="0" w:line="520" w:lineRule="exact"/>
              <w:ind w:left="0" w:leftChars="0" w:right="0" w:rightChars="0" w:firstLine="480" w:firstLineChars="200"/>
              <w:jc w:val="both"/>
              <w:textAlignment w:val="auto"/>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4</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溶剂油储罐大小呼吸产生的废气</w:t>
            </w:r>
          </w:p>
          <w:p w14:paraId="0DB54104">
            <w:pPr>
              <w:keepNext w:val="0"/>
              <w:keepLines w:val="0"/>
              <w:pageBreakBefore w:val="0"/>
              <w:kinsoku/>
              <w:wordWrap/>
              <w:overflowPunct/>
              <w:topLinePunct w:val="0"/>
              <w:bidi w:val="0"/>
              <w:adjustRightInd w:val="0"/>
              <w:snapToGrid w:val="0"/>
              <w:spacing w:line="520" w:lineRule="exact"/>
              <w:ind w:right="0" w:firstLine="480" w:firstLineChars="200"/>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rPr>
              <w:t>根据美国《工业污染源调查与研究》第二辑计算，储罐废气排放量计算公式如下：</w:t>
            </w:r>
          </w:p>
          <w:p w14:paraId="333010CC">
            <w:pPr>
              <w:keepNext w:val="0"/>
              <w:keepLines w:val="0"/>
              <w:pageBreakBefore w:val="0"/>
              <w:kinsoku/>
              <w:wordWrap/>
              <w:overflowPunct/>
              <w:topLinePunct w:val="0"/>
              <w:bidi w:val="0"/>
              <w:adjustRightInd w:val="0"/>
              <w:snapToGrid w:val="0"/>
              <w:spacing w:line="520" w:lineRule="exact"/>
              <w:ind w:right="0" w:firstLine="480" w:firstLineChars="200"/>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①</w:t>
            </w:r>
            <w:r>
              <w:rPr>
                <w:rFonts w:hint="default" w:ascii="Times New Roman" w:hAnsi="Times New Roman" w:cs="Times New Roman"/>
                <w:color w:val="auto"/>
                <w:spacing w:val="0"/>
                <w:position w:val="0"/>
                <w:sz w:val="24"/>
                <w:szCs w:val="24"/>
                <w:highlight w:val="none"/>
              </w:rPr>
              <w:t>储罐小呼吸排放量（储存状态）：</w:t>
            </w:r>
          </w:p>
          <w:p w14:paraId="28EBE661">
            <w:pPr>
              <w:pStyle w:val="97"/>
              <w:keepNext w:val="0"/>
              <w:keepLines w:val="0"/>
              <w:pageBreakBefore w:val="0"/>
              <w:kinsoku/>
              <w:wordWrap/>
              <w:overflowPunct/>
              <w:topLinePunct w:val="0"/>
              <w:bidi w:val="0"/>
              <w:adjustRightInd w:val="0"/>
              <w:snapToGrid w:val="0"/>
              <w:spacing w:line="240" w:lineRule="auto"/>
              <w:ind w:right="0" w:firstLine="480" w:firstLineChars="200"/>
              <w:jc w:val="center"/>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rPr>
              <w:t xml:space="preserve">    </w:t>
            </w:r>
            <w:r>
              <w:rPr>
                <w:rFonts w:hint="default" w:ascii="Times New Roman" w:hAnsi="Times New Roman" w:cs="Times New Roman"/>
                <w:color w:val="auto"/>
                <w:spacing w:val="0"/>
                <w:position w:val="0"/>
                <w:sz w:val="24"/>
                <w:szCs w:val="24"/>
                <w:highlight w:val="none"/>
              </w:rPr>
              <w:object>
                <v:shape id="_x0000_i1025" o:spt="75" type="#_x0000_t75" style="height:33.3pt;width:316.05pt;" o:ole="t" filled="f" o:preferrelative="t" stroked="f" coordsize="21600,21600">
                  <v:path/>
                  <v:fill on="f" focussize="0,0"/>
                  <v:stroke on="f"/>
                  <v:imagedata r:id="rId27" o:title=""/>
                  <o:lock v:ext="edit" aspectratio="t"/>
                  <w10:wrap type="none"/>
                  <w10:anchorlock/>
                </v:shape>
                <o:OLEObject Type="Embed" ProgID="Equation.3" ShapeID="_x0000_i1025" DrawAspect="Content" ObjectID="_1468075725" r:id="rId26">
                  <o:LockedField>false</o:LockedField>
                </o:OLEObject>
              </w:object>
            </w:r>
          </w:p>
          <w:p w14:paraId="36D64368">
            <w:pPr>
              <w:pStyle w:val="97"/>
              <w:keepNext w:val="0"/>
              <w:keepLines w:val="0"/>
              <w:pageBreakBefore w:val="0"/>
              <w:tabs>
                <w:tab w:val="left" w:pos="900"/>
              </w:tabs>
              <w:kinsoku/>
              <w:wordWrap/>
              <w:overflowPunct/>
              <w:topLinePunct w:val="0"/>
              <w:bidi w:val="0"/>
              <w:adjustRightInd w:val="0"/>
              <w:snapToGrid w:val="0"/>
              <w:spacing w:line="520" w:lineRule="exact"/>
              <w:ind w:right="0" w:firstLine="480" w:firstLineChars="200"/>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rPr>
              <w:t>式中：</w:t>
            </w:r>
            <w:r>
              <w:rPr>
                <w:rFonts w:hint="default" w:ascii="Times New Roman" w:hAnsi="Times New Roman" w:cs="Times New Roman"/>
                <w:i/>
                <w:color w:val="auto"/>
                <w:spacing w:val="0"/>
                <w:position w:val="0"/>
                <w:sz w:val="24"/>
                <w:szCs w:val="24"/>
                <w:highlight w:val="none"/>
              </w:rPr>
              <w:t>L</w:t>
            </w:r>
            <w:r>
              <w:rPr>
                <w:rFonts w:hint="default" w:ascii="Times New Roman" w:hAnsi="Times New Roman" w:cs="Times New Roman"/>
                <w:color w:val="auto"/>
                <w:spacing w:val="0"/>
                <w:position w:val="0"/>
                <w:sz w:val="24"/>
                <w:szCs w:val="24"/>
                <w:highlight w:val="none"/>
                <w:vertAlign w:val="subscript"/>
              </w:rPr>
              <w:t>B</w:t>
            </w:r>
            <w:r>
              <w:rPr>
                <w:rFonts w:hint="default" w:ascii="Times New Roman" w:hAnsi="Times New Roman" w:cs="Times New Roman"/>
                <w:color w:val="auto"/>
                <w:spacing w:val="0"/>
                <w:position w:val="0"/>
                <w:sz w:val="24"/>
                <w:szCs w:val="24"/>
                <w:highlight w:val="none"/>
              </w:rPr>
              <w:t>—储罐小呼吸排放量（kg/a）；</w:t>
            </w:r>
          </w:p>
          <w:p w14:paraId="17785787">
            <w:pPr>
              <w:pStyle w:val="97"/>
              <w:keepNext w:val="0"/>
              <w:keepLines w:val="0"/>
              <w:pageBreakBefore w:val="0"/>
              <w:kinsoku/>
              <w:wordWrap/>
              <w:overflowPunct/>
              <w:topLinePunct w:val="0"/>
              <w:bidi w:val="0"/>
              <w:adjustRightInd w:val="0"/>
              <w:snapToGrid w:val="0"/>
              <w:spacing w:line="520" w:lineRule="exact"/>
              <w:ind w:right="0" w:firstLine="480" w:firstLineChars="200"/>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i/>
                <w:color w:val="auto"/>
                <w:spacing w:val="0"/>
                <w:position w:val="0"/>
                <w:sz w:val="24"/>
                <w:szCs w:val="24"/>
                <w:highlight w:val="none"/>
              </w:rPr>
              <w:t>M</w:t>
            </w:r>
            <w:r>
              <w:rPr>
                <w:rFonts w:hint="default" w:ascii="Times New Roman" w:hAnsi="Times New Roman" w:cs="Times New Roman"/>
                <w:color w:val="auto"/>
                <w:spacing w:val="0"/>
                <w:position w:val="0"/>
                <w:sz w:val="24"/>
                <w:szCs w:val="24"/>
                <w:highlight w:val="none"/>
              </w:rPr>
              <w:t>—储罐内蒸气的分子量；（</w:t>
            </w:r>
            <w:r>
              <w:rPr>
                <w:rFonts w:hint="default" w:ascii="Times New Roman" w:hAnsi="Times New Roman" w:cs="Times New Roman"/>
                <w:color w:val="auto"/>
                <w:spacing w:val="0"/>
                <w:position w:val="0"/>
                <w:sz w:val="24"/>
                <w:szCs w:val="24"/>
                <w:highlight w:val="none"/>
                <w:lang w:val="en-US" w:eastAsia="zh-CN"/>
              </w:rPr>
              <w:t>正己烷</w:t>
            </w:r>
            <w:r>
              <w:rPr>
                <w:rFonts w:hint="default" w:ascii="Times New Roman" w:hAnsi="Times New Roman" w:cs="Times New Roman"/>
                <w:color w:val="auto"/>
                <w:spacing w:val="0"/>
                <w:position w:val="0"/>
                <w:sz w:val="24"/>
                <w:szCs w:val="24"/>
                <w:highlight w:val="none"/>
              </w:rPr>
              <w:t>分子量在</w:t>
            </w:r>
            <w:r>
              <w:rPr>
                <w:rFonts w:hint="default" w:ascii="Times New Roman" w:hAnsi="Times New Roman" w:cs="Times New Roman"/>
                <w:color w:val="auto"/>
                <w:spacing w:val="0"/>
                <w:position w:val="0"/>
                <w:sz w:val="24"/>
                <w:szCs w:val="24"/>
                <w:highlight w:val="none"/>
                <w:lang w:val="en-US" w:eastAsia="zh-CN"/>
              </w:rPr>
              <w:t>86.2</w:t>
            </w:r>
            <w:r>
              <w:rPr>
                <w:rFonts w:hint="default" w:ascii="Times New Roman" w:hAnsi="Times New Roman" w:cs="Times New Roman"/>
                <w:color w:val="auto"/>
                <w:spacing w:val="0"/>
                <w:position w:val="0"/>
                <w:sz w:val="24"/>
                <w:szCs w:val="24"/>
                <w:highlight w:val="none"/>
              </w:rPr>
              <w:t>）</w:t>
            </w:r>
          </w:p>
          <w:p w14:paraId="03A54DED">
            <w:pPr>
              <w:pStyle w:val="97"/>
              <w:keepNext w:val="0"/>
              <w:keepLines w:val="0"/>
              <w:pageBreakBefore w:val="0"/>
              <w:kinsoku/>
              <w:wordWrap/>
              <w:overflowPunct/>
              <w:topLinePunct w:val="0"/>
              <w:bidi w:val="0"/>
              <w:adjustRightInd w:val="0"/>
              <w:snapToGrid w:val="0"/>
              <w:spacing w:line="520" w:lineRule="exact"/>
              <w:ind w:right="0" w:firstLine="480" w:firstLineChars="200"/>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i/>
                <w:color w:val="auto"/>
                <w:spacing w:val="0"/>
                <w:position w:val="0"/>
                <w:sz w:val="24"/>
                <w:szCs w:val="24"/>
                <w:highlight w:val="none"/>
              </w:rPr>
              <w:t>P</w:t>
            </w:r>
            <w:r>
              <w:rPr>
                <w:rFonts w:hint="default" w:ascii="Times New Roman" w:hAnsi="Times New Roman" w:cs="Times New Roman"/>
                <w:color w:val="auto"/>
                <w:spacing w:val="0"/>
                <w:position w:val="0"/>
                <w:sz w:val="24"/>
                <w:szCs w:val="24"/>
                <w:highlight w:val="none"/>
              </w:rPr>
              <w:t>—在大量液体状态下，真实的蒸气压力（Pa）；（本项目取值</w:t>
            </w:r>
            <w:r>
              <w:rPr>
                <w:rFonts w:hint="default" w:ascii="Times New Roman" w:hAnsi="Times New Roman" w:cs="Times New Roman"/>
                <w:color w:val="auto"/>
                <w:spacing w:val="0"/>
                <w:position w:val="0"/>
                <w:sz w:val="24"/>
                <w:szCs w:val="24"/>
                <w:highlight w:val="none"/>
                <w:lang w:val="en-US" w:eastAsia="zh-CN"/>
              </w:rPr>
              <w:t>1330</w:t>
            </w:r>
            <w:r>
              <w:rPr>
                <w:rFonts w:hint="default" w:ascii="Times New Roman" w:hAnsi="Times New Roman" w:cs="Times New Roman"/>
                <w:color w:val="auto"/>
                <w:spacing w:val="0"/>
                <w:position w:val="0"/>
                <w:sz w:val="24"/>
                <w:szCs w:val="24"/>
                <w:highlight w:val="none"/>
              </w:rPr>
              <w:t>）</w:t>
            </w:r>
          </w:p>
          <w:p w14:paraId="6B2C82A1">
            <w:pPr>
              <w:pStyle w:val="97"/>
              <w:keepNext w:val="0"/>
              <w:keepLines w:val="0"/>
              <w:pageBreakBefore w:val="0"/>
              <w:kinsoku/>
              <w:wordWrap/>
              <w:overflowPunct/>
              <w:topLinePunct w:val="0"/>
              <w:bidi w:val="0"/>
              <w:adjustRightInd w:val="0"/>
              <w:snapToGrid w:val="0"/>
              <w:spacing w:line="520" w:lineRule="exact"/>
              <w:ind w:right="0" w:firstLine="480" w:firstLineChars="200"/>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i/>
                <w:color w:val="auto"/>
                <w:spacing w:val="0"/>
                <w:position w:val="0"/>
                <w:sz w:val="24"/>
                <w:szCs w:val="24"/>
                <w:highlight w:val="none"/>
              </w:rPr>
              <w:t>D</w:t>
            </w:r>
            <w:r>
              <w:rPr>
                <w:rFonts w:hint="default" w:ascii="Times New Roman" w:hAnsi="Times New Roman" w:cs="Times New Roman"/>
                <w:color w:val="auto"/>
                <w:spacing w:val="0"/>
                <w:position w:val="0"/>
                <w:sz w:val="24"/>
                <w:szCs w:val="24"/>
                <w:highlight w:val="none"/>
              </w:rPr>
              <w:t>—罐的直径（m）；（本项目储罐的直径为2.</w:t>
            </w:r>
            <w:r>
              <w:rPr>
                <w:rFonts w:hint="default" w:ascii="Times New Roman" w:hAnsi="Times New Roman" w:cs="Times New Roman"/>
                <w:color w:val="auto"/>
                <w:spacing w:val="0"/>
                <w:position w:val="0"/>
                <w:sz w:val="24"/>
                <w:szCs w:val="24"/>
                <w:highlight w:val="none"/>
                <w:lang w:val="en-US" w:eastAsia="zh-CN"/>
              </w:rPr>
              <w:t>8</w:t>
            </w:r>
            <w:r>
              <w:rPr>
                <w:rFonts w:hint="default" w:ascii="Times New Roman" w:hAnsi="Times New Roman" w:cs="Times New Roman"/>
                <w:color w:val="auto"/>
                <w:spacing w:val="0"/>
                <w:position w:val="0"/>
                <w:sz w:val="24"/>
                <w:szCs w:val="24"/>
                <w:highlight w:val="none"/>
              </w:rPr>
              <w:t>m）</w:t>
            </w:r>
          </w:p>
          <w:p w14:paraId="46BE6787">
            <w:pPr>
              <w:pStyle w:val="97"/>
              <w:keepNext w:val="0"/>
              <w:keepLines w:val="0"/>
              <w:pageBreakBefore w:val="0"/>
              <w:kinsoku/>
              <w:wordWrap/>
              <w:overflowPunct/>
              <w:topLinePunct w:val="0"/>
              <w:bidi w:val="0"/>
              <w:adjustRightInd w:val="0"/>
              <w:snapToGrid w:val="0"/>
              <w:spacing w:line="520" w:lineRule="exact"/>
              <w:ind w:right="0" w:firstLine="480" w:firstLineChars="200"/>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i/>
                <w:color w:val="auto"/>
                <w:spacing w:val="0"/>
                <w:position w:val="0"/>
                <w:sz w:val="24"/>
                <w:szCs w:val="24"/>
                <w:highlight w:val="none"/>
              </w:rPr>
              <w:t>H</w:t>
            </w:r>
            <w:r>
              <w:rPr>
                <w:rFonts w:hint="default" w:ascii="Times New Roman" w:hAnsi="Times New Roman" w:cs="Times New Roman"/>
                <w:color w:val="auto"/>
                <w:spacing w:val="0"/>
                <w:position w:val="0"/>
                <w:sz w:val="24"/>
                <w:szCs w:val="24"/>
                <w:highlight w:val="none"/>
              </w:rPr>
              <w:t>—平均蒸气空间高度（m）；（本项目H取值为0.2m）</w:t>
            </w:r>
          </w:p>
          <w:p w14:paraId="236B2BDE">
            <w:pPr>
              <w:pStyle w:val="97"/>
              <w:keepNext w:val="0"/>
              <w:keepLines w:val="0"/>
              <w:pageBreakBefore w:val="0"/>
              <w:kinsoku/>
              <w:wordWrap/>
              <w:overflowPunct/>
              <w:topLinePunct w:val="0"/>
              <w:bidi w:val="0"/>
              <w:adjustRightInd w:val="0"/>
              <w:snapToGrid w:val="0"/>
              <w:spacing w:line="520" w:lineRule="exact"/>
              <w:ind w:right="0" w:firstLine="480" w:firstLineChars="200"/>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rPr>
              <w:t>△T—一天之内的平均温度差（℃）；（本项目△T取值为4℃）</w:t>
            </w:r>
          </w:p>
          <w:p w14:paraId="65035078">
            <w:pPr>
              <w:pStyle w:val="97"/>
              <w:keepNext w:val="0"/>
              <w:keepLines w:val="0"/>
              <w:pageBreakBefore w:val="0"/>
              <w:kinsoku/>
              <w:wordWrap/>
              <w:overflowPunct/>
              <w:topLinePunct w:val="0"/>
              <w:bidi w:val="0"/>
              <w:adjustRightInd w:val="0"/>
              <w:snapToGrid w:val="0"/>
              <w:spacing w:line="520" w:lineRule="exact"/>
              <w:ind w:right="0" w:firstLine="480" w:firstLineChars="200"/>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i/>
                <w:color w:val="auto"/>
                <w:spacing w:val="0"/>
                <w:position w:val="0"/>
                <w:sz w:val="24"/>
                <w:szCs w:val="24"/>
                <w:highlight w:val="none"/>
              </w:rPr>
              <w:t>F</w:t>
            </w:r>
            <w:r>
              <w:rPr>
                <w:rFonts w:hint="default" w:ascii="Times New Roman" w:hAnsi="Times New Roman" w:cs="Times New Roman"/>
                <w:color w:val="auto"/>
                <w:spacing w:val="0"/>
                <w:position w:val="0"/>
                <w:sz w:val="24"/>
                <w:szCs w:val="24"/>
                <w:highlight w:val="none"/>
                <w:vertAlign w:val="subscript"/>
              </w:rPr>
              <w:t>P</w:t>
            </w:r>
            <w:r>
              <w:rPr>
                <w:rFonts w:hint="default" w:ascii="Times New Roman" w:hAnsi="Times New Roman" w:cs="Times New Roman"/>
                <w:color w:val="auto"/>
                <w:spacing w:val="0"/>
                <w:position w:val="0"/>
                <w:sz w:val="24"/>
                <w:szCs w:val="24"/>
                <w:highlight w:val="none"/>
              </w:rPr>
              <w:t>—涂层因子（无量纲），根据油漆状况取值在1～1.5之间；</w:t>
            </w:r>
          </w:p>
          <w:p w14:paraId="0658CA8C">
            <w:pPr>
              <w:pStyle w:val="97"/>
              <w:keepNext w:val="0"/>
              <w:keepLines w:val="0"/>
              <w:pageBreakBefore w:val="0"/>
              <w:kinsoku/>
              <w:wordWrap/>
              <w:overflowPunct/>
              <w:topLinePunct w:val="0"/>
              <w:bidi w:val="0"/>
              <w:adjustRightInd w:val="0"/>
              <w:snapToGrid w:val="0"/>
              <w:spacing w:line="520" w:lineRule="exact"/>
              <w:ind w:right="0" w:firstLine="480" w:firstLineChars="200"/>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i/>
                <w:color w:val="auto"/>
                <w:spacing w:val="0"/>
                <w:position w:val="0"/>
                <w:sz w:val="24"/>
                <w:szCs w:val="24"/>
                <w:highlight w:val="none"/>
              </w:rPr>
              <w:t>C</w:t>
            </w:r>
            <w:r>
              <w:rPr>
                <w:rFonts w:hint="default" w:ascii="Times New Roman" w:hAnsi="Times New Roman" w:cs="Times New Roman"/>
                <w:color w:val="auto"/>
                <w:spacing w:val="0"/>
                <w:position w:val="0"/>
                <w:sz w:val="24"/>
                <w:szCs w:val="24"/>
                <w:highlight w:val="none"/>
              </w:rPr>
              <w:t>—用于小直径罐的调节因子（无量纲）；对于直径在0～9m之间的罐体，</w:t>
            </w:r>
            <w:r>
              <w:rPr>
                <w:rFonts w:hint="default" w:ascii="Times New Roman" w:hAnsi="Times New Roman" w:cs="Times New Roman"/>
                <w:color w:val="auto"/>
                <w:spacing w:val="0"/>
                <w:position w:val="0"/>
                <w:sz w:val="24"/>
                <w:szCs w:val="24"/>
                <w:highlight w:val="none"/>
              </w:rPr>
              <w:object>
                <v:shape id="_x0000_i1026" o:spt="75" type="#_x0000_t75" style="height:19.3pt;width:120.25pt;" o:ole="t" filled="f" o:preferrelative="t" stroked="f" coordsize="21600,21600">
                  <v:path/>
                  <v:fill on="f" focussize="0,0"/>
                  <v:stroke on="f"/>
                  <v:imagedata r:id="rId29" o:title=""/>
                  <o:lock v:ext="edit" aspectratio="t"/>
                  <w10:wrap type="none"/>
                  <w10:anchorlock/>
                </v:shape>
                <o:OLEObject Type="Embed" ProgID="Equation.3" ShapeID="_x0000_i1026" DrawAspect="Content" ObjectID="_1468075726" r:id="rId28">
                  <o:LockedField>false</o:LockedField>
                </o:OLEObject>
              </w:object>
            </w:r>
            <w:r>
              <w:rPr>
                <w:rFonts w:hint="default" w:ascii="Times New Roman" w:hAnsi="Times New Roman" w:cs="Times New Roman"/>
                <w:color w:val="auto"/>
                <w:spacing w:val="0"/>
                <w:position w:val="0"/>
                <w:sz w:val="24"/>
                <w:szCs w:val="24"/>
                <w:highlight w:val="none"/>
              </w:rPr>
              <w:t>；罐径大于9m的C=1；（经计算，本项目C取0.</w:t>
            </w:r>
            <w:r>
              <w:rPr>
                <w:rFonts w:hint="default" w:ascii="Times New Roman" w:hAnsi="Times New Roman" w:cs="Times New Roman"/>
                <w:color w:val="auto"/>
                <w:spacing w:val="0"/>
                <w:position w:val="0"/>
                <w:sz w:val="24"/>
                <w:szCs w:val="24"/>
                <w:highlight w:val="none"/>
                <w:lang w:val="en-US" w:eastAsia="zh-CN"/>
              </w:rPr>
              <w:t>53</w:t>
            </w:r>
            <w:r>
              <w:rPr>
                <w:rFonts w:hint="default" w:ascii="Times New Roman" w:hAnsi="Times New Roman" w:cs="Times New Roman"/>
                <w:color w:val="auto"/>
                <w:spacing w:val="0"/>
                <w:position w:val="0"/>
                <w:sz w:val="24"/>
                <w:szCs w:val="24"/>
                <w:highlight w:val="none"/>
              </w:rPr>
              <w:t>）</w:t>
            </w:r>
          </w:p>
          <w:p w14:paraId="48FB1664">
            <w:pPr>
              <w:keepNext w:val="0"/>
              <w:keepLines w:val="0"/>
              <w:pageBreakBefore w:val="0"/>
              <w:kinsoku/>
              <w:wordWrap/>
              <w:overflowPunct/>
              <w:topLinePunct w:val="0"/>
              <w:bidi w:val="0"/>
              <w:adjustRightInd w:val="0"/>
              <w:snapToGrid w:val="0"/>
              <w:spacing w:line="520" w:lineRule="exact"/>
              <w:ind w:right="0" w:firstLine="480" w:firstLineChars="200"/>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i/>
                <w:color w:val="auto"/>
                <w:spacing w:val="0"/>
                <w:position w:val="0"/>
                <w:sz w:val="24"/>
                <w:szCs w:val="24"/>
                <w:highlight w:val="none"/>
              </w:rPr>
              <w:t>K</w:t>
            </w:r>
            <w:r>
              <w:rPr>
                <w:rFonts w:hint="default" w:ascii="Times New Roman" w:hAnsi="Times New Roman" w:cs="Times New Roman"/>
                <w:color w:val="auto"/>
                <w:spacing w:val="0"/>
                <w:position w:val="0"/>
                <w:sz w:val="24"/>
                <w:szCs w:val="24"/>
                <w:highlight w:val="none"/>
                <w:vertAlign w:val="subscript"/>
              </w:rPr>
              <w:t>C</w:t>
            </w:r>
            <w:r>
              <w:rPr>
                <w:rFonts w:hint="default" w:ascii="Times New Roman" w:hAnsi="Times New Roman" w:cs="Times New Roman"/>
                <w:color w:val="auto"/>
                <w:spacing w:val="0"/>
                <w:position w:val="0"/>
                <w:sz w:val="24"/>
                <w:szCs w:val="24"/>
                <w:highlight w:val="none"/>
              </w:rPr>
              <w:t>—产品因子（石油原油取0</w:t>
            </w:r>
            <w:r>
              <w:rPr>
                <w:rFonts w:hint="default" w:ascii="Times New Roman" w:hAnsi="Times New Roman" w:cs="Times New Roman"/>
                <w:color w:val="auto"/>
                <w:spacing w:val="0"/>
                <w:position w:val="0"/>
                <w:sz w:val="24"/>
                <w:szCs w:val="24"/>
                <w:highlight w:val="none"/>
                <w:vertAlign w:val="subscript"/>
              </w:rPr>
              <w:t>.</w:t>
            </w:r>
            <w:r>
              <w:rPr>
                <w:rFonts w:hint="default" w:ascii="Times New Roman" w:hAnsi="Times New Roman" w:cs="Times New Roman"/>
                <w:color w:val="auto"/>
                <w:spacing w:val="0"/>
                <w:position w:val="0"/>
                <w:sz w:val="24"/>
                <w:szCs w:val="24"/>
                <w:highlight w:val="none"/>
              </w:rPr>
              <w:t>65，其他的有机液体取1.0）；</w:t>
            </w:r>
          </w:p>
          <w:p w14:paraId="63FF9720">
            <w:pPr>
              <w:pStyle w:val="97"/>
              <w:keepNext w:val="0"/>
              <w:keepLines w:val="0"/>
              <w:pageBreakBefore w:val="0"/>
              <w:kinsoku/>
              <w:wordWrap/>
              <w:overflowPunct/>
              <w:topLinePunct w:val="0"/>
              <w:bidi w:val="0"/>
              <w:adjustRightInd w:val="0"/>
              <w:snapToGrid w:val="0"/>
              <w:spacing w:line="520" w:lineRule="exact"/>
              <w:ind w:right="0" w:firstLine="480" w:firstLineChars="200"/>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i/>
                <w:color w:val="auto"/>
                <w:spacing w:val="0"/>
                <w:position w:val="0"/>
                <w:sz w:val="24"/>
                <w:szCs w:val="24"/>
                <w:highlight w:val="none"/>
              </w:rPr>
              <w:t>η</w:t>
            </w:r>
            <w:r>
              <w:rPr>
                <w:rFonts w:hint="default" w:ascii="Times New Roman" w:hAnsi="Times New Roman" w:cs="Times New Roman"/>
                <w:color w:val="auto"/>
                <w:spacing w:val="0"/>
                <w:position w:val="0"/>
                <w:sz w:val="24"/>
                <w:szCs w:val="24"/>
                <w:highlight w:val="none"/>
                <w:vertAlign w:val="subscript"/>
              </w:rPr>
              <w:t>1</w:t>
            </w:r>
            <w:r>
              <w:rPr>
                <w:rFonts w:hint="default" w:ascii="Times New Roman" w:hAnsi="Times New Roman" w:cs="Times New Roman"/>
                <w:color w:val="auto"/>
                <w:spacing w:val="0"/>
                <w:position w:val="0"/>
                <w:sz w:val="24"/>
                <w:szCs w:val="24"/>
                <w:highlight w:val="none"/>
              </w:rPr>
              <w:t>—内浮顶储罐取0.05，卧式罐1；</w:t>
            </w:r>
          </w:p>
          <w:p w14:paraId="34FD6BFB">
            <w:pPr>
              <w:keepNext w:val="0"/>
              <w:keepLines w:val="0"/>
              <w:pageBreakBefore w:val="0"/>
              <w:kinsoku/>
              <w:wordWrap/>
              <w:overflowPunct/>
              <w:topLinePunct w:val="0"/>
              <w:bidi w:val="0"/>
              <w:adjustRightInd w:val="0"/>
              <w:snapToGrid w:val="0"/>
              <w:spacing w:line="520" w:lineRule="exact"/>
              <w:ind w:right="0" w:firstLine="480" w:firstLineChars="200"/>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i/>
                <w:color w:val="auto"/>
                <w:spacing w:val="0"/>
                <w:position w:val="0"/>
                <w:sz w:val="24"/>
                <w:szCs w:val="24"/>
                <w:highlight w:val="none"/>
              </w:rPr>
              <w:t>η</w:t>
            </w:r>
            <w:r>
              <w:rPr>
                <w:rFonts w:hint="default" w:ascii="Times New Roman" w:hAnsi="Times New Roman" w:cs="Times New Roman"/>
                <w:color w:val="auto"/>
                <w:spacing w:val="0"/>
                <w:position w:val="0"/>
                <w:sz w:val="24"/>
                <w:szCs w:val="24"/>
                <w:highlight w:val="none"/>
                <w:vertAlign w:val="subscript"/>
              </w:rPr>
              <w:t>2</w:t>
            </w:r>
            <w:r>
              <w:rPr>
                <w:rFonts w:hint="default" w:ascii="Times New Roman" w:hAnsi="Times New Roman" w:cs="Times New Roman"/>
                <w:color w:val="auto"/>
                <w:spacing w:val="0"/>
                <w:position w:val="0"/>
                <w:sz w:val="24"/>
                <w:szCs w:val="24"/>
                <w:highlight w:val="none"/>
              </w:rPr>
              <w:t>—设置呼吸阀取0.7，不设呼吸阀取1。</w:t>
            </w:r>
          </w:p>
          <w:p w14:paraId="67FD8EE2">
            <w:pPr>
              <w:pStyle w:val="11"/>
              <w:keepNext w:val="0"/>
              <w:keepLines w:val="0"/>
              <w:pageBreakBefore w:val="0"/>
              <w:kinsoku/>
              <w:wordWrap/>
              <w:overflowPunct/>
              <w:topLinePunct w:val="0"/>
              <w:bidi w:val="0"/>
              <w:adjustRightInd w:val="0"/>
              <w:snapToGrid w:val="0"/>
              <w:spacing w:before="0" w:after="0" w:line="520" w:lineRule="exact"/>
              <w:ind w:right="0" w:firstLine="480" w:firstLineChars="200"/>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rPr>
              <w:t>经计算本项目</w:t>
            </w:r>
            <w:r>
              <w:rPr>
                <w:rFonts w:hint="default" w:ascii="Times New Roman" w:hAnsi="Times New Roman" w:cs="Times New Roman"/>
                <w:color w:val="auto"/>
                <w:spacing w:val="0"/>
                <w:position w:val="0"/>
                <w:sz w:val="24"/>
                <w:szCs w:val="24"/>
                <w:highlight w:val="none"/>
                <w:lang w:eastAsia="zh-CN"/>
              </w:rPr>
              <w:t>溶剂油</w:t>
            </w:r>
            <w:r>
              <w:rPr>
                <w:rFonts w:hint="default" w:ascii="Times New Roman" w:hAnsi="Times New Roman" w:cs="Times New Roman"/>
                <w:color w:val="auto"/>
                <w:spacing w:val="0"/>
                <w:position w:val="0"/>
                <w:sz w:val="24"/>
                <w:szCs w:val="24"/>
                <w:highlight w:val="none"/>
              </w:rPr>
              <w:t>储罐小呼吸排放量L</w:t>
            </w:r>
            <w:r>
              <w:rPr>
                <w:rFonts w:hint="default" w:ascii="Times New Roman" w:hAnsi="Times New Roman" w:cs="Times New Roman"/>
                <w:color w:val="auto"/>
                <w:spacing w:val="0"/>
                <w:position w:val="0"/>
                <w:sz w:val="24"/>
                <w:szCs w:val="24"/>
                <w:highlight w:val="none"/>
                <w:vertAlign w:val="subscript"/>
              </w:rPr>
              <w:t>B</w:t>
            </w:r>
            <w:r>
              <w:rPr>
                <w:rFonts w:hint="default" w:ascii="Times New Roman" w:hAnsi="Times New Roman" w:cs="Times New Roman"/>
                <w:color w:val="auto"/>
                <w:spacing w:val="0"/>
                <w:position w:val="0"/>
                <w:sz w:val="24"/>
                <w:szCs w:val="24"/>
                <w:highlight w:val="none"/>
              </w:rPr>
              <w:t>为35.38kg/a（0.0354t/a）。</w:t>
            </w:r>
          </w:p>
          <w:p w14:paraId="2E96984F">
            <w:pPr>
              <w:pStyle w:val="97"/>
              <w:keepNext w:val="0"/>
              <w:keepLines w:val="0"/>
              <w:pageBreakBefore w:val="0"/>
              <w:kinsoku/>
              <w:wordWrap/>
              <w:overflowPunct/>
              <w:topLinePunct w:val="0"/>
              <w:bidi w:val="0"/>
              <w:adjustRightInd w:val="0"/>
              <w:snapToGrid w:val="0"/>
              <w:spacing w:line="520" w:lineRule="exact"/>
              <w:ind w:right="0" w:firstLine="480" w:firstLineChars="200"/>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②</w:t>
            </w:r>
            <w:r>
              <w:rPr>
                <w:rFonts w:hint="default" w:ascii="Times New Roman" w:hAnsi="Times New Roman" w:cs="Times New Roman"/>
                <w:color w:val="auto"/>
                <w:spacing w:val="0"/>
                <w:position w:val="0"/>
                <w:sz w:val="24"/>
                <w:szCs w:val="24"/>
                <w:highlight w:val="none"/>
              </w:rPr>
              <w:t>储罐工作排放量（大呼吸）：</w:t>
            </w:r>
          </w:p>
          <w:p w14:paraId="1629BC31">
            <w:pPr>
              <w:pStyle w:val="97"/>
              <w:keepNext w:val="0"/>
              <w:keepLines w:val="0"/>
              <w:pageBreakBefore w:val="0"/>
              <w:kinsoku/>
              <w:wordWrap/>
              <w:overflowPunct/>
              <w:topLinePunct w:val="0"/>
              <w:bidi w:val="0"/>
              <w:adjustRightInd w:val="0"/>
              <w:snapToGrid w:val="0"/>
              <w:spacing w:line="240" w:lineRule="auto"/>
              <w:ind w:left="0" w:leftChars="0" w:right="0" w:firstLine="0" w:firstLineChars="0"/>
              <w:jc w:val="center"/>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rPr>
              <w:object>
                <v:shape id="_x0000_i1027" o:spt="75" type="#_x0000_t75" style="height:19.3pt;width:201.15pt;" o:ole="t" filled="f" o:preferrelative="t" stroked="f" coordsize="21600,21600">
                  <v:path/>
                  <v:fill on="f" focussize="0,0"/>
                  <v:stroke on="f"/>
                  <v:imagedata r:id="rId31" o:title=""/>
                  <o:lock v:ext="edit" aspectratio="t"/>
                  <w10:wrap type="none"/>
                  <w10:anchorlock/>
                </v:shape>
                <o:OLEObject Type="Embed" ProgID="Equation.3" ShapeID="_x0000_i1027" DrawAspect="Content" ObjectID="_1468075727" r:id="rId30">
                  <o:LockedField>false</o:LockedField>
                </o:OLEObject>
              </w:object>
            </w:r>
          </w:p>
          <w:p w14:paraId="55394150">
            <w:pPr>
              <w:pStyle w:val="97"/>
              <w:keepNext w:val="0"/>
              <w:keepLines w:val="0"/>
              <w:pageBreakBefore w:val="0"/>
              <w:tabs>
                <w:tab w:val="left" w:pos="900"/>
              </w:tabs>
              <w:kinsoku/>
              <w:wordWrap/>
              <w:overflowPunct/>
              <w:topLinePunct w:val="0"/>
              <w:bidi w:val="0"/>
              <w:adjustRightInd w:val="0"/>
              <w:snapToGrid w:val="0"/>
              <w:spacing w:line="520" w:lineRule="exact"/>
              <w:ind w:right="0" w:firstLine="480" w:firstLineChars="200"/>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rPr>
              <w:t>式中：L</w:t>
            </w:r>
            <w:r>
              <w:rPr>
                <w:rFonts w:hint="default" w:ascii="Times New Roman" w:hAnsi="Times New Roman" w:cs="Times New Roman"/>
                <w:color w:val="auto"/>
                <w:spacing w:val="0"/>
                <w:position w:val="0"/>
                <w:sz w:val="24"/>
                <w:szCs w:val="24"/>
                <w:highlight w:val="none"/>
                <w:vertAlign w:val="subscript"/>
              </w:rPr>
              <w:t>W</w:t>
            </w:r>
            <w:r>
              <w:rPr>
                <w:rFonts w:hint="default" w:ascii="Times New Roman" w:hAnsi="Times New Roman" w:cs="Times New Roman"/>
                <w:color w:val="auto"/>
                <w:spacing w:val="0"/>
                <w:position w:val="0"/>
                <w:sz w:val="24"/>
                <w:szCs w:val="24"/>
                <w:highlight w:val="none"/>
              </w:rPr>
              <w:t>—储罐的工作损失（kg/m</w:t>
            </w:r>
            <w:r>
              <w:rPr>
                <w:rFonts w:hint="default" w:ascii="Times New Roman" w:hAnsi="Times New Roman" w:cs="Times New Roman"/>
                <w:color w:val="auto"/>
                <w:spacing w:val="0"/>
                <w:position w:val="0"/>
                <w:sz w:val="24"/>
                <w:szCs w:val="24"/>
                <w:highlight w:val="none"/>
                <w:vertAlign w:val="superscript"/>
              </w:rPr>
              <w:t>3</w:t>
            </w:r>
            <w:r>
              <w:rPr>
                <w:rFonts w:hint="default" w:ascii="Times New Roman" w:hAnsi="Times New Roman" w:cs="Times New Roman"/>
                <w:color w:val="auto"/>
                <w:spacing w:val="0"/>
                <w:position w:val="0"/>
                <w:sz w:val="24"/>
                <w:szCs w:val="24"/>
                <w:highlight w:val="none"/>
              </w:rPr>
              <w:t>）</w:t>
            </w:r>
          </w:p>
          <w:p w14:paraId="557ECD8F">
            <w:pPr>
              <w:pStyle w:val="97"/>
              <w:keepNext w:val="0"/>
              <w:keepLines w:val="0"/>
              <w:pageBreakBefore w:val="0"/>
              <w:kinsoku/>
              <w:wordWrap/>
              <w:overflowPunct/>
              <w:topLinePunct w:val="0"/>
              <w:bidi w:val="0"/>
              <w:adjustRightInd w:val="0"/>
              <w:snapToGrid w:val="0"/>
              <w:spacing w:line="520" w:lineRule="exact"/>
              <w:ind w:right="0" w:firstLine="480" w:firstLineChars="200"/>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rPr>
              <w:t>K</w:t>
            </w:r>
            <w:r>
              <w:rPr>
                <w:rFonts w:hint="default" w:ascii="Times New Roman" w:hAnsi="Times New Roman" w:cs="Times New Roman"/>
                <w:color w:val="auto"/>
                <w:spacing w:val="0"/>
                <w:position w:val="0"/>
                <w:sz w:val="24"/>
                <w:szCs w:val="24"/>
                <w:highlight w:val="none"/>
                <w:vertAlign w:val="subscript"/>
              </w:rPr>
              <w:t>N</w:t>
            </w:r>
            <w:r>
              <w:rPr>
                <w:rFonts w:hint="default" w:ascii="Times New Roman" w:hAnsi="Times New Roman" w:cs="Times New Roman"/>
                <w:color w:val="auto"/>
                <w:spacing w:val="0"/>
                <w:position w:val="0"/>
                <w:sz w:val="24"/>
                <w:szCs w:val="24"/>
                <w:highlight w:val="none"/>
              </w:rPr>
              <w:t>—周转因子（无量纲），取值按年周转次数（K=年投入量/罐容量）确定，K≤36，K</w:t>
            </w:r>
            <w:r>
              <w:rPr>
                <w:rFonts w:hint="default" w:ascii="Times New Roman" w:hAnsi="Times New Roman" w:cs="Times New Roman"/>
                <w:color w:val="auto"/>
                <w:spacing w:val="0"/>
                <w:position w:val="0"/>
                <w:sz w:val="24"/>
                <w:szCs w:val="24"/>
                <w:highlight w:val="none"/>
                <w:vertAlign w:val="subscript"/>
              </w:rPr>
              <w:t>N</w:t>
            </w:r>
            <w:r>
              <w:rPr>
                <w:rFonts w:hint="default" w:ascii="Times New Roman" w:hAnsi="Times New Roman" w:cs="Times New Roman"/>
                <w:color w:val="auto"/>
                <w:spacing w:val="0"/>
                <w:position w:val="0"/>
                <w:sz w:val="24"/>
                <w:szCs w:val="24"/>
                <w:highlight w:val="none"/>
              </w:rPr>
              <w:t>=1；36＜K≤220，K</w:t>
            </w:r>
            <w:r>
              <w:rPr>
                <w:rFonts w:hint="default" w:ascii="Times New Roman" w:hAnsi="Times New Roman" w:cs="Times New Roman"/>
                <w:color w:val="auto"/>
                <w:spacing w:val="0"/>
                <w:position w:val="0"/>
                <w:sz w:val="24"/>
                <w:szCs w:val="24"/>
                <w:highlight w:val="none"/>
                <w:vertAlign w:val="subscript"/>
              </w:rPr>
              <w:t>N</w:t>
            </w:r>
            <w:r>
              <w:rPr>
                <w:rFonts w:hint="default" w:ascii="Times New Roman" w:hAnsi="Times New Roman" w:cs="Times New Roman"/>
                <w:color w:val="auto"/>
                <w:spacing w:val="0"/>
                <w:position w:val="0"/>
                <w:sz w:val="24"/>
                <w:szCs w:val="24"/>
                <w:highlight w:val="none"/>
              </w:rPr>
              <w:t>=11.467×K</w:t>
            </w:r>
            <w:r>
              <w:rPr>
                <w:rFonts w:hint="default" w:ascii="Times New Roman" w:hAnsi="Times New Roman" w:cs="Times New Roman"/>
                <w:color w:val="auto"/>
                <w:spacing w:val="0"/>
                <w:position w:val="0"/>
                <w:sz w:val="24"/>
                <w:szCs w:val="24"/>
                <w:highlight w:val="none"/>
                <w:vertAlign w:val="superscript"/>
              </w:rPr>
              <w:t>-0.7026</w:t>
            </w:r>
            <w:r>
              <w:rPr>
                <w:rFonts w:hint="default" w:ascii="Times New Roman" w:hAnsi="Times New Roman" w:cs="Times New Roman"/>
                <w:color w:val="auto"/>
                <w:spacing w:val="0"/>
                <w:position w:val="0"/>
                <w:sz w:val="24"/>
                <w:szCs w:val="24"/>
                <w:highlight w:val="none"/>
              </w:rPr>
              <w:t>；K&gt;200，K</w:t>
            </w:r>
            <w:r>
              <w:rPr>
                <w:rFonts w:hint="default" w:ascii="Times New Roman" w:hAnsi="Times New Roman" w:cs="Times New Roman"/>
                <w:color w:val="auto"/>
                <w:spacing w:val="0"/>
                <w:position w:val="0"/>
                <w:sz w:val="24"/>
                <w:szCs w:val="24"/>
                <w:highlight w:val="none"/>
                <w:vertAlign w:val="subscript"/>
              </w:rPr>
              <w:t>N</w:t>
            </w:r>
            <w:r>
              <w:rPr>
                <w:rFonts w:hint="default" w:ascii="Times New Roman" w:hAnsi="Times New Roman" w:cs="Times New Roman"/>
                <w:color w:val="auto"/>
                <w:spacing w:val="0"/>
                <w:position w:val="0"/>
                <w:sz w:val="24"/>
                <w:szCs w:val="24"/>
                <w:highlight w:val="none"/>
              </w:rPr>
              <w:t>=0.26。（本项目K</w:t>
            </w:r>
            <w:r>
              <w:rPr>
                <w:rFonts w:hint="default" w:ascii="Times New Roman" w:hAnsi="Times New Roman" w:cs="Times New Roman"/>
                <w:color w:val="auto"/>
                <w:spacing w:val="0"/>
                <w:position w:val="0"/>
                <w:sz w:val="24"/>
                <w:szCs w:val="24"/>
                <w:highlight w:val="none"/>
                <w:vertAlign w:val="subscript"/>
              </w:rPr>
              <w:t>N</w:t>
            </w:r>
            <w:r>
              <w:rPr>
                <w:rFonts w:hint="default" w:ascii="Times New Roman" w:hAnsi="Times New Roman" w:cs="Times New Roman"/>
                <w:color w:val="auto"/>
                <w:spacing w:val="0"/>
                <w:position w:val="0"/>
                <w:sz w:val="24"/>
                <w:szCs w:val="24"/>
                <w:highlight w:val="none"/>
              </w:rPr>
              <w:t>=1）</w:t>
            </w:r>
          </w:p>
          <w:p w14:paraId="2106BFC6">
            <w:pPr>
              <w:pStyle w:val="97"/>
              <w:keepNext w:val="0"/>
              <w:keepLines w:val="0"/>
              <w:pageBreakBefore w:val="0"/>
              <w:kinsoku/>
              <w:wordWrap/>
              <w:overflowPunct/>
              <w:topLinePunct w:val="0"/>
              <w:bidi w:val="0"/>
              <w:adjustRightInd w:val="0"/>
              <w:snapToGrid w:val="0"/>
              <w:spacing w:line="520" w:lineRule="exact"/>
              <w:ind w:right="0" w:firstLine="480" w:firstLineChars="200"/>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rPr>
              <w:t>其他同上储罐小呼吸排放量中参数说明。</w:t>
            </w:r>
          </w:p>
          <w:p w14:paraId="1765EACF">
            <w:pPr>
              <w:keepNext w:val="0"/>
              <w:keepLines w:val="0"/>
              <w:pageBreakBefore w:val="0"/>
              <w:kinsoku/>
              <w:wordWrap/>
              <w:overflowPunct/>
              <w:topLinePunct w:val="0"/>
              <w:bidi w:val="0"/>
              <w:adjustRightInd w:val="0"/>
              <w:snapToGrid w:val="0"/>
              <w:spacing w:line="520" w:lineRule="exact"/>
              <w:ind w:right="0" w:firstLine="480" w:firstLineChars="200"/>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color w:val="auto"/>
                <w:spacing w:val="0"/>
                <w:kern w:val="0"/>
                <w:position w:val="0"/>
                <w:sz w:val="24"/>
                <w:szCs w:val="24"/>
                <w:highlight w:val="none"/>
              </w:rPr>
              <w:t>经计算本项目</w:t>
            </w:r>
            <w:r>
              <w:rPr>
                <w:rFonts w:hint="default" w:ascii="Times New Roman" w:hAnsi="Times New Roman" w:cs="Times New Roman"/>
                <w:color w:val="auto"/>
                <w:spacing w:val="0"/>
                <w:kern w:val="0"/>
                <w:position w:val="0"/>
                <w:sz w:val="24"/>
                <w:szCs w:val="24"/>
                <w:highlight w:val="none"/>
                <w:lang w:eastAsia="zh-CN"/>
              </w:rPr>
              <w:t>溶剂油</w:t>
            </w:r>
            <w:r>
              <w:rPr>
                <w:rFonts w:hint="default" w:ascii="Times New Roman" w:hAnsi="Times New Roman" w:cs="Times New Roman"/>
                <w:color w:val="auto"/>
                <w:spacing w:val="0"/>
                <w:kern w:val="0"/>
                <w:position w:val="0"/>
                <w:sz w:val="24"/>
                <w:szCs w:val="24"/>
                <w:highlight w:val="none"/>
              </w:rPr>
              <w:t>储罐大呼吸排放量为</w:t>
            </w:r>
            <w:r>
              <w:rPr>
                <w:rFonts w:hint="default" w:ascii="Times New Roman" w:hAnsi="Times New Roman" w:cs="Times New Roman"/>
                <w:color w:val="auto"/>
                <w:spacing w:val="0"/>
                <w:kern w:val="0"/>
                <w:position w:val="0"/>
                <w:sz w:val="24"/>
                <w:szCs w:val="24"/>
                <w:highlight w:val="none"/>
                <w:lang w:val="en-US" w:eastAsia="zh-CN"/>
              </w:rPr>
              <w:t>0.048</w:t>
            </w:r>
            <w:r>
              <w:rPr>
                <w:rFonts w:hint="default" w:ascii="Times New Roman" w:hAnsi="Times New Roman" w:cs="Times New Roman"/>
                <w:color w:val="auto"/>
                <w:spacing w:val="0"/>
                <w:position w:val="0"/>
                <w:sz w:val="24"/>
                <w:szCs w:val="24"/>
                <w:highlight w:val="none"/>
              </w:rPr>
              <w:t>kg/m</w:t>
            </w:r>
            <w:r>
              <w:rPr>
                <w:rFonts w:hint="default" w:ascii="Times New Roman" w:hAnsi="Times New Roman" w:cs="Times New Roman"/>
                <w:color w:val="auto"/>
                <w:spacing w:val="0"/>
                <w:position w:val="0"/>
                <w:sz w:val="24"/>
                <w:szCs w:val="24"/>
                <w:highlight w:val="none"/>
                <w:vertAlign w:val="superscript"/>
              </w:rPr>
              <w:t>3</w:t>
            </w:r>
            <w:r>
              <w:rPr>
                <w:rFonts w:hint="default" w:ascii="Times New Roman" w:hAnsi="Times New Roman" w:cs="Times New Roman"/>
                <w:color w:val="auto"/>
                <w:spacing w:val="0"/>
                <w:position w:val="0"/>
                <w:sz w:val="24"/>
                <w:szCs w:val="24"/>
                <w:highlight w:val="none"/>
              </w:rPr>
              <w:t>（</w:t>
            </w:r>
            <w:r>
              <w:rPr>
                <w:rFonts w:hint="default" w:ascii="Times New Roman" w:hAnsi="Times New Roman" w:cs="Times New Roman"/>
                <w:color w:val="auto"/>
                <w:spacing w:val="0"/>
                <w:position w:val="0"/>
                <w:sz w:val="24"/>
                <w:szCs w:val="24"/>
                <w:highlight w:val="none"/>
                <w:lang w:val="en-US" w:eastAsia="zh-CN"/>
              </w:rPr>
              <w:t>0.0051</w:t>
            </w:r>
            <w:r>
              <w:rPr>
                <w:rFonts w:hint="default" w:ascii="Times New Roman" w:hAnsi="Times New Roman" w:cs="Times New Roman"/>
                <w:color w:val="auto"/>
                <w:spacing w:val="0"/>
                <w:position w:val="0"/>
                <w:sz w:val="24"/>
                <w:szCs w:val="24"/>
                <w:highlight w:val="none"/>
              </w:rPr>
              <w:t>t/a），小呼吸</w:t>
            </w:r>
            <w:r>
              <w:rPr>
                <w:rFonts w:hint="default" w:ascii="Times New Roman" w:hAnsi="Times New Roman" w:cs="Times New Roman"/>
                <w:color w:val="auto"/>
                <w:spacing w:val="0"/>
                <w:position w:val="0"/>
                <w:sz w:val="24"/>
                <w:szCs w:val="24"/>
                <w:highlight w:val="none"/>
                <w:lang w:eastAsia="zh-CN"/>
              </w:rPr>
              <w:t>溶剂油</w:t>
            </w:r>
            <w:r>
              <w:rPr>
                <w:rFonts w:hint="default" w:ascii="Times New Roman" w:hAnsi="Times New Roman" w:cs="Times New Roman"/>
                <w:color w:val="auto"/>
                <w:spacing w:val="0"/>
                <w:position w:val="0"/>
                <w:sz w:val="24"/>
                <w:szCs w:val="24"/>
                <w:highlight w:val="none"/>
              </w:rPr>
              <w:t>的排放量为</w:t>
            </w:r>
            <w:r>
              <w:rPr>
                <w:rFonts w:hint="default" w:ascii="Times New Roman" w:hAnsi="Times New Roman" w:cs="Times New Roman"/>
                <w:color w:val="auto"/>
                <w:spacing w:val="0"/>
                <w:position w:val="0"/>
                <w:sz w:val="24"/>
                <w:szCs w:val="24"/>
                <w:highlight w:val="none"/>
                <w:lang w:val="en-US" w:eastAsia="zh-CN"/>
              </w:rPr>
              <w:t>1.463</w:t>
            </w:r>
            <w:r>
              <w:rPr>
                <w:rFonts w:hint="default" w:ascii="Times New Roman" w:hAnsi="Times New Roman" w:cs="Times New Roman"/>
                <w:color w:val="auto"/>
                <w:spacing w:val="0"/>
                <w:position w:val="0"/>
                <w:sz w:val="24"/>
                <w:szCs w:val="24"/>
                <w:highlight w:val="none"/>
              </w:rPr>
              <w:t>kg/a（0.0</w:t>
            </w:r>
            <w:r>
              <w:rPr>
                <w:rFonts w:hint="default" w:ascii="Times New Roman" w:hAnsi="Times New Roman" w:cs="Times New Roman"/>
                <w:color w:val="auto"/>
                <w:spacing w:val="0"/>
                <w:position w:val="0"/>
                <w:sz w:val="24"/>
                <w:szCs w:val="24"/>
                <w:highlight w:val="none"/>
                <w:lang w:val="en-US" w:eastAsia="zh-CN"/>
              </w:rPr>
              <w:t>015</w:t>
            </w:r>
            <w:r>
              <w:rPr>
                <w:rFonts w:hint="default" w:ascii="Times New Roman" w:hAnsi="Times New Roman" w:cs="Times New Roman"/>
                <w:color w:val="auto"/>
                <w:spacing w:val="0"/>
                <w:position w:val="0"/>
                <w:sz w:val="24"/>
                <w:szCs w:val="24"/>
                <w:highlight w:val="none"/>
              </w:rPr>
              <w:t>t/a），本项目</w:t>
            </w:r>
            <w:r>
              <w:rPr>
                <w:rFonts w:hint="default" w:ascii="Times New Roman" w:hAnsi="Times New Roman" w:cs="Times New Roman"/>
                <w:color w:val="auto"/>
                <w:spacing w:val="0"/>
                <w:position w:val="0"/>
                <w:sz w:val="24"/>
                <w:szCs w:val="24"/>
                <w:highlight w:val="none"/>
                <w:lang w:val="en-US" w:eastAsia="zh-CN"/>
              </w:rPr>
              <w:t>正己烷</w:t>
            </w:r>
            <w:r>
              <w:rPr>
                <w:rFonts w:hint="default" w:ascii="Times New Roman" w:hAnsi="Times New Roman" w:cs="Times New Roman"/>
                <w:color w:val="auto"/>
                <w:spacing w:val="0"/>
                <w:position w:val="0"/>
                <w:sz w:val="24"/>
                <w:szCs w:val="24"/>
                <w:highlight w:val="none"/>
              </w:rPr>
              <w:t>储罐采用卧式罐，罐顶设建设气相平衡管相关设施1套，减少罐车进料大呼吸无组织排放非甲烷总烃90%以上，则</w:t>
            </w:r>
            <w:r>
              <w:rPr>
                <w:rFonts w:hint="default" w:ascii="Times New Roman" w:hAnsi="Times New Roman" w:cs="Times New Roman"/>
                <w:color w:val="auto"/>
                <w:spacing w:val="0"/>
                <w:position w:val="0"/>
                <w:sz w:val="24"/>
                <w:szCs w:val="24"/>
                <w:highlight w:val="none"/>
                <w:lang w:eastAsia="zh-CN"/>
              </w:rPr>
              <w:t>溶剂油</w:t>
            </w:r>
            <w:r>
              <w:rPr>
                <w:rFonts w:hint="default" w:ascii="Times New Roman" w:hAnsi="Times New Roman" w:cs="Times New Roman"/>
                <w:color w:val="auto"/>
                <w:spacing w:val="0"/>
                <w:position w:val="0"/>
                <w:sz w:val="24"/>
                <w:szCs w:val="24"/>
                <w:highlight w:val="none"/>
              </w:rPr>
              <w:t>装车操作过程的大呼吸排放量为</w:t>
            </w:r>
            <w:r>
              <w:rPr>
                <w:rFonts w:hint="default" w:ascii="Times New Roman" w:hAnsi="Times New Roman" w:cs="Times New Roman"/>
                <w:color w:val="auto"/>
                <w:spacing w:val="0"/>
                <w:position w:val="0"/>
                <w:sz w:val="24"/>
                <w:szCs w:val="24"/>
                <w:highlight w:val="none"/>
                <w:lang w:val="en-US" w:eastAsia="zh-CN"/>
              </w:rPr>
              <w:t>0.0005</w:t>
            </w:r>
            <w:r>
              <w:rPr>
                <w:rFonts w:hint="default" w:ascii="Times New Roman" w:hAnsi="Times New Roman" w:cs="Times New Roman"/>
                <w:color w:val="auto"/>
                <w:spacing w:val="0"/>
                <w:position w:val="0"/>
                <w:sz w:val="24"/>
                <w:szCs w:val="24"/>
                <w:highlight w:val="none"/>
              </w:rPr>
              <w:t>t/a，</w:t>
            </w:r>
            <w:r>
              <w:rPr>
                <w:rFonts w:hint="default" w:ascii="Times New Roman" w:hAnsi="Times New Roman" w:cs="Times New Roman"/>
                <w:color w:val="auto"/>
                <w:spacing w:val="0"/>
                <w:position w:val="0"/>
                <w:sz w:val="24"/>
                <w:szCs w:val="24"/>
                <w:highlight w:val="none"/>
                <w:lang w:eastAsia="zh-CN"/>
              </w:rPr>
              <w:t>溶剂油</w:t>
            </w:r>
            <w:r>
              <w:rPr>
                <w:rFonts w:hint="default" w:ascii="Times New Roman" w:hAnsi="Times New Roman" w:cs="Times New Roman"/>
                <w:color w:val="auto"/>
                <w:spacing w:val="0"/>
                <w:position w:val="0"/>
                <w:sz w:val="24"/>
                <w:szCs w:val="24"/>
                <w:highlight w:val="none"/>
              </w:rPr>
              <w:t>储罐大小呼吸排放量为0.</w:t>
            </w:r>
            <w:r>
              <w:rPr>
                <w:rFonts w:hint="default" w:ascii="Times New Roman" w:hAnsi="Times New Roman" w:cs="Times New Roman"/>
                <w:color w:val="auto"/>
                <w:spacing w:val="0"/>
                <w:position w:val="0"/>
                <w:sz w:val="24"/>
                <w:szCs w:val="24"/>
                <w:highlight w:val="none"/>
                <w:lang w:val="en-US" w:eastAsia="zh-CN"/>
              </w:rPr>
              <w:t>002</w:t>
            </w:r>
            <w:r>
              <w:rPr>
                <w:rFonts w:hint="default" w:ascii="Times New Roman" w:hAnsi="Times New Roman" w:cs="Times New Roman"/>
                <w:color w:val="auto"/>
                <w:spacing w:val="0"/>
                <w:position w:val="0"/>
                <w:sz w:val="24"/>
                <w:szCs w:val="24"/>
                <w:highlight w:val="none"/>
              </w:rPr>
              <w:t>t/a。</w:t>
            </w:r>
          </w:p>
          <w:p w14:paraId="11572426">
            <w:pPr>
              <w:keepNext w:val="0"/>
              <w:keepLines w:val="0"/>
              <w:pageBreakBefore w:val="0"/>
              <w:kinsoku/>
              <w:wordWrap/>
              <w:overflowPunct/>
              <w:topLinePunct w:val="0"/>
              <w:autoSpaceDE w:val="0"/>
              <w:autoSpaceDN w:val="0"/>
              <w:bidi w:val="0"/>
              <w:adjustRightInd w:val="0"/>
              <w:snapToGrid w:val="0"/>
              <w:spacing w:beforeAutospacing="0" w:afterAutospacing="0" w:line="520" w:lineRule="exact"/>
              <w:ind w:left="0" w:leftChars="0" w:right="0" w:rightChars="0" w:firstLine="480"/>
              <w:jc w:val="both"/>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5</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生物质锅炉废气</w:t>
            </w:r>
          </w:p>
          <w:p w14:paraId="7C6ACC21">
            <w:pPr>
              <w:keepNext w:val="0"/>
              <w:keepLines w:val="0"/>
              <w:pageBreakBefore w:val="0"/>
              <w:kinsoku/>
              <w:wordWrap/>
              <w:overflowPunct/>
              <w:topLinePunct w:val="0"/>
              <w:autoSpaceDE w:val="0"/>
              <w:autoSpaceDN w:val="0"/>
              <w:bidi w:val="0"/>
              <w:adjustRightInd w:val="0"/>
              <w:snapToGrid w:val="0"/>
              <w:spacing w:beforeAutospacing="0" w:afterAutospacing="0" w:line="520" w:lineRule="exact"/>
              <w:ind w:left="0" w:leftChars="0" w:right="0" w:rightChars="0" w:firstLine="480"/>
              <w:jc w:val="both"/>
              <w:rPr>
                <w:rFonts w:hint="default" w:ascii="Times New Roman" w:hAnsi="Times New Roman" w:eastAsia="宋体" w:cs="Times New Roman"/>
                <w:color w:val="auto"/>
                <w:spacing w:val="0"/>
                <w:position w:val="0"/>
                <w:sz w:val="24"/>
                <w:szCs w:val="24"/>
                <w:highlight w:val="none"/>
                <w:lang w:eastAsia="zh-CN"/>
              </w:rPr>
            </w:pPr>
            <w:r>
              <w:rPr>
                <w:rFonts w:hint="default" w:ascii="Times New Roman" w:hAnsi="Times New Roman" w:eastAsia="宋体" w:cs="Times New Roman"/>
                <w:color w:val="auto"/>
                <w:spacing w:val="0"/>
                <w:position w:val="0"/>
                <w:sz w:val="24"/>
                <w:szCs w:val="24"/>
                <w:highlight w:val="none"/>
                <w:lang w:eastAsia="zh-CN"/>
              </w:rPr>
              <w:t>本项目生产及冬季采暖由一台1</w:t>
            </w:r>
            <w:r>
              <w:rPr>
                <w:rFonts w:hint="default" w:ascii="Times New Roman" w:hAnsi="Times New Roman" w:cs="Times New Roman"/>
                <w:color w:val="auto"/>
                <w:spacing w:val="0"/>
                <w:position w:val="0"/>
                <w:sz w:val="24"/>
                <w:szCs w:val="24"/>
                <w:highlight w:val="none"/>
                <w:lang w:val="en-US" w:eastAsia="zh-CN"/>
              </w:rPr>
              <w:t>5</w:t>
            </w:r>
            <w:r>
              <w:rPr>
                <w:rFonts w:hint="default" w:ascii="Times New Roman" w:hAnsi="Times New Roman" w:eastAsia="宋体" w:cs="Times New Roman"/>
                <w:color w:val="auto"/>
                <w:spacing w:val="0"/>
                <w:position w:val="0"/>
                <w:sz w:val="24"/>
                <w:szCs w:val="24"/>
                <w:highlight w:val="none"/>
                <w:lang w:eastAsia="zh-CN"/>
              </w:rPr>
              <w:t>t/h的生物质蒸汽锅炉提供，项目锅炉燃料为生物质成型燃料，根据企业提供的燃料检测报告可知，生物质成型燃料的基低位热值为13.</w:t>
            </w:r>
            <w:r>
              <w:rPr>
                <w:rFonts w:hint="default" w:ascii="Times New Roman" w:hAnsi="Times New Roman" w:cs="Times New Roman"/>
                <w:color w:val="auto"/>
                <w:spacing w:val="0"/>
                <w:position w:val="0"/>
                <w:sz w:val="24"/>
                <w:szCs w:val="24"/>
                <w:highlight w:val="none"/>
                <w:lang w:val="en-US" w:eastAsia="zh-CN"/>
              </w:rPr>
              <w:t>865</w:t>
            </w:r>
            <w:r>
              <w:rPr>
                <w:rFonts w:hint="default" w:ascii="Times New Roman" w:hAnsi="Times New Roman" w:eastAsia="宋体" w:cs="Times New Roman"/>
                <w:color w:val="auto"/>
                <w:spacing w:val="0"/>
                <w:position w:val="0"/>
                <w:sz w:val="24"/>
                <w:szCs w:val="24"/>
                <w:highlight w:val="none"/>
                <w:lang w:eastAsia="zh-CN"/>
              </w:rPr>
              <w:t>MJ/kg，3</w:t>
            </w:r>
            <w:r>
              <w:rPr>
                <w:rFonts w:hint="default" w:ascii="Times New Roman" w:hAnsi="Times New Roman" w:cs="Times New Roman"/>
                <w:color w:val="auto"/>
                <w:spacing w:val="0"/>
                <w:position w:val="0"/>
                <w:sz w:val="24"/>
                <w:szCs w:val="24"/>
                <w:highlight w:val="none"/>
                <w:lang w:val="en-US" w:eastAsia="zh-CN"/>
              </w:rPr>
              <w:t>317</w:t>
            </w:r>
            <w:r>
              <w:rPr>
                <w:rFonts w:hint="default" w:ascii="Times New Roman" w:hAnsi="Times New Roman" w:eastAsia="宋体" w:cs="Times New Roman"/>
                <w:color w:val="auto"/>
                <w:spacing w:val="0"/>
                <w:position w:val="0"/>
                <w:sz w:val="24"/>
                <w:szCs w:val="24"/>
                <w:highlight w:val="none"/>
                <w:lang w:eastAsia="zh-CN"/>
              </w:rPr>
              <w:t>Kc</w:t>
            </w:r>
            <w:r>
              <w:rPr>
                <w:rFonts w:hint="default" w:ascii="Times New Roman" w:hAnsi="Times New Roman" w:cs="Times New Roman"/>
                <w:color w:val="auto"/>
                <w:spacing w:val="0"/>
                <w:position w:val="0"/>
                <w:sz w:val="24"/>
                <w:szCs w:val="24"/>
                <w:highlight w:val="none"/>
                <w:lang w:val="en-US" w:eastAsia="zh-CN"/>
              </w:rPr>
              <w:t>al</w:t>
            </w:r>
            <w:r>
              <w:rPr>
                <w:rFonts w:hint="default" w:ascii="Times New Roman" w:hAnsi="Times New Roman" w:eastAsia="宋体" w:cs="Times New Roman"/>
                <w:color w:val="auto"/>
                <w:spacing w:val="0"/>
                <w:position w:val="0"/>
                <w:sz w:val="24"/>
                <w:szCs w:val="24"/>
                <w:highlight w:val="none"/>
                <w:lang w:eastAsia="zh-CN"/>
              </w:rPr>
              <w:t>/kg，生物质燃料消耗量按下式计算：</w:t>
            </w:r>
          </w:p>
          <w:p w14:paraId="25EC9A21">
            <w:pPr>
              <w:keepNext w:val="0"/>
              <w:keepLines w:val="0"/>
              <w:pageBreakBefore w:val="0"/>
              <w:kinsoku/>
              <w:wordWrap/>
              <w:overflowPunct/>
              <w:topLinePunct w:val="0"/>
              <w:autoSpaceDE w:val="0"/>
              <w:autoSpaceDN w:val="0"/>
              <w:bidi w:val="0"/>
              <w:adjustRightInd w:val="0"/>
              <w:snapToGrid w:val="0"/>
              <w:spacing w:beforeAutospacing="0" w:afterAutospacing="0" w:line="520" w:lineRule="exact"/>
              <w:ind w:left="0" w:leftChars="0" w:right="0" w:rightChars="0" w:firstLine="480"/>
              <w:jc w:val="both"/>
              <w:rPr>
                <w:rFonts w:hint="default" w:ascii="Times New Roman" w:hAnsi="Times New Roman" w:eastAsia="宋体" w:cs="Times New Roman"/>
                <w:color w:val="auto"/>
                <w:spacing w:val="0"/>
                <w:position w:val="0"/>
                <w:sz w:val="24"/>
                <w:szCs w:val="24"/>
                <w:highlight w:val="none"/>
                <w:lang w:eastAsia="zh-CN"/>
              </w:rPr>
            </w:pPr>
            <w:r>
              <w:rPr>
                <w:rFonts w:hint="default" w:ascii="Times New Roman" w:hAnsi="Times New Roman" w:eastAsia="宋体" w:cs="Times New Roman"/>
                <w:color w:val="auto"/>
                <w:spacing w:val="0"/>
                <w:position w:val="0"/>
                <w:sz w:val="24"/>
                <w:szCs w:val="24"/>
                <w:highlight w:val="none"/>
                <w:lang w:eastAsia="zh-CN"/>
              </w:rPr>
              <w:t>生物质炉每小时消耗量=60万大卡*吨位/燃料热值/锅炉燃烧效率，则本项目生物质成型燃料消耗量为</w:t>
            </w:r>
            <w:r>
              <w:rPr>
                <w:rFonts w:hint="default" w:ascii="Times New Roman" w:hAnsi="Times New Roman" w:cs="Times New Roman"/>
                <w:color w:val="auto"/>
                <w:spacing w:val="0"/>
                <w:position w:val="0"/>
                <w:sz w:val="24"/>
                <w:szCs w:val="24"/>
                <w:highlight w:val="none"/>
                <w:lang w:val="en-US" w:eastAsia="zh-CN"/>
              </w:rPr>
              <w:t>3.192t</w:t>
            </w:r>
            <w:r>
              <w:rPr>
                <w:rFonts w:hint="default" w:ascii="Times New Roman" w:hAnsi="Times New Roman" w:eastAsia="宋体" w:cs="Times New Roman"/>
                <w:color w:val="auto"/>
                <w:spacing w:val="0"/>
                <w:position w:val="0"/>
                <w:sz w:val="24"/>
                <w:szCs w:val="24"/>
                <w:highlight w:val="none"/>
                <w:lang w:eastAsia="zh-CN"/>
              </w:rPr>
              <w:t>/h，本项目按</w:t>
            </w:r>
            <w:r>
              <w:rPr>
                <w:rFonts w:hint="default" w:ascii="Times New Roman" w:hAnsi="Times New Roman" w:cs="Times New Roman"/>
                <w:color w:val="auto"/>
                <w:spacing w:val="0"/>
                <w:position w:val="0"/>
                <w:sz w:val="24"/>
                <w:szCs w:val="24"/>
                <w:highlight w:val="none"/>
                <w:lang w:val="en-US" w:eastAsia="zh-CN"/>
              </w:rPr>
              <w:t>8400</w:t>
            </w:r>
            <w:r>
              <w:rPr>
                <w:rFonts w:hint="default" w:ascii="Times New Roman" w:hAnsi="Times New Roman" w:eastAsia="宋体" w:cs="Times New Roman"/>
                <w:color w:val="auto"/>
                <w:spacing w:val="0"/>
                <w:position w:val="0"/>
                <w:sz w:val="24"/>
                <w:szCs w:val="24"/>
                <w:highlight w:val="none"/>
                <w:lang w:eastAsia="zh-CN"/>
              </w:rPr>
              <w:t>h，则年消耗生物质成型燃料量为</w:t>
            </w:r>
            <w:r>
              <w:rPr>
                <w:rFonts w:hint="default" w:ascii="Times New Roman" w:hAnsi="Times New Roman" w:cs="Times New Roman"/>
                <w:color w:val="auto"/>
                <w:spacing w:val="0"/>
                <w:position w:val="0"/>
                <w:sz w:val="24"/>
                <w:szCs w:val="24"/>
                <w:highlight w:val="none"/>
                <w:lang w:val="en-US" w:eastAsia="zh-CN"/>
              </w:rPr>
              <w:t>26813</w:t>
            </w:r>
            <w:r>
              <w:rPr>
                <w:rFonts w:hint="default" w:ascii="Times New Roman" w:hAnsi="Times New Roman" w:eastAsia="宋体" w:cs="Times New Roman"/>
                <w:color w:val="auto"/>
                <w:spacing w:val="0"/>
                <w:position w:val="0"/>
                <w:sz w:val="24"/>
                <w:szCs w:val="24"/>
                <w:highlight w:val="none"/>
                <w:lang w:eastAsia="zh-CN"/>
              </w:rPr>
              <w:t>t。</w:t>
            </w:r>
          </w:p>
          <w:p w14:paraId="25DF51D7">
            <w:pPr>
              <w:keepNext w:val="0"/>
              <w:keepLines w:val="0"/>
              <w:pageBreakBefore w:val="0"/>
              <w:widowControl w:val="0"/>
              <w:kinsoku/>
              <w:wordWrap/>
              <w:overflowPunct/>
              <w:topLinePunct w:val="0"/>
              <w:autoSpaceDE w:val="0"/>
              <w:autoSpaceDN w:val="0"/>
              <w:bidi w:val="0"/>
              <w:adjustRightInd w:val="0"/>
              <w:snapToGrid w:val="0"/>
              <w:spacing w:beforeAutospacing="0" w:afterAutospacing="0" w:line="520" w:lineRule="exact"/>
              <w:ind w:left="0" w:leftChars="0" w:right="0" w:rightChars="0" w:firstLine="480" w:firstLineChars="200"/>
              <w:jc w:val="both"/>
              <w:rPr>
                <w:rFonts w:hint="default" w:ascii="Times New Roman" w:hAnsi="Times New Roman"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根据《污染源源强核算技术指南 锅炉》（HJ 991-2018）和《排污许可证申请与核发技术规范 锅炉》（HJ953-2018），正常工况时，废气有组织源强优先采用物料衡算法核算，具体核算方法如下：</w:t>
            </w:r>
          </w:p>
          <w:p w14:paraId="468B80F5">
            <w:pPr>
              <w:keepNext w:val="0"/>
              <w:keepLines w:val="0"/>
              <w:pageBreakBefore w:val="0"/>
              <w:widowControl w:val="0"/>
              <w:kinsoku/>
              <w:wordWrap/>
              <w:overflowPunct/>
              <w:topLinePunct w:val="0"/>
              <w:autoSpaceDE w:val="0"/>
              <w:autoSpaceDN w:val="0"/>
              <w:bidi w:val="0"/>
              <w:adjustRightInd w:val="0"/>
              <w:snapToGrid w:val="0"/>
              <w:spacing w:beforeAutospacing="0" w:afterAutospacing="0" w:line="520" w:lineRule="exact"/>
              <w:ind w:left="0" w:leftChars="0" w:right="0" w:rightChars="0" w:firstLine="480" w:firstLineChars="200"/>
              <w:jc w:val="both"/>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①烟气量</w:t>
            </w:r>
          </w:p>
          <w:p w14:paraId="5D1B43FA">
            <w:pPr>
              <w:pStyle w:val="98"/>
              <w:keepNext w:val="0"/>
              <w:keepLines w:val="0"/>
              <w:pageBreakBefore w:val="0"/>
              <w:widowControl w:val="0"/>
              <w:kinsoku/>
              <w:overflowPunct/>
              <w:bidi w:val="0"/>
              <w:adjustRightInd w:val="0"/>
              <w:snapToGrid w:val="0"/>
              <w:spacing w:line="520" w:lineRule="exact"/>
              <w:ind w:firstLine="480" w:firstLineChars="200"/>
              <w:textAlignment w:val="center"/>
              <w:rPr>
                <w:rFonts w:hint="default" w:ascii="Times New Roman" w:hAnsi="Times New Roman" w:cs="Times New Roman"/>
                <w:color w:val="auto"/>
                <w:spacing w:val="0"/>
                <w:position w:val="0"/>
                <w:highlight w:val="none"/>
              </w:rPr>
            </w:pPr>
            <w:bookmarkStart w:id="17" w:name="_Toc3902"/>
            <w:bookmarkStart w:id="18" w:name="_Toc8332"/>
            <w:bookmarkStart w:id="19" w:name="_Toc2589"/>
            <w:r>
              <w:rPr>
                <w:rFonts w:hint="default" w:ascii="Times New Roman" w:hAnsi="Times New Roman" w:cs="Times New Roman"/>
                <w:color w:val="auto"/>
                <w:spacing w:val="0"/>
                <w:position w:val="0"/>
                <w:highlight w:val="none"/>
              </w:rPr>
              <w:t>烟气量参照《排污许可证申请与核发技术规范</w:t>
            </w:r>
            <w:r>
              <w:rPr>
                <w:rFonts w:hint="default" w:ascii="Times New Roman" w:hAnsi="Times New Roman" w:cs="Times New Roman"/>
                <w:color w:val="auto"/>
                <w:spacing w:val="0"/>
                <w:position w:val="0"/>
                <w:highlight w:val="none"/>
                <w:lang w:val="en-US" w:eastAsia="zh-CN"/>
              </w:rPr>
              <w:t xml:space="preserve"> </w:t>
            </w:r>
            <w:r>
              <w:rPr>
                <w:rFonts w:hint="default" w:ascii="Times New Roman" w:hAnsi="Times New Roman" w:cs="Times New Roman"/>
                <w:color w:val="auto"/>
                <w:spacing w:val="0"/>
                <w:position w:val="0"/>
                <w:highlight w:val="none"/>
              </w:rPr>
              <w:t>锅炉》（HJ953-2018）中经验公式计算。本项目Qnet,ar（收到基低位发热量）为13.865MJ/kg，Vdaf</w:t>
            </w:r>
            <w:r>
              <w:rPr>
                <w:rFonts w:hint="default" w:ascii="Times New Roman" w:hAnsi="Times New Roman" w:cs="Times New Roman"/>
                <w:color w:val="auto"/>
                <w:spacing w:val="0"/>
                <w:position w:val="0"/>
                <w:highlight w:val="none"/>
                <w:lang w:val="en-US" w:eastAsia="zh-CN"/>
              </w:rPr>
              <w:t>≥</w:t>
            </w:r>
            <w:r>
              <w:rPr>
                <w:rFonts w:hint="default" w:ascii="Times New Roman" w:hAnsi="Times New Roman" w:cs="Times New Roman"/>
                <w:color w:val="auto"/>
                <w:spacing w:val="0"/>
                <w:position w:val="0"/>
                <w:highlight w:val="none"/>
              </w:rPr>
              <w:t>15%，则基准烟气量经验公式可定为Vgy=0.393Qnet,ar+</w:t>
            </w:r>
            <w:r>
              <w:rPr>
                <w:rFonts w:hint="default" w:ascii="Times New Roman" w:hAnsi="Times New Roman" w:cs="Times New Roman"/>
                <w:color w:val="auto"/>
                <w:spacing w:val="0"/>
                <w:position w:val="0"/>
                <w:highlight w:val="none"/>
                <w:lang w:val="en-US" w:eastAsia="zh-CN"/>
              </w:rPr>
              <w:t>0.876</w:t>
            </w:r>
            <w:r>
              <w:rPr>
                <w:rFonts w:hint="default" w:ascii="Times New Roman" w:hAnsi="Times New Roman" w:cs="Times New Roman"/>
                <w:color w:val="auto"/>
                <w:spacing w:val="0"/>
                <w:position w:val="0"/>
                <w:highlight w:val="none"/>
              </w:rPr>
              <w:t>。</w:t>
            </w:r>
            <w:bookmarkEnd w:id="17"/>
            <w:bookmarkEnd w:id="18"/>
            <w:bookmarkEnd w:id="19"/>
          </w:p>
          <w:p w14:paraId="788D6E8F">
            <w:pPr>
              <w:pStyle w:val="98"/>
              <w:keepNext w:val="0"/>
              <w:keepLines w:val="0"/>
              <w:pageBreakBefore w:val="0"/>
              <w:widowControl w:val="0"/>
              <w:kinsoku/>
              <w:overflowPunct/>
              <w:bidi w:val="0"/>
              <w:adjustRightInd w:val="0"/>
              <w:snapToGrid w:val="0"/>
              <w:spacing w:line="520" w:lineRule="exact"/>
              <w:ind w:firstLine="480" w:firstLineChars="200"/>
              <w:textAlignment w:val="center"/>
              <w:rPr>
                <w:rFonts w:hint="default" w:ascii="Times New Roman" w:hAnsi="Times New Roman" w:cs="Times New Roman"/>
                <w:color w:val="auto"/>
                <w:spacing w:val="0"/>
                <w:position w:val="0"/>
                <w:highlight w:val="none"/>
              </w:rPr>
            </w:pPr>
            <w:r>
              <w:rPr>
                <w:rFonts w:hint="default" w:ascii="Times New Roman" w:hAnsi="Times New Roman" w:cs="Times New Roman"/>
                <w:color w:val="auto"/>
                <w:spacing w:val="0"/>
                <w:position w:val="0"/>
                <w:highlight w:val="none"/>
              </w:rPr>
              <w:t>则本项目的基准烟气量为Vgy=0.393Qnet,ar+</w:t>
            </w:r>
            <w:r>
              <w:rPr>
                <w:rFonts w:hint="default" w:ascii="Times New Roman" w:hAnsi="Times New Roman" w:cs="Times New Roman"/>
                <w:color w:val="auto"/>
                <w:spacing w:val="0"/>
                <w:position w:val="0"/>
                <w:highlight w:val="none"/>
                <w:lang w:val="en-US" w:eastAsia="zh-CN"/>
              </w:rPr>
              <w:t>0.876</w:t>
            </w:r>
            <w:r>
              <w:rPr>
                <w:rFonts w:hint="default" w:ascii="Times New Roman" w:hAnsi="Times New Roman" w:cs="Times New Roman"/>
                <w:color w:val="auto"/>
                <w:spacing w:val="0"/>
                <w:position w:val="0"/>
                <w:highlight w:val="none"/>
              </w:rPr>
              <w:t>=0.393×13.865+</w:t>
            </w:r>
            <w:r>
              <w:rPr>
                <w:rFonts w:hint="default" w:ascii="Times New Roman" w:hAnsi="Times New Roman" w:cs="Times New Roman"/>
                <w:color w:val="auto"/>
                <w:spacing w:val="0"/>
                <w:position w:val="0"/>
                <w:highlight w:val="none"/>
                <w:lang w:val="en-US" w:eastAsia="zh-CN"/>
              </w:rPr>
              <w:t>0.876</w:t>
            </w:r>
            <w:r>
              <w:rPr>
                <w:rFonts w:hint="default" w:ascii="Times New Roman" w:hAnsi="Times New Roman" w:cs="Times New Roman"/>
                <w:color w:val="auto"/>
                <w:spacing w:val="0"/>
                <w:position w:val="0"/>
                <w:highlight w:val="none"/>
              </w:rPr>
              <w:t>=6.</w:t>
            </w:r>
            <w:r>
              <w:rPr>
                <w:rFonts w:hint="default" w:ascii="Times New Roman" w:hAnsi="Times New Roman" w:cs="Times New Roman"/>
                <w:color w:val="auto"/>
                <w:spacing w:val="0"/>
                <w:position w:val="0"/>
                <w:highlight w:val="none"/>
                <w:lang w:val="en-US" w:eastAsia="zh-CN"/>
              </w:rPr>
              <w:t>325</w:t>
            </w:r>
            <w:r>
              <w:rPr>
                <w:rFonts w:hint="default" w:ascii="Times New Roman" w:hAnsi="Times New Roman" w:cs="Times New Roman"/>
                <w:color w:val="auto"/>
                <w:spacing w:val="0"/>
                <w:position w:val="0"/>
                <w:highlight w:val="none"/>
              </w:rPr>
              <w:t>Nm</w:t>
            </w:r>
            <w:r>
              <w:rPr>
                <w:rFonts w:hint="default" w:ascii="Times New Roman" w:hAnsi="Times New Roman" w:cs="Times New Roman"/>
                <w:color w:val="auto"/>
                <w:spacing w:val="0"/>
                <w:position w:val="0"/>
                <w:highlight w:val="none"/>
                <w:vertAlign w:val="superscript"/>
              </w:rPr>
              <w:t>3</w:t>
            </w:r>
            <w:r>
              <w:rPr>
                <w:rFonts w:hint="default" w:ascii="Times New Roman" w:hAnsi="Times New Roman" w:cs="Times New Roman"/>
                <w:color w:val="auto"/>
                <w:spacing w:val="0"/>
                <w:position w:val="0"/>
                <w:highlight w:val="none"/>
              </w:rPr>
              <w:t>/kg</w:t>
            </w:r>
          </w:p>
          <w:p w14:paraId="11E81FE2">
            <w:pPr>
              <w:pStyle w:val="98"/>
              <w:keepNext w:val="0"/>
              <w:keepLines w:val="0"/>
              <w:pageBreakBefore w:val="0"/>
              <w:widowControl w:val="0"/>
              <w:kinsoku/>
              <w:overflowPunct/>
              <w:bidi w:val="0"/>
              <w:adjustRightInd w:val="0"/>
              <w:snapToGrid w:val="0"/>
              <w:spacing w:line="520" w:lineRule="exact"/>
              <w:ind w:firstLine="480" w:firstLineChars="200"/>
              <w:textAlignment w:val="center"/>
              <w:rPr>
                <w:rFonts w:hint="default" w:ascii="Times New Roman" w:hAnsi="Times New Roman" w:cs="Times New Roman"/>
                <w:color w:val="auto"/>
                <w:spacing w:val="0"/>
                <w:position w:val="0"/>
                <w:highlight w:val="none"/>
              </w:rPr>
            </w:pPr>
            <w:r>
              <w:rPr>
                <w:rFonts w:hint="default" w:ascii="Times New Roman" w:hAnsi="Times New Roman" w:cs="Times New Roman"/>
                <w:color w:val="auto"/>
                <w:spacing w:val="0"/>
                <w:position w:val="0"/>
                <w:highlight w:val="none"/>
              </w:rPr>
              <w:t>则总烟气量为：6.</w:t>
            </w:r>
            <w:r>
              <w:rPr>
                <w:rFonts w:hint="default" w:ascii="Times New Roman" w:hAnsi="Times New Roman" w:cs="Times New Roman"/>
                <w:color w:val="auto"/>
                <w:spacing w:val="0"/>
                <w:position w:val="0"/>
                <w:highlight w:val="none"/>
                <w:lang w:val="en-US" w:eastAsia="zh-CN"/>
              </w:rPr>
              <w:t>325</w:t>
            </w:r>
            <w:r>
              <w:rPr>
                <w:rFonts w:hint="default" w:ascii="Times New Roman" w:hAnsi="Times New Roman" w:cs="Times New Roman"/>
                <w:color w:val="auto"/>
                <w:spacing w:val="0"/>
                <w:position w:val="0"/>
                <w:highlight w:val="none"/>
              </w:rPr>
              <w:t>×</w:t>
            </w:r>
            <w:r>
              <w:rPr>
                <w:rFonts w:hint="default" w:ascii="Times New Roman" w:hAnsi="Times New Roman" w:cs="Times New Roman"/>
                <w:color w:val="auto"/>
                <w:spacing w:val="0"/>
                <w:position w:val="0"/>
                <w:highlight w:val="none"/>
                <w:lang w:val="en-US" w:eastAsia="zh-CN"/>
              </w:rPr>
              <w:t>26813</w:t>
            </w:r>
            <w:r>
              <w:rPr>
                <w:rFonts w:hint="default" w:ascii="Times New Roman" w:hAnsi="Times New Roman" w:cs="Times New Roman"/>
                <w:color w:val="auto"/>
                <w:spacing w:val="0"/>
                <w:position w:val="0"/>
                <w:highlight w:val="none"/>
              </w:rPr>
              <w:t>×10</w:t>
            </w:r>
            <w:r>
              <w:rPr>
                <w:rFonts w:hint="default" w:ascii="Times New Roman" w:hAnsi="Times New Roman" w:cs="Times New Roman"/>
                <w:color w:val="auto"/>
                <w:spacing w:val="0"/>
                <w:position w:val="0"/>
                <w:highlight w:val="none"/>
                <w:vertAlign w:val="superscript"/>
              </w:rPr>
              <w:t>3</w:t>
            </w:r>
            <w:r>
              <w:rPr>
                <w:rFonts w:hint="default" w:ascii="Times New Roman" w:hAnsi="Times New Roman" w:cs="Times New Roman"/>
                <w:color w:val="auto"/>
                <w:spacing w:val="0"/>
                <w:position w:val="0"/>
                <w:highlight w:val="none"/>
              </w:rPr>
              <w:t>=</w:t>
            </w:r>
            <w:r>
              <w:rPr>
                <w:rFonts w:hint="default" w:ascii="Times New Roman" w:hAnsi="Times New Roman" w:cs="Times New Roman"/>
                <w:color w:val="auto"/>
                <w:spacing w:val="0"/>
                <w:position w:val="0"/>
                <w:highlight w:val="none"/>
                <w:lang w:val="en-US" w:eastAsia="zh-CN"/>
              </w:rPr>
              <w:t>169592225</w:t>
            </w:r>
            <w:r>
              <w:rPr>
                <w:rFonts w:hint="default" w:ascii="Times New Roman" w:hAnsi="Times New Roman" w:cs="Times New Roman"/>
                <w:color w:val="auto"/>
                <w:spacing w:val="0"/>
                <w:position w:val="0"/>
                <w:highlight w:val="none"/>
              </w:rPr>
              <w:t>Nm</w:t>
            </w:r>
            <w:r>
              <w:rPr>
                <w:rFonts w:hint="default" w:ascii="Times New Roman" w:hAnsi="Times New Roman" w:cs="Times New Roman"/>
                <w:color w:val="auto"/>
                <w:spacing w:val="0"/>
                <w:position w:val="0"/>
                <w:highlight w:val="none"/>
                <w:vertAlign w:val="superscript"/>
              </w:rPr>
              <w:t>3</w:t>
            </w:r>
            <w:r>
              <w:rPr>
                <w:rFonts w:hint="default" w:ascii="Times New Roman" w:hAnsi="Times New Roman" w:cs="Times New Roman"/>
                <w:color w:val="auto"/>
                <w:spacing w:val="0"/>
                <w:position w:val="0"/>
                <w:highlight w:val="none"/>
              </w:rPr>
              <w:t>/a（</w:t>
            </w:r>
            <w:r>
              <w:rPr>
                <w:rFonts w:hint="default" w:ascii="Times New Roman" w:hAnsi="Times New Roman" w:cs="Times New Roman"/>
                <w:color w:val="auto"/>
                <w:spacing w:val="0"/>
                <w:position w:val="0"/>
                <w:highlight w:val="none"/>
                <w:lang w:val="en-US" w:eastAsia="zh-CN"/>
              </w:rPr>
              <w:t>20190</w:t>
            </w:r>
            <w:r>
              <w:rPr>
                <w:rFonts w:hint="default" w:ascii="Times New Roman" w:hAnsi="Times New Roman" w:cs="Times New Roman"/>
                <w:color w:val="auto"/>
                <w:spacing w:val="0"/>
                <w:position w:val="0"/>
                <w:highlight w:val="none"/>
              </w:rPr>
              <w:t>Nm</w:t>
            </w:r>
            <w:r>
              <w:rPr>
                <w:rFonts w:hint="default" w:ascii="Times New Roman" w:hAnsi="Times New Roman" w:cs="Times New Roman"/>
                <w:color w:val="auto"/>
                <w:spacing w:val="0"/>
                <w:position w:val="0"/>
                <w:highlight w:val="none"/>
                <w:vertAlign w:val="superscript"/>
              </w:rPr>
              <w:t>3</w:t>
            </w:r>
            <w:r>
              <w:rPr>
                <w:rFonts w:hint="default" w:ascii="Times New Roman" w:hAnsi="Times New Roman" w:cs="Times New Roman"/>
                <w:color w:val="auto"/>
                <w:spacing w:val="0"/>
                <w:position w:val="0"/>
                <w:highlight w:val="none"/>
              </w:rPr>
              <w:t>/h）</w:t>
            </w:r>
          </w:p>
          <w:p w14:paraId="14343E4F">
            <w:pPr>
              <w:keepNext w:val="0"/>
              <w:keepLines w:val="0"/>
              <w:pageBreakBefore w:val="0"/>
              <w:widowControl w:val="0"/>
              <w:kinsoku/>
              <w:wordWrap/>
              <w:overflowPunct/>
              <w:topLinePunct w:val="0"/>
              <w:autoSpaceDE w:val="0"/>
              <w:autoSpaceDN w:val="0"/>
              <w:bidi w:val="0"/>
              <w:adjustRightInd w:val="0"/>
              <w:snapToGrid w:val="0"/>
              <w:spacing w:beforeAutospacing="0" w:afterAutospacing="0" w:line="520" w:lineRule="exact"/>
              <w:ind w:left="0" w:leftChars="0" w:right="0" w:rightChars="0" w:firstLine="480" w:firstLineChars="200"/>
              <w:jc w:val="both"/>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lang w:val="en-US" w:eastAsia="zh-CN"/>
              </w:rPr>
              <w:t>②颗粒物</w:t>
            </w:r>
          </w:p>
          <w:p w14:paraId="010D78E4">
            <w:pPr>
              <w:keepNext w:val="0"/>
              <w:keepLines w:val="0"/>
              <w:pageBreakBefore w:val="0"/>
              <w:kinsoku/>
              <w:wordWrap/>
              <w:overflowPunct/>
              <w:topLinePunct w:val="0"/>
              <w:autoSpaceDE w:val="0"/>
              <w:autoSpaceDN w:val="0"/>
              <w:bidi w:val="0"/>
              <w:adjustRightInd w:val="0"/>
              <w:snapToGrid w:val="0"/>
              <w:spacing w:beforeAutospacing="0" w:afterAutospacing="0" w:line="240" w:lineRule="auto"/>
              <w:ind w:right="0" w:rightChars="0"/>
              <w:jc w:val="center"/>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kern w:val="0"/>
                <w:position w:val="0"/>
                <w:sz w:val="24"/>
                <w:szCs w:val="24"/>
                <w:highlight w:val="none"/>
                <w:lang w:val="en-US" w:eastAsia="zh-CN" w:bidi="ar-SA"/>
              </w:rPr>
              <w:object>
                <v:shape id="_x0000_i1028" o:spt="75" type="#_x0000_t75" style="height:65.25pt;width:149.25pt;" o:ole="t" filled="f" o:preferrelative="t" stroked="f" coordsize="21600,21600">
                  <v:path/>
                  <v:fill on="f" focussize="0,0"/>
                  <v:stroke on="f"/>
                  <v:imagedata r:id="rId33" o:title=""/>
                  <o:lock v:ext="edit" aspectratio="t"/>
                  <w10:wrap type="none"/>
                  <w10:anchorlock/>
                </v:shape>
                <o:OLEObject Type="Embed" ProgID="Equations" ShapeID="_x0000_i1028" DrawAspect="Content" ObjectID="_1468075728" r:id="rId32">
                  <o:LockedField>false</o:LockedField>
                </o:OLEObject>
              </w:object>
            </w:r>
          </w:p>
          <w:p w14:paraId="2F8A3A93">
            <w:pPr>
              <w:pStyle w:val="26"/>
              <w:keepNext w:val="0"/>
              <w:keepLines w:val="0"/>
              <w:pageBreakBefore w:val="0"/>
              <w:widowControl w:val="0"/>
              <w:kinsoku/>
              <w:wordWrap/>
              <w:overflowPunct/>
              <w:topLinePunct w:val="0"/>
              <w:autoSpaceDE/>
              <w:autoSpaceDN/>
              <w:bidi w:val="0"/>
              <w:adjustRightInd w:val="0"/>
              <w:snapToGrid w:val="0"/>
              <w:spacing w:before="0" w:beforeAutospacing="0" w:after="0" w:afterAutospacing="0" w:line="520" w:lineRule="exact"/>
              <w:ind w:left="0" w:right="0" w:rightChars="0" w:firstLine="480" w:firstLineChars="200"/>
              <w:textAlignment w:val="auto"/>
              <w:outlineLvl w:val="9"/>
              <w:rPr>
                <w:rFonts w:hint="default" w:ascii="Times New Roman" w:hAnsi="Times New Roman" w:eastAsia="宋体" w:cs="Times New Roman"/>
                <w:color w:val="auto"/>
                <w:spacing w:val="0"/>
                <w:kern w:val="0"/>
                <w:position w:val="0"/>
                <w:sz w:val="24"/>
                <w:szCs w:val="24"/>
                <w:highlight w:val="none"/>
                <w:lang w:val="en-US" w:eastAsia="zh-CN" w:bidi="ar-SA"/>
              </w:rPr>
            </w:pPr>
            <w:r>
              <w:rPr>
                <w:rFonts w:hint="default" w:ascii="Times New Roman" w:hAnsi="Times New Roman" w:eastAsia="宋体" w:cs="Times New Roman"/>
                <w:color w:val="auto"/>
                <w:spacing w:val="0"/>
                <w:kern w:val="0"/>
                <w:position w:val="0"/>
                <w:sz w:val="24"/>
                <w:szCs w:val="24"/>
                <w:highlight w:val="none"/>
                <w:lang w:val="en-US" w:eastAsia="zh-CN" w:bidi="ar-SA"/>
              </w:rPr>
              <w:t>式中：E</w:t>
            </w:r>
            <w:r>
              <w:rPr>
                <w:rFonts w:hint="default" w:ascii="Times New Roman" w:hAnsi="Times New Roman" w:eastAsia="宋体" w:cs="Times New Roman"/>
                <w:color w:val="auto"/>
                <w:spacing w:val="0"/>
                <w:kern w:val="0"/>
                <w:position w:val="0"/>
                <w:sz w:val="24"/>
                <w:szCs w:val="24"/>
                <w:highlight w:val="none"/>
                <w:vertAlign w:val="subscript"/>
                <w:lang w:val="en-US" w:eastAsia="zh-CN" w:bidi="ar-SA"/>
              </w:rPr>
              <w:t>A</w:t>
            </w:r>
            <w:r>
              <w:rPr>
                <w:rFonts w:hint="default" w:ascii="Times New Roman" w:hAnsi="Times New Roman" w:eastAsia="宋体" w:cs="Times New Roman"/>
                <w:color w:val="auto"/>
                <w:spacing w:val="0"/>
                <w:kern w:val="0"/>
                <w:position w:val="0"/>
                <w:sz w:val="24"/>
                <w:szCs w:val="24"/>
                <w:highlight w:val="none"/>
                <w:lang w:val="en-US" w:eastAsia="zh-CN" w:bidi="ar-SA"/>
              </w:rPr>
              <w:t>----核算时段内颗粒物（烟尘）排放量，t；</w:t>
            </w:r>
          </w:p>
          <w:p w14:paraId="2D39FBD6">
            <w:pPr>
              <w:pStyle w:val="26"/>
              <w:keepNext w:val="0"/>
              <w:keepLines w:val="0"/>
              <w:pageBreakBefore w:val="0"/>
              <w:widowControl w:val="0"/>
              <w:kinsoku/>
              <w:wordWrap/>
              <w:overflowPunct/>
              <w:topLinePunct w:val="0"/>
              <w:autoSpaceDE/>
              <w:autoSpaceDN/>
              <w:bidi w:val="0"/>
              <w:adjustRightInd w:val="0"/>
              <w:snapToGrid w:val="0"/>
              <w:spacing w:before="0" w:beforeAutospacing="0" w:after="0" w:afterAutospacing="0" w:line="520" w:lineRule="exact"/>
              <w:ind w:left="0" w:right="0" w:rightChars="0" w:firstLine="1200" w:firstLineChars="500"/>
              <w:textAlignment w:val="auto"/>
              <w:outlineLvl w:val="9"/>
              <w:rPr>
                <w:rFonts w:hint="default" w:ascii="Times New Roman" w:hAnsi="Times New Roman" w:eastAsia="宋体" w:cs="Times New Roman"/>
                <w:color w:val="auto"/>
                <w:spacing w:val="0"/>
                <w:kern w:val="0"/>
                <w:position w:val="0"/>
                <w:sz w:val="24"/>
                <w:szCs w:val="24"/>
                <w:highlight w:val="none"/>
                <w:lang w:val="en-US" w:eastAsia="zh-CN" w:bidi="ar-SA"/>
              </w:rPr>
            </w:pPr>
            <w:r>
              <w:rPr>
                <w:rFonts w:hint="default" w:ascii="Times New Roman" w:hAnsi="Times New Roman" w:eastAsia="宋体" w:cs="Times New Roman"/>
                <w:color w:val="auto"/>
                <w:spacing w:val="0"/>
                <w:kern w:val="0"/>
                <w:position w:val="0"/>
                <w:sz w:val="24"/>
                <w:szCs w:val="24"/>
                <w:highlight w:val="none"/>
                <w:lang w:val="en-US" w:eastAsia="zh-CN" w:bidi="ar-SA"/>
              </w:rPr>
              <w:t>R----核算时段内锅炉燃料耗量，</w:t>
            </w:r>
            <w:r>
              <w:rPr>
                <w:rFonts w:hint="default" w:ascii="Times New Roman" w:hAnsi="Times New Roman" w:cs="Times New Roman"/>
                <w:color w:val="auto"/>
                <w:spacing w:val="0"/>
                <w:kern w:val="0"/>
                <w:position w:val="0"/>
                <w:sz w:val="24"/>
                <w:szCs w:val="24"/>
                <w:highlight w:val="none"/>
                <w:lang w:val="en-US" w:eastAsia="zh-CN" w:bidi="ar-SA"/>
              </w:rPr>
              <w:t>26813</w:t>
            </w:r>
            <w:r>
              <w:rPr>
                <w:rFonts w:hint="default" w:ascii="Times New Roman" w:hAnsi="Times New Roman" w:eastAsia="宋体" w:cs="Times New Roman"/>
                <w:color w:val="auto"/>
                <w:spacing w:val="0"/>
                <w:kern w:val="0"/>
                <w:position w:val="0"/>
                <w:sz w:val="24"/>
                <w:szCs w:val="24"/>
                <w:highlight w:val="none"/>
                <w:lang w:val="en-US" w:eastAsia="zh-CN" w:bidi="ar-SA"/>
              </w:rPr>
              <w:t>t/a；</w:t>
            </w:r>
          </w:p>
          <w:p w14:paraId="63687345">
            <w:pPr>
              <w:pStyle w:val="26"/>
              <w:keepNext w:val="0"/>
              <w:keepLines w:val="0"/>
              <w:pageBreakBefore w:val="0"/>
              <w:widowControl w:val="0"/>
              <w:kinsoku/>
              <w:wordWrap/>
              <w:overflowPunct/>
              <w:topLinePunct w:val="0"/>
              <w:autoSpaceDE/>
              <w:autoSpaceDN/>
              <w:bidi w:val="0"/>
              <w:adjustRightInd w:val="0"/>
              <w:snapToGrid w:val="0"/>
              <w:spacing w:before="0" w:beforeAutospacing="0" w:after="0" w:afterAutospacing="0" w:line="520" w:lineRule="exact"/>
              <w:ind w:left="0" w:right="0" w:rightChars="0" w:firstLine="1200" w:firstLineChars="500"/>
              <w:textAlignment w:val="auto"/>
              <w:outlineLvl w:val="9"/>
              <w:rPr>
                <w:rFonts w:hint="default" w:ascii="Times New Roman" w:hAnsi="Times New Roman" w:eastAsia="宋体" w:cs="Times New Roman"/>
                <w:color w:val="auto"/>
                <w:spacing w:val="0"/>
                <w:kern w:val="0"/>
                <w:position w:val="0"/>
                <w:sz w:val="24"/>
                <w:szCs w:val="24"/>
                <w:highlight w:val="none"/>
                <w:lang w:val="en-US" w:eastAsia="zh-CN" w:bidi="ar-SA"/>
              </w:rPr>
            </w:pPr>
            <w:r>
              <w:rPr>
                <w:rFonts w:hint="default" w:ascii="Times New Roman" w:hAnsi="Times New Roman" w:eastAsia="宋体" w:cs="Times New Roman"/>
                <w:color w:val="auto"/>
                <w:spacing w:val="0"/>
                <w:kern w:val="0"/>
                <w:position w:val="0"/>
                <w:sz w:val="24"/>
                <w:szCs w:val="24"/>
                <w:highlight w:val="none"/>
                <w:lang w:val="en-US" w:eastAsia="zh-CN" w:bidi="ar-SA"/>
              </w:rPr>
              <w:t>A</w:t>
            </w:r>
            <w:r>
              <w:rPr>
                <w:rFonts w:hint="default" w:ascii="Times New Roman" w:hAnsi="Times New Roman" w:eastAsia="宋体" w:cs="Times New Roman"/>
                <w:color w:val="auto"/>
                <w:spacing w:val="0"/>
                <w:kern w:val="0"/>
                <w:position w:val="0"/>
                <w:sz w:val="24"/>
                <w:szCs w:val="24"/>
                <w:highlight w:val="none"/>
                <w:vertAlign w:val="subscript"/>
                <w:lang w:val="en-US" w:eastAsia="zh-CN" w:bidi="ar-SA"/>
              </w:rPr>
              <w:t>ar</w:t>
            </w:r>
            <w:r>
              <w:rPr>
                <w:rFonts w:hint="default" w:ascii="Times New Roman" w:hAnsi="Times New Roman" w:eastAsia="宋体" w:cs="Times New Roman"/>
                <w:color w:val="auto"/>
                <w:spacing w:val="0"/>
                <w:kern w:val="0"/>
                <w:position w:val="0"/>
                <w:sz w:val="24"/>
                <w:szCs w:val="24"/>
                <w:highlight w:val="none"/>
                <w:lang w:val="en-US" w:eastAsia="zh-CN" w:bidi="ar-SA"/>
              </w:rPr>
              <w:t>----收到基灰分的质量分数，%；取</w:t>
            </w:r>
            <w:r>
              <w:rPr>
                <w:rFonts w:hint="default" w:ascii="Times New Roman" w:hAnsi="Times New Roman" w:cs="Times New Roman"/>
                <w:color w:val="auto"/>
                <w:spacing w:val="0"/>
                <w:kern w:val="0"/>
                <w:position w:val="0"/>
                <w:sz w:val="24"/>
                <w:szCs w:val="24"/>
                <w:highlight w:val="none"/>
                <w:lang w:val="en-US" w:eastAsia="zh-CN" w:bidi="ar-SA"/>
              </w:rPr>
              <w:t>12.96</w:t>
            </w:r>
            <w:r>
              <w:rPr>
                <w:rFonts w:hint="default" w:ascii="Times New Roman" w:hAnsi="Times New Roman" w:eastAsia="宋体" w:cs="Times New Roman"/>
                <w:color w:val="auto"/>
                <w:spacing w:val="0"/>
                <w:kern w:val="0"/>
                <w:position w:val="0"/>
                <w:sz w:val="24"/>
                <w:szCs w:val="24"/>
                <w:highlight w:val="none"/>
                <w:lang w:val="en-US" w:eastAsia="zh-CN" w:bidi="ar-SA"/>
              </w:rPr>
              <w:t>%。（根据生物质成分分析报告得出）；</w:t>
            </w:r>
          </w:p>
          <w:p w14:paraId="4D093669">
            <w:pPr>
              <w:pStyle w:val="26"/>
              <w:keepNext w:val="0"/>
              <w:keepLines w:val="0"/>
              <w:pageBreakBefore w:val="0"/>
              <w:widowControl w:val="0"/>
              <w:kinsoku/>
              <w:wordWrap/>
              <w:overflowPunct/>
              <w:topLinePunct w:val="0"/>
              <w:autoSpaceDE/>
              <w:autoSpaceDN/>
              <w:bidi w:val="0"/>
              <w:adjustRightInd w:val="0"/>
              <w:snapToGrid w:val="0"/>
              <w:spacing w:before="0" w:beforeAutospacing="0" w:after="0" w:afterAutospacing="0" w:line="520" w:lineRule="exact"/>
              <w:ind w:left="0" w:right="0" w:rightChars="0" w:firstLine="1200" w:firstLineChars="500"/>
              <w:textAlignment w:val="auto"/>
              <w:outlineLvl w:val="9"/>
              <w:rPr>
                <w:rFonts w:hint="default" w:ascii="Times New Roman" w:hAnsi="Times New Roman" w:eastAsia="宋体" w:cs="Times New Roman"/>
                <w:color w:val="auto"/>
                <w:spacing w:val="0"/>
                <w:kern w:val="0"/>
                <w:position w:val="0"/>
                <w:sz w:val="24"/>
                <w:szCs w:val="24"/>
                <w:highlight w:val="none"/>
                <w:lang w:val="en-US" w:eastAsia="zh-CN" w:bidi="ar-SA"/>
              </w:rPr>
            </w:pPr>
            <w:r>
              <w:rPr>
                <w:rFonts w:hint="default" w:ascii="Times New Roman" w:hAnsi="Times New Roman" w:eastAsia="宋体" w:cs="Times New Roman"/>
                <w:color w:val="auto"/>
                <w:spacing w:val="0"/>
                <w:kern w:val="0"/>
                <w:position w:val="0"/>
                <w:sz w:val="24"/>
                <w:szCs w:val="24"/>
                <w:highlight w:val="none"/>
                <w:lang w:val="en-US" w:eastAsia="zh-CN" w:bidi="ar-SA"/>
              </w:rPr>
              <w:t>d</w:t>
            </w:r>
            <w:r>
              <w:rPr>
                <w:rFonts w:hint="default" w:ascii="Times New Roman" w:hAnsi="Times New Roman" w:eastAsia="宋体" w:cs="Times New Roman"/>
                <w:color w:val="auto"/>
                <w:spacing w:val="0"/>
                <w:kern w:val="0"/>
                <w:position w:val="0"/>
                <w:sz w:val="24"/>
                <w:szCs w:val="24"/>
                <w:highlight w:val="none"/>
                <w:vertAlign w:val="subscript"/>
                <w:lang w:val="en-US" w:eastAsia="zh-CN" w:bidi="ar-SA"/>
              </w:rPr>
              <w:t>fh</w:t>
            </w:r>
            <w:r>
              <w:rPr>
                <w:rFonts w:hint="default" w:ascii="Times New Roman" w:hAnsi="Times New Roman" w:eastAsia="宋体" w:cs="Times New Roman"/>
                <w:color w:val="auto"/>
                <w:spacing w:val="0"/>
                <w:kern w:val="0"/>
                <w:position w:val="0"/>
                <w:sz w:val="24"/>
                <w:szCs w:val="24"/>
                <w:highlight w:val="none"/>
                <w:lang w:val="en-US" w:eastAsia="zh-CN" w:bidi="ar-SA"/>
              </w:rPr>
              <w:t>----锅炉烟气带出的灰分份额，%；取50%。（链条炉排炉灰分份额为10%-20%，本项目取20%，燃生物质时飞灰份额加30%，则最终灰分份额取50%）；</w:t>
            </w:r>
          </w:p>
          <w:p w14:paraId="1BD6F9AA">
            <w:pPr>
              <w:pStyle w:val="26"/>
              <w:keepNext w:val="0"/>
              <w:keepLines w:val="0"/>
              <w:pageBreakBefore w:val="0"/>
              <w:widowControl w:val="0"/>
              <w:kinsoku/>
              <w:wordWrap/>
              <w:overflowPunct/>
              <w:topLinePunct w:val="0"/>
              <w:autoSpaceDE/>
              <w:autoSpaceDN/>
              <w:bidi w:val="0"/>
              <w:adjustRightInd w:val="0"/>
              <w:snapToGrid w:val="0"/>
              <w:spacing w:before="0" w:beforeAutospacing="0" w:after="0" w:afterAutospacing="0" w:line="520" w:lineRule="exact"/>
              <w:ind w:left="0" w:right="0" w:rightChars="0" w:firstLine="1200" w:firstLineChars="500"/>
              <w:textAlignment w:val="auto"/>
              <w:outlineLvl w:val="9"/>
              <w:rPr>
                <w:rFonts w:hint="default" w:ascii="Times New Roman" w:hAnsi="Times New Roman" w:eastAsia="宋体" w:cs="Times New Roman"/>
                <w:color w:val="auto"/>
                <w:spacing w:val="0"/>
                <w:kern w:val="0"/>
                <w:position w:val="0"/>
                <w:sz w:val="24"/>
                <w:szCs w:val="24"/>
                <w:highlight w:val="none"/>
                <w:lang w:val="en-US" w:eastAsia="zh-CN" w:bidi="ar-SA"/>
              </w:rPr>
            </w:pPr>
            <w:r>
              <w:rPr>
                <w:rFonts w:hint="default" w:ascii="Times New Roman" w:hAnsi="Times New Roman" w:eastAsia="宋体" w:cs="Times New Roman"/>
                <w:color w:val="auto"/>
                <w:spacing w:val="0"/>
                <w:kern w:val="0"/>
                <w:position w:val="0"/>
                <w:sz w:val="24"/>
                <w:szCs w:val="24"/>
                <w:highlight w:val="none"/>
                <w:lang w:val="en-US" w:eastAsia="zh-CN" w:bidi="ar-SA"/>
              </w:rPr>
              <w:t>ƞ</w:t>
            </w:r>
            <w:r>
              <w:rPr>
                <w:rFonts w:hint="default" w:ascii="Times New Roman" w:hAnsi="Times New Roman" w:eastAsia="宋体" w:cs="Times New Roman"/>
                <w:color w:val="auto"/>
                <w:spacing w:val="0"/>
                <w:kern w:val="0"/>
                <w:position w:val="0"/>
                <w:sz w:val="24"/>
                <w:szCs w:val="24"/>
                <w:highlight w:val="none"/>
                <w:vertAlign w:val="subscript"/>
                <w:lang w:val="en-US" w:eastAsia="zh-CN" w:bidi="ar-SA"/>
              </w:rPr>
              <w:t>c</w:t>
            </w:r>
            <w:r>
              <w:rPr>
                <w:rFonts w:hint="default" w:ascii="Times New Roman" w:hAnsi="Times New Roman" w:eastAsia="宋体" w:cs="Times New Roman"/>
                <w:color w:val="auto"/>
                <w:spacing w:val="0"/>
                <w:kern w:val="0"/>
                <w:position w:val="0"/>
                <w:sz w:val="24"/>
                <w:szCs w:val="24"/>
                <w:highlight w:val="none"/>
                <w:lang w:val="en-US" w:eastAsia="zh-CN" w:bidi="ar-SA"/>
              </w:rPr>
              <w:t>----综合除尘效率，%；取99.6%。</w:t>
            </w:r>
          </w:p>
          <w:p w14:paraId="195C58C2">
            <w:pPr>
              <w:pStyle w:val="26"/>
              <w:keepNext w:val="0"/>
              <w:keepLines w:val="0"/>
              <w:pageBreakBefore w:val="0"/>
              <w:widowControl w:val="0"/>
              <w:kinsoku/>
              <w:wordWrap/>
              <w:overflowPunct/>
              <w:topLinePunct w:val="0"/>
              <w:autoSpaceDE/>
              <w:autoSpaceDN/>
              <w:bidi w:val="0"/>
              <w:adjustRightInd w:val="0"/>
              <w:snapToGrid w:val="0"/>
              <w:spacing w:before="0" w:beforeAutospacing="0" w:after="0" w:afterAutospacing="0" w:line="520" w:lineRule="exact"/>
              <w:ind w:left="0" w:right="0" w:rightChars="0" w:firstLine="1200" w:firstLineChars="500"/>
              <w:textAlignment w:val="auto"/>
              <w:outlineLvl w:val="9"/>
              <w:rPr>
                <w:rFonts w:hint="default" w:ascii="Times New Roman" w:hAnsi="Times New Roman" w:eastAsia="宋体" w:cs="Times New Roman"/>
                <w:color w:val="auto"/>
                <w:spacing w:val="0"/>
                <w:kern w:val="0"/>
                <w:position w:val="0"/>
                <w:sz w:val="24"/>
                <w:szCs w:val="24"/>
                <w:highlight w:val="none"/>
                <w:lang w:val="en-US" w:eastAsia="zh-CN" w:bidi="ar-SA"/>
              </w:rPr>
            </w:pPr>
            <w:r>
              <w:rPr>
                <w:rFonts w:hint="default" w:ascii="Times New Roman" w:hAnsi="Times New Roman" w:eastAsia="宋体" w:cs="Times New Roman"/>
                <w:color w:val="auto"/>
                <w:spacing w:val="0"/>
                <w:kern w:val="0"/>
                <w:position w:val="0"/>
                <w:sz w:val="24"/>
                <w:szCs w:val="24"/>
                <w:highlight w:val="none"/>
                <w:lang w:val="en-US" w:eastAsia="zh-CN" w:bidi="ar-SA"/>
              </w:rPr>
              <w:t>C</w:t>
            </w:r>
            <w:r>
              <w:rPr>
                <w:rFonts w:hint="default" w:ascii="Times New Roman" w:hAnsi="Times New Roman" w:eastAsia="宋体" w:cs="Times New Roman"/>
                <w:color w:val="auto"/>
                <w:spacing w:val="0"/>
                <w:kern w:val="0"/>
                <w:position w:val="0"/>
                <w:sz w:val="24"/>
                <w:szCs w:val="24"/>
                <w:highlight w:val="none"/>
                <w:vertAlign w:val="subscript"/>
                <w:lang w:val="en-US" w:eastAsia="zh-CN" w:bidi="ar-SA"/>
              </w:rPr>
              <w:t>fh</w:t>
            </w:r>
            <w:r>
              <w:rPr>
                <w:rFonts w:hint="default" w:ascii="Times New Roman" w:hAnsi="Times New Roman" w:eastAsia="宋体" w:cs="Times New Roman"/>
                <w:color w:val="auto"/>
                <w:spacing w:val="0"/>
                <w:kern w:val="0"/>
                <w:position w:val="0"/>
                <w:sz w:val="24"/>
                <w:szCs w:val="24"/>
                <w:highlight w:val="none"/>
                <w:lang w:val="en-US" w:eastAsia="zh-CN" w:bidi="ar-SA"/>
              </w:rPr>
              <w:t>----飞灰中可燃物含量，%。取10%。（参照（GB/T15317-2009）中飞灰中的可燃物含量≦10%，本项目取10%）。</w:t>
            </w:r>
          </w:p>
          <w:p w14:paraId="35AE2507">
            <w:pPr>
              <w:keepNext w:val="0"/>
              <w:keepLines w:val="0"/>
              <w:pageBreakBefore w:val="0"/>
              <w:widowControl w:val="0"/>
              <w:kinsoku/>
              <w:wordWrap/>
              <w:overflowPunct/>
              <w:topLinePunct w:val="0"/>
              <w:autoSpaceDE w:val="0"/>
              <w:autoSpaceDN w:val="0"/>
              <w:bidi w:val="0"/>
              <w:adjustRightInd w:val="0"/>
              <w:snapToGrid w:val="0"/>
              <w:spacing w:beforeAutospacing="0" w:afterAutospacing="0" w:line="520" w:lineRule="exact"/>
              <w:ind w:left="0" w:leftChars="0" w:right="0" w:rightChars="0" w:firstLine="480"/>
              <w:jc w:val="both"/>
              <w:textAlignment w:val="auto"/>
              <w:rPr>
                <w:rFonts w:hint="default" w:ascii="Times New Roman" w:hAnsi="Times New Roman" w:eastAsia="宋体" w:cs="Times New Roman"/>
                <w:color w:val="auto"/>
                <w:spacing w:val="0"/>
                <w:position w:val="0"/>
                <w:sz w:val="24"/>
                <w:szCs w:val="24"/>
                <w:highlight w:val="none"/>
                <w:lang w:eastAsia="zh-CN"/>
              </w:rPr>
            </w:pPr>
            <w:r>
              <w:rPr>
                <w:rFonts w:hint="default" w:ascii="Times New Roman" w:hAnsi="Times New Roman" w:eastAsia="宋体" w:cs="Times New Roman"/>
                <w:color w:val="auto"/>
                <w:spacing w:val="0"/>
                <w:kern w:val="0"/>
                <w:position w:val="0"/>
                <w:sz w:val="24"/>
                <w:szCs w:val="24"/>
                <w:highlight w:val="none"/>
                <w:lang w:val="en-US" w:eastAsia="zh-CN" w:bidi="ar-SA"/>
              </w:rPr>
              <w:t>由计算可得出颗粒物产生量为</w:t>
            </w:r>
            <w:r>
              <w:rPr>
                <w:rFonts w:hint="default" w:ascii="Times New Roman" w:hAnsi="Times New Roman" w:cs="Times New Roman"/>
                <w:color w:val="auto"/>
                <w:spacing w:val="0"/>
                <w:kern w:val="0"/>
                <w:position w:val="0"/>
                <w:sz w:val="24"/>
                <w:szCs w:val="24"/>
                <w:highlight w:val="none"/>
                <w:lang w:val="en-US" w:eastAsia="zh-CN" w:bidi="ar-SA"/>
              </w:rPr>
              <w:t>1930.536</w:t>
            </w:r>
            <w:r>
              <w:rPr>
                <w:rFonts w:hint="default" w:ascii="Times New Roman" w:hAnsi="Times New Roman" w:eastAsia="宋体" w:cs="Times New Roman"/>
                <w:color w:val="auto"/>
                <w:spacing w:val="0"/>
                <w:kern w:val="0"/>
                <w:position w:val="0"/>
                <w:sz w:val="24"/>
                <w:szCs w:val="24"/>
                <w:highlight w:val="none"/>
                <w:lang w:val="en-US" w:eastAsia="zh-CN" w:bidi="ar-SA"/>
              </w:rPr>
              <w:t>t/a，产生速率为</w:t>
            </w:r>
            <w:r>
              <w:rPr>
                <w:rFonts w:hint="default" w:ascii="Times New Roman" w:hAnsi="Times New Roman" w:cs="Times New Roman"/>
                <w:color w:val="auto"/>
                <w:spacing w:val="0"/>
                <w:kern w:val="0"/>
                <w:position w:val="0"/>
                <w:sz w:val="24"/>
                <w:szCs w:val="24"/>
                <w:highlight w:val="none"/>
                <w:lang w:val="en-US" w:eastAsia="zh-CN" w:bidi="ar-SA"/>
              </w:rPr>
              <w:t>229.826</w:t>
            </w:r>
            <w:r>
              <w:rPr>
                <w:rFonts w:hint="default" w:ascii="Times New Roman" w:hAnsi="Times New Roman" w:eastAsia="宋体" w:cs="Times New Roman"/>
                <w:color w:val="auto"/>
                <w:spacing w:val="0"/>
                <w:kern w:val="0"/>
                <w:position w:val="0"/>
                <w:sz w:val="24"/>
                <w:szCs w:val="24"/>
                <w:highlight w:val="none"/>
                <w:lang w:val="en-US" w:eastAsia="zh-CN" w:bidi="ar-SA"/>
              </w:rPr>
              <w:t>kg/h，产生浓度</w:t>
            </w:r>
            <w:r>
              <w:rPr>
                <w:rFonts w:hint="default" w:ascii="Times New Roman" w:hAnsi="Times New Roman" w:cs="Times New Roman"/>
                <w:color w:val="auto"/>
                <w:spacing w:val="0"/>
                <w:kern w:val="0"/>
                <w:position w:val="0"/>
                <w:sz w:val="24"/>
                <w:szCs w:val="24"/>
                <w:highlight w:val="none"/>
                <w:lang w:val="en-US" w:eastAsia="zh-CN" w:bidi="ar-SA"/>
              </w:rPr>
              <w:t>11383.146</w:t>
            </w:r>
            <w:r>
              <w:rPr>
                <w:rFonts w:hint="default" w:ascii="Times New Roman" w:hAnsi="Times New Roman" w:eastAsia="宋体" w:cs="Times New Roman"/>
                <w:color w:val="auto"/>
                <w:spacing w:val="0"/>
                <w:kern w:val="0"/>
                <w:position w:val="0"/>
                <w:sz w:val="24"/>
                <w:szCs w:val="24"/>
                <w:highlight w:val="none"/>
                <w:lang w:val="en-US" w:eastAsia="zh-CN" w:bidi="ar-SA"/>
              </w:rPr>
              <w:t>mg/m</w:t>
            </w:r>
            <w:r>
              <w:rPr>
                <w:rFonts w:hint="default" w:ascii="Times New Roman" w:hAnsi="Times New Roman" w:eastAsia="宋体" w:cs="Times New Roman"/>
                <w:color w:val="auto"/>
                <w:spacing w:val="0"/>
                <w:kern w:val="0"/>
                <w:position w:val="0"/>
                <w:sz w:val="24"/>
                <w:szCs w:val="24"/>
                <w:highlight w:val="none"/>
                <w:vertAlign w:val="superscript"/>
                <w:lang w:val="en-US" w:eastAsia="zh-CN" w:bidi="ar-SA"/>
              </w:rPr>
              <w:t>3</w:t>
            </w:r>
            <w:r>
              <w:rPr>
                <w:rFonts w:hint="default" w:ascii="Times New Roman" w:hAnsi="Times New Roman" w:eastAsia="宋体" w:cs="Times New Roman"/>
                <w:color w:val="auto"/>
                <w:spacing w:val="0"/>
                <w:kern w:val="0"/>
                <w:position w:val="0"/>
                <w:sz w:val="24"/>
                <w:szCs w:val="24"/>
                <w:highlight w:val="none"/>
                <w:lang w:val="en-US" w:eastAsia="zh-CN" w:bidi="ar-SA"/>
              </w:rPr>
              <w:t>；颗粒物排放量为7.722t/a，排放速率为0.9</w:t>
            </w:r>
            <w:r>
              <w:rPr>
                <w:rFonts w:hint="default" w:ascii="Times New Roman" w:hAnsi="Times New Roman" w:cs="Times New Roman"/>
                <w:color w:val="auto"/>
                <w:spacing w:val="0"/>
                <w:kern w:val="0"/>
                <w:position w:val="0"/>
                <w:sz w:val="24"/>
                <w:szCs w:val="24"/>
                <w:highlight w:val="none"/>
                <w:lang w:val="en-US" w:eastAsia="zh-CN" w:bidi="ar-SA"/>
              </w:rPr>
              <w:t>19</w:t>
            </w:r>
            <w:r>
              <w:rPr>
                <w:rFonts w:hint="default" w:ascii="Times New Roman" w:hAnsi="Times New Roman" w:eastAsia="宋体" w:cs="Times New Roman"/>
                <w:color w:val="auto"/>
                <w:spacing w:val="0"/>
                <w:kern w:val="0"/>
                <w:position w:val="0"/>
                <w:sz w:val="24"/>
                <w:szCs w:val="24"/>
                <w:highlight w:val="none"/>
                <w:lang w:val="en-US" w:eastAsia="zh-CN" w:bidi="ar-SA"/>
              </w:rPr>
              <w:t>kg/h，排放浓度</w:t>
            </w:r>
            <w:r>
              <w:rPr>
                <w:rFonts w:hint="default" w:ascii="Times New Roman" w:hAnsi="Times New Roman" w:cs="Times New Roman"/>
                <w:color w:val="auto"/>
                <w:spacing w:val="0"/>
                <w:kern w:val="0"/>
                <w:position w:val="0"/>
                <w:sz w:val="24"/>
                <w:szCs w:val="24"/>
                <w:highlight w:val="none"/>
                <w:lang w:val="en-US" w:eastAsia="zh-CN" w:bidi="ar-SA"/>
              </w:rPr>
              <w:t>45.533</w:t>
            </w:r>
            <w:r>
              <w:rPr>
                <w:rFonts w:hint="default" w:ascii="Times New Roman" w:hAnsi="Times New Roman" w:eastAsia="宋体" w:cs="Times New Roman"/>
                <w:color w:val="auto"/>
                <w:spacing w:val="0"/>
                <w:kern w:val="0"/>
                <w:position w:val="0"/>
                <w:sz w:val="24"/>
                <w:szCs w:val="24"/>
                <w:highlight w:val="none"/>
                <w:lang w:val="en-US" w:eastAsia="zh-CN" w:bidi="ar-SA"/>
              </w:rPr>
              <w:t>mg/m</w:t>
            </w:r>
            <w:r>
              <w:rPr>
                <w:rFonts w:hint="default" w:ascii="Times New Roman" w:hAnsi="Times New Roman" w:eastAsia="宋体" w:cs="Times New Roman"/>
                <w:color w:val="auto"/>
                <w:spacing w:val="0"/>
                <w:kern w:val="0"/>
                <w:position w:val="0"/>
                <w:sz w:val="24"/>
                <w:szCs w:val="24"/>
                <w:highlight w:val="none"/>
                <w:vertAlign w:val="superscript"/>
                <w:lang w:val="en-US" w:eastAsia="zh-CN" w:bidi="ar-SA"/>
              </w:rPr>
              <w:t>3</w:t>
            </w:r>
            <w:r>
              <w:rPr>
                <w:rFonts w:hint="default" w:ascii="Times New Roman" w:hAnsi="Times New Roman" w:eastAsia="宋体" w:cs="Times New Roman"/>
                <w:color w:val="auto"/>
                <w:spacing w:val="0"/>
                <w:kern w:val="0"/>
                <w:position w:val="0"/>
                <w:sz w:val="24"/>
                <w:szCs w:val="24"/>
                <w:highlight w:val="none"/>
                <w:lang w:val="en-US" w:eastAsia="zh-CN" w:bidi="ar-SA"/>
              </w:rPr>
              <w:t>。</w:t>
            </w:r>
          </w:p>
          <w:p w14:paraId="3E7BF21C">
            <w:pPr>
              <w:keepNext w:val="0"/>
              <w:keepLines w:val="0"/>
              <w:pageBreakBefore w:val="0"/>
              <w:kinsoku/>
              <w:wordWrap/>
              <w:overflowPunct/>
              <w:topLinePunct w:val="0"/>
              <w:autoSpaceDE w:val="0"/>
              <w:autoSpaceDN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lang w:val="en-US" w:eastAsia="zh-CN"/>
              </w:rPr>
              <w:t>③二氧化硫</w:t>
            </w:r>
          </w:p>
          <w:p w14:paraId="7E0BAC83">
            <w:pPr>
              <w:keepNext w:val="0"/>
              <w:keepLines w:val="0"/>
              <w:pageBreakBefore w:val="0"/>
              <w:kinsoku/>
              <w:wordWrap/>
              <w:overflowPunct/>
              <w:topLinePunct w:val="0"/>
              <w:autoSpaceDE w:val="0"/>
              <w:autoSpaceDN w:val="0"/>
              <w:bidi w:val="0"/>
              <w:adjustRightInd w:val="0"/>
              <w:snapToGrid w:val="0"/>
              <w:spacing w:beforeAutospacing="0" w:afterAutospacing="0" w:line="240" w:lineRule="auto"/>
              <w:ind w:right="0" w:rightChars="0"/>
              <w:jc w:val="center"/>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kern w:val="0"/>
                <w:position w:val="0"/>
                <w:sz w:val="24"/>
                <w:szCs w:val="24"/>
                <w:highlight w:val="none"/>
                <w:lang w:val="en-US" w:eastAsia="zh-CN" w:bidi="ar-SA"/>
              </w:rPr>
              <w:object>
                <v:shape id="_x0000_i1029" o:spt="75" type="#_x0000_t75" style="height:33pt;width:204pt;" o:ole="t" filled="f" o:preferrelative="t" stroked="f" coordsize="21600,21600">
                  <v:path/>
                  <v:fill on="f" focussize="0,0"/>
                  <v:stroke on="f"/>
                  <v:imagedata r:id="rId35" o:title=""/>
                  <o:lock v:ext="edit" aspectratio="t"/>
                  <w10:wrap type="none"/>
                  <w10:anchorlock/>
                </v:shape>
                <o:OLEObject Type="Embed" ProgID="Equations" ShapeID="_x0000_i1029" DrawAspect="Content" ObjectID="_1468075729" r:id="rId34">
                  <o:LockedField>false</o:LockedField>
                </o:OLEObject>
              </w:object>
            </w:r>
          </w:p>
          <w:p w14:paraId="548E1605">
            <w:pPr>
              <w:pStyle w:val="26"/>
              <w:keepNext w:val="0"/>
              <w:keepLines w:val="0"/>
              <w:pageBreakBefore w:val="0"/>
              <w:widowControl w:val="0"/>
              <w:kinsoku/>
              <w:wordWrap/>
              <w:overflowPunct/>
              <w:topLinePunct w:val="0"/>
              <w:autoSpaceDE/>
              <w:autoSpaceDN/>
              <w:bidi w:val="0"/>
              <w:adjustRightInd w:val="0"/>
              <w:snapToGrid w:val="0"/>
              <w:spacing w:before="0" w:beforeAutospacing="0" w:after="0" w:afterAutospacing="0" w:line="500" w:lineRule="exact"/>
              <w:ind w:left="0" w:right="0" w:rightChars="0" w:firstLine="480" w:firstLineChars="200"/>
              <w:textAlignment w:val="auto"/>
              <w:outlineLvl w:val="9"/>
              <w:rPr>
                <w:rFonts w:hint="default" w:ascii="Times New Roman" w:hAnsi="Times New Roman" w:eastAsia="宋体" w:cs="Times New Roman"/>
                <w:color w:val="auto"/>
                <w:spacing w:val="0"/>
                <w:kern w:val="0"/>
                <w:position w:val="0"/>
                <w:sz w:val="24"/>
                <w:szCs w:val="24"/>
                <w:highlight w:val="none"/>
                <w:lang w:val="en-US" w:eastAsia="zh-CN" w:bidi="ar-SA"/>
              </w:rPr>
            </w:pPr>
            <w:r>
              <w:rPr>
                <w:rFonts w:hint="default" w:ascii="Times New Roman" w:hAnsi="Times New Roman" w:eastAsia="宋体" w:cs="Times New Roman"/>
                <w:color w:val="auto"/>
                <w:spacing w:val="0"/>
                <w:kern w:val="0"/>
                <w:position w:val="0"/>
                <w:sz w:val="24"/>
                <w:szCs w:val="24"/>
                <w:highlight w:val="none"/>
                <w:lang w:val="en-US" w:eastAsia="zh-CN" w:bidi="ar-SA"/>
              </w:rPr>
              <w:t>式中：E</w:t>
            </w:r>
            <w:r>
              <w:rPr>
                <w:rFonts w:hint="default" w:ascii="Times New Roman" w:hAnsi="Times New Roman" w:eastAsia="宋体" w:cs="Times New Roman"/>
                <w:color w:val="auto"/>
                <w:spacing w:val="0"/>
                <w:kern w:val="0"/>
                <w:position w:val="0"/>
                <w:sz w:val="24"/>
                <w:szCs w:val="24"/>
                <w:highlight w:val="none"/>
                <w:vertAlign w:val="subscript"/>
                <w:lang w:val="en-US" w:eastAsia="zh-CN" w:bidi="ar-SA"/>
              </w:rPr>
              <w:t>SO2</w:t>
            </w:r>
            <w:r>
              <w:rPr>
                <w:rFonts w:hint="default" w:ascii="Times New Roman" w:hAnsi="Times New Roman" w:eastAsia="宋体" w:cs="Times New Roman"/>
                <w:color w:val="auto"/>
                <w:spacing w:val="0"/>
                <w:kern w:val="0"/>
                <w:position w:val="0"/>
                <w:sz w:val="24"/>
                <w:szCs w:val="24"/>
                <w:highlight w:val="none"/>
                <w:lang w:val="en-US" w:eastAsia="zh-CN" w:bidi="ar-SA"/>
              </w:rPr>
              <w:t>----核算时段内二氧化硫排放量，t；</w:t>
            </w:r>
          </w:p>
          <w:p w14:paraId="3C2DD45E">
            <w:pPr>
              <w:pStyle w:val="26"/>
              <w:keepNext w:val="0"/>
              <w:keepLines w:val="0"/>
              <w:pageBreakBefore w:val="0"/>
              <w:widowControl w:val="0"/>
              <w:kinsoku/>
              <w:wordWrap/>
              <w:overflowPunct/>
              <w:topLinePunct w:val="0"/>
              <w:autoSpaceDE/>
              <w:autoSpaceDN/>
              <w:bidi w:val="0"/>
              <w:adjustRightInd w:val="0"/>
              <w:snapToGrid w:val="0"/>
              <w:spacing w:before="0" w:beforeAutospacing="0" w:after="0" w:afterAutospacing="0" w:line="500" w:lineRule="exact"/>
              <w:ind w:left="0" w:right="0" w:rightChars="0" w:firstLine="1200" w:firstLineChars="500"/>
              <w:textAlignment w:val="auto"/>
              <w:outlineLvl w:val="9"/>
              <w:rPr>
                <w:rFonts w:hint="default" w:ascii="Times New Roman" w:hAnsi="Times New Roman" w:eastAsia="宋体" w:cs="Times New Roman"/>
                <w:color w:val="auto"/>
                <w:spacing w:val="0"/>
                <w:kern w:val="0"/>
                <w:position w:val="0"/>
                <w:sz w:val="24"/>
                <w:szCs w:val="24"/>
                <w:highlight w:val="none"/>
                <w:lang w:val="en-US" w:eastAsia="zh-CN" w:bidi="ar-SA"/>
              </w:rPr>
            </w:pPr>
            <w:r>
              <w:rPr>
                <w:rFonts w:hint="default" w:ascii="Times New Roman" w:hAnsi="Times New Roman" w:eastAsia="宋体" w:cs="Times New Roman"/>
                <w:color w:val="auto"/>
                <w:spacing w:val="0"/>
                <w:kern w:val="0"/>
                <w:position w:val="0"/>
                <w:sz w:val="24"/>
                <w:szCs w:val="24"/>
                <w:highlight w:val="none"/>
                <w:lang w:val="en-US" w:eastAsia="zh-CN" w:bidi="ar-SA"/>
              </w:rPr>
              <w:t>R----核算时段内锅炉燃料耗量，</w:t>
            </w:r>
            <w:r>
              <w:rPr>
                <w:rFonts w:hint="default" w:ascii="Times New Roman" w:hAnsi="Times New Roman" w:cs="Times New Roman"/>
                <w:color w:val="auto"/>
                <w:spacing w:val="0"/>
                <w:kern w:val="0"/>
                <w:position w:val="0"/>
                <w:sz w:val="24"/>
                <w:szCs w:val="24"/>
                <w:highlight w:val="none"/>
                <w:lang w:val="en-US" w:eastAsia="zh-CN" w:bidi="ar-SA"/>
              </w:rPr>
              <w:t>26813</w:t>
            </w:r>
            <w:r>
              <w:rPr>
                <w:rFonts w:hint="default" w:ascii="Times New Roman" w:hAnsi="Times New Roman" w:eastAsia="宋体" w:cs="Times New Roman"/>
                <w:color w:val="auto"/>
                <w:spacing w:val="0"/>
                <w:kern w:val="0"/>
                <w:position w:val="0"/>
                <w:sz w:val="24"/>
                <w:szCs w:val="24"/>
                <w:highlight w:val="none"/>
                <w:lang w:val="en-US" w:eastAsia="zh-CN" w:bidi="ar-SA"/>
              </w:rPr>
              <w:t>t；</w:t>
            </w:r>
          </w:p>
          <w:p w14:paraId="1509960A">
            <w:pPr>
              <w:pStyle w:val="26"/>
              <w:keepNext w:val="0"/>
              <w:keepLines w:val="0"/>
              <w:pageBreakBefore w:val="0"/>
              <w:widowControl w:val="0"/>
              <w:kinsoku/>
              <w:wordWrap/>
              <w:overflowPunct/>
              <w:topLinePunct w:val="0"/>
              <w:autoSpaceDE/>
              <w:autoSpaceDN/>
              <w:bidi w:val="0"/>
              <w:adjustRightInd w:val="0"/>
              <w:snapToGrid w:val="0"/>
              <w:spacing w:before="0" w:beforeAutospacing="0" w:after="0" w:afterAutospacing="0" w:line="500" w:lineRule="exact"/>
              <w:ind w:left="0" w:right="0" w:rightChars="0" w:firstLine="1200" w:firstLineChars="500"/>
              <w:textAlignment w:val="auto"/>
              <w:outlineLvl w:val="9"/>
              <w:rPr>
                <w:rFonts w:hint="default" w:ascii="Times New Roman" w:hAnsi="Times New Roman" w:eastAsia="宋体" w:cs="Times New Roman"/>
                <w:color w:val="auto"/>
                <w:spacing w:val="0"/>
                <w:kern w:val="0"/>
                <w:position w:val="0"/>
                <w:sz w:val="24"/>
                <w:szCs w:val="24"/>
                <w:highlight w:val="none"/>
                <w:lang w:val="en-US" w:eastAsia="zh-CN" w:bidi="ar-SA"/>
              </w:rPr>
            </w:pPr>
            <w:r>
              <w:rPr>
                <w:rFonts w:hint="default" w:ascii="Times New Roman" w:hAnsi="Times New Roman" w:eastAsia="宋体" w:cs="Times New Roman"/>
                <w:color w:val="auto"/>
                <w:spacing w:val="0"/>
                <w:kern w:val="0"/>
                <w:position w:val="0"/>
                <w:sz w:val="24"/>
                <w:szCs w:val="24"/>
                <w:highlight w:val="none"/>
                <w:lang w:val="en-US" w:eastAsia="zh-CN" w:bidi="ar-SA"/>
              </w:rPr>
              <w:t>S</w:t>
            </w:r>
            <w:r>
              <w:rPr>
                <w:rFonts w:hint="default" w:ascii="Times New Roman" w:hAnsi="Times New Roman" w:eastAsia="宋体" w:cs="Times New Roman"/>
                <w:color w:val="auto"/>
                <w:spacing w:val="0"/>
                <w:kern w:val="0"/>
                <w:position w:val="0"/>
                <w:sz w:val="24"/>
                <w:szCs w:val="24"/>
                <w:highlight w:val="none"/>
                <w:vertAlign w:val="subscript"/>
                <w:lang w:val="en-US" w:eastAsia="zh-CN" w:bidi="ar-SA"/>
              </w:rPr>
              <w:t>ar</w:t>
            </w:r>
            <w:r>
              <w:rPr>
                <w:rFonts w:hint="default" w:ascii="Times New Roman" w:hAnsi="Times New Roman" w:eastAsia="宋体" w:cs="Times New Roman"/>
                <w:color w:val="auto"/>
                <w:spacing w:val="0"/>
                <w:kern w:val="0"/>
                <w:position w:val="0"/>
                <w:sz w:val="24"/>
                <w:szCs w:val="24"/>
                <w:highlight w:val="none"/>
                <w:lang w:val="en-US" w:eastAsia="zh-CN" w:bidi="ar-SA"/>
              </w:rPr>
              <w:t>----收到基硫的质量分数，0.0</w:t>
            </w:r>
            <w:r>
              <w:rPr>
                <w:rFonts w:hint="default" w:ascii="Times New Roman" w:hAnsi="Times New Roman" w:cs="Times New Roman"/>
                <w:color w:val="auto"/>
                <w:spacing w:val="0"/>
                <w:kern w:val="0"/>
                <w:position w:val="0"/>
                <w:sz w:val="24"/>
                <w:szCs w:val="24"/>
                <w:highlight w:val="none"/>
                <w:lang w:val="en-US" w:eastAsia="zh-CN" w:bidi="ar-SA"/>
              </w:rPr>
              <w:t>6</w:t>
            </w:r>
            <w:r>
              <w:rPr>
                <w:rFonts w:hint="default" w:ascii="Times New Roman" w:hAnsi="Times New Roman" w:eastAsia="宋体" w:cs="Times New Roman"/>
                <w:color w:val="auto"/>
                <w:spacing w:val="0"/>
                <w:kern w:val="0"/>
                <w:position w:val="0"/>
                <w:sz w:val="24"/>
                <w:szCs w:val="24"/>
                <w:highlight w:val="none"/>
                <w:lang w:val="en-US" w:eastAsia="zh-CN" w:bidi="ar-SA"/>
              </w:rPr>
              <w:t>%，（根据生物质成分分析报告得出）；</w:t>
            </w:r>
          </w:p>
          <w:p w14:paraId="34C8F8B7">
            <w:pPr>
              <w:pStyle w:val="26"/>
              <w:keepNext w:val="0"/>
              <w:keepLines w:val="0"/>
              <w:pageBreakBefore w:val="0"/>
              <w:widowControl w:val="0"/>
              <w:kinsoku/>
              <w:wordWrap/>
              <w:overflowPunct/>
              <w:topLinePunct w:val="0"/>
              <w:autoSpaceDE/>
              <w:autoSpaceDN/>
              <w:bidi w:val="0"/>
              <w:adjustRightInd w:val="0"/>
              <w:snapToGrid w:val="0"/>
              <w:spacing w:before="0" w:beforeAutospacing="0" w:after="0" w:afterAutospacing="0" w:line="500" w:lineRule="exact"/>
              <w:ind w:left="0" w:right="0" w:rightChars="0" w:firstLine="1200" w:firstLineChars="500"/>
              <w:textAlignment w:val="auto"/>
              <w:outlineLvl w:val="9"/>
              <w:rPr>
                <w:rFonts w:hint="default" w:ascii="Times New Roman" w:hAnsi="Times New Roman" w:eastAsia="宋体" w:cs="Times New Roman"/>
                <w:color w:val="auto"/>
                <w:spacing w:val="0"/>
                <w:kern w:val="0"/>
                <w:position w:val="0"/>
                <w:sz w:val="24"/>
                <w:szCs w:val="24"/>
                <w:highlight w:val="none"/>
                <w:lang w:val="en-US" w:eastAsia="zh-CN" w:bidi="ar-SA"/>
              </w:rPr>
            </w:pPr>
            <w:r>
              <w:rPr>
                <w:rFonts w:hint="default" w:ascii="Times New Roman" w:hAnsi="Times New Roman" w:eastAsia="宋体" w:cs="Times New Roman"/>
                <w:color w:val="auto"/>
                <w:spacing w:val="0"/>
                <w:kern w:val="0"/>
                <w:position w:val="0"/>
                <w:sz w:val="24"/>
                <w:szCs w:val="24"/>
                <w:highlight w:val="none"/>
                <w:lang w:val="en-US" w:eastAsia="zh-CN" w:bidi="ar-SA"/>
              </w:rPr>
              <w:t>q</w:t>
            </w:r>
            <w:r>
              <w:rPr>
                <w:rFonts w:hint="default" w:ascii="Times New Roman" w:hAnsi="Times New Roman" w:eastAsia="宋体" w:cs="Times New Roman"/>
                <w:color w:val="auto"/>
                <w:spacing w:val="0"/>
                <w:kern w:val="0"/>
                <w:position w:val="0"/>
                <w:sz w:val="24"/>
                <w:szCs w:val="24"/>
                <w:highlight w:val="none"/>
                <w:vertAlign w:val="subscript"/>
                <w:lang w:val="en-US" w:eastAsia="zh-CN" w:bidi="ar-SA"/>
              </w:rPr>
              <w:t>4</w:t>
            </w:r>
            <w:r>
              <w:rPr>
                <w:rFonts w:hint="default" w:ascii="Times New Roman" w:hAnsi="Times New Roman" w:eastAsia="宋体" w:cs="Times New Roman"/>
                <w:color w:val="auto"/>
                <w:spacing w:val="0"/>
                <w:kern w:val="0"/>
                <w:position w:val="0"/>
                <w:sz w:val="24"/>
                <w:szCs w:val="24"/>
                <w:highlight w:val="none"/>
                <w:lang w:val="en-US" w:eastAsia="zh-CN" w:bidi="ar-SA"/>
              </w:rPr>
              <w:t>----锅炉机械不完全燃烧热损失，%；取10%，（链条炉排炉不完全燃烧热损失5%-15%）；</w:t>
            </w:r>
          </w:p>
          <w:p w14:paraId="0208688B">
            <w:pPr>
              <w:pStyle w:val="26"/>
              <w:keepNext w:val="0"/>
              <w:keepLines w:val="0"/>
              <w:pageBreakBefore w:val="0"/>
              <w:widowControl w:val="0"/>
              <w:kinsoku/>
              <w:wordWrap/>
              <w:overflowPunct/>
              <w:topLinePunct w:val="0"/>
              <w:autoSpaceDE/>
              <w:autoSpaceDN/>
              <w:bidi w:val="0"/>
              <w:adjustRightInd w:val="0"/>
              <w:snapToGrid w:val="0"/>
              <w:spacing w:before="0" w:beforeAutospacing="0" w:after="0" w:afterAutospacing="0" w:line="500" w:lineRule="exact"/>
              <w:ind w:left="0" w:right="0" w:rightChars="0" w:firstLine="1200" w:firstLineChars="500"/>
              <w:textAlignment w:val="auto"/>
              <w:outlineLvl w:val="9"/>
              <w:rPr>
                <w:rFonts w:hint="default" w:ascii="Times New Roman" w:hAnsi="Times New Roman" w:eastAsia="宋体" w:cs="Times New Roman"/>
                <w:color w:val="auto"/>
                <w:spacing w:val="0"/>
                <w:kern w:val="0"/>
                <w:position w:val="0"/>
                <w:sz w:val="24"/>
                <w:szCs w:val="24"/>
                <w:highlight w:val="none"/>
                <w:lang w:val="en-US" w:eastAsia="zh-CN" w:bidi="ar-SA"/>
              </w:rPr>
            </w:pPr>
            <w:r>
              <w:rPr>
                <w:rFonts w:hint="default" w:ascii="Times New Roman" w:hAnsi="Times New Roman" w:eastAsia="宋体" w:cs="Times New Roman"/>
                <w:color w:val="auto"/>
                <w:spacing w:val="0"/>
                <w:kern w:val="0"/>
                <w:position w:val="0"/>
                <w:sz w:val="24"/>
                <w:szCs w:val="24"/>
                <w:highlight w:val="none"/>
                <w:lang w:val="en-US" w:eastAsia="zh-CN" w:bidi="ar-SA"/>
              </w:rPr>
              <w:t>ƞ</w:t>
            </w:r>
            <w:r>
              <w:rPr>
                <w:rFonts w:hint="default" w:ascii="Times New Roman" w:hAnsi="Times New Roman" w:eastAsia="宋体" w:cs="Times New Roman"/>
                <w:color w:val="auto"/>
                <w:spacing w:val="0"/>
                <w:kern w:val="0"/>
                <w:position w:val="0"/>
                <w:sz w:val="24"/>
                <w:szCs w:val="24"/>
                <w:highlight w:val="none"/>
                <w:vertAlign w:val="subscript"/>
                <w:lang w:val="en-US" w:eastAsia="zh-CN" w:bidi="ar-SA"/>
              </w:rPr>
              <w:t>s</w:t>
            </w:r>
            <w:r>
              <w:rPr>
                <w:rFonts w:hint="default" w:ascii="Times New Roman" w:hAnsi="Times New Roman" w:eastAsia="宋体" w:cs="Times New Roman"/>
                <w:color w:val="auto"/>
                <w:spacing w:val="0"/>
                <w:kern w:val="0"/>
                <w:position w:val="0"/>
                <w:sz w:val="24"/>
                <w:szCs w:val="24"/>
                <w:highlight w:val="none"/>
                <w:lang w:val="en-US" w:eastAsia="zh-CN" w:bidi="ar-SA"/>
              </w:rPr>
              <w:t>----脱硫效率，%；</w:t>
            </w:r>
          </w:p>
          <w:p w14:paraId="5BB81166">
            <w:pPr>
              <w:pStyle w:val="26"/>
              <w:keepNext w:val="0"/>
              <w:keepLines w:val="0"/>
              <w:pageBreakBefore w:val="0"/>
              <w:widowControl w:val="0"/>
              <w:kinsoku/>
              <w:wordWrap/>
              <w:overflowPunct/>
              <w:topLinePunct w:val="0"/>
              <w:autoSpaceDE/>
              <w:autoSpaceDN/>
              <w:bidi w:val="0"/>
              <w:adjustRightInd w:val="0"/>
              <w:snapToGrid w:val="0"/>
              <w:spacing w:before="0" w:beforeAutospacing="0" w:after="0" w:afterAutospacing="0" w:line="500" w:lineRule="exact"/>
              <w:ind w:left="0" w:right="0" w:rightChars="0" w:firstLine="1200" w:firstLineChars="500"/>
              <w:textAlignment w:val="auto"/>
              <w:outlineLvl w:val="9"/>
              <w:rPr>
                <w:rFonts w:hint="default" w:ascii="Times New Roman" w:hAnsi="Times New Roman" w:eastAsia="宋体" w:cs="Times New Roman"/>
                <w:color w:val="auto"/>
                <w:spacing w:val="0"/>
                <w:kern w:val="0"/>
                <w:position w:val="0"/>
                <w:sz w:val="24"/>
                <w:szCs w:val="24"/>
                <w:highlight w:val="none"/>
                <w:lang w:val="en-US" w:eastAsia="zh-CN" w:bidi="ar-SA"/>
              </w:rPr>
            </w:pPr>
            <w:r>
              <w:rPr>
                <w:rFonts w:hint="default" w:ascii="Times New Roman" w:hAnsi="Times New Roman" w:eastAsia="宋体" w:cs="Times New Roman"/>
                <w:color w:val="auto"/>
                <w:spacing w:val="0"/>
                <w:kern w:val="0"/>
                <w:position w:val="0"/>
                <w:sz w:val="24"/>
                <w:szCs w:val="24"/>
                <w:highlight w:val="none"/>
                <w:lang w:val="en-US" w:eastAsia="zh-CN" w:bidi="ar-SA"/>
              </w:rPr>
              <w:t>K----燃料中的硫燃烧后氧化成二氧化硫的份额，量纲一的量。取0.50。</w:t>
            </w:r>
          </w:p>
          <w:p w14:paraId="1AFC9D41">
            <w:pPr>
              <w:keepNext w:val="0"/>
              <w:keepLines w:val="0"/>
              <w:pageBreakBefore w:val="0"/>
              <w:widowControl w:val="0"/>
              <w:kinsoku/>
              <w:wordWrap/>
              <w:overflowPunct/>
              <w:topLinePunct w:val="0"/>
              <w:autoSpaceDE w:val="0"/>
              <w:autoSpaceDN w:val="0"/>
              <w:bidi w:val="0"/>
              <w:adjustRightInd w:val="0"/>
              <w:snapToGrid w:val="0"/>
              <w:spacing w:beforeAutospacing="0" w:afterAutospacing="0" w:line="50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kern w:val="0"/>
                <w:position w:val="0"/>
                <w:sz w:val="24"/>
                <w:szCs w:val="24"/>
                <w:highlight w:val="none"/>
                <w:lang w:val="en-US" w:eastAsia="zh-CN" w:bidi="ar-SA"/>
              </w:rPr>
              <w:t>经计算二氧化硫排放量为14.479t/a，排放速率为1.724kg/h，排放浓度</w:t>
            </w:r>
            <w:r>
              <w:rPr>
                <w:rFonts w:hint="default" w:ascii="Times New Roman" w:hAnsi="Times New Roman" w:cs="Times New Roman"/>
                <w:color w:val="auto"/>
                <w:spacing w:val="0"/>
                <w:kern w:val="0"/>
                <w:position w:val="0"/>
                <w:sz w:val="24"/>
                <w:szCs w:val="24"/>
                <w:highlight w:val="none"/>
                <w:lang w:val="en-US" w:eastAsia="zh-CN" w:bidi="ar-SA"/>
              </w:rPr>
              <w:t>85.374</w:t>
            </w:r>
            <w:r>
              <w:rPr>
                <w:rFonts w:hint="default" w:ascii="Times New Roman" w:hAnsi="Times New Roman" w:eastAsia="宋体" w:cs="Times New Roman"/>
                <w:color w:val="auto"/>
                <w:spacing w:val="0"/>
                <w:kern w:val="0"/>
                <w:position w:val="0"/>
                <w:sz w:val="24"/>
                <w:szCs w:val="24"/>
                <w:highlight w:val="none"/>
                <w:lang w:val="en-US" w:eastAsia="zh-CN" w:bidi="ar-SA"/>
              </w:rPr>
              <w:t>mg/m</w:t>
            </w:r>
            <w:r>
              <w:rPr>
                <w:rFonts w:hint="default" w:ascii="Times New Roman" w:hAnsi="Times New Roman" w:eastAsia="宋体" w:cs="Times New Roman"/>
                <w:color w:val="auto"/>
                <w:spacing w:val="0"/>
                <w:kern w:val="0"/>
                <w:position w:val="0"/>
                <w:sz w:val="24"/>
                <w:szCs w:val="24"/>
                <w:highlight w:val="none"/>
                <w:vertAlign w:val="superscript"/>
                <w:lang w:val="en-US" w:eastAsia="zh-CN" w:bidi="ar-SA"/>
              </w:rPr>
              <w:t>3</w:t>
            </w:r>
            <w:r>
              <w:rPr>
                <w:rFonts w:hint="default" w:ascii="Times New Roman" w:hAnsi="Times New Roman" w:eastAsia="宋体" w:cs="Times New Roman"/>
                <w:color w:val="auto"/>
                <w:spacing w:val="0"/>
                <w:kern w:val="0"/>
                <w:position w:val="0"/>
                <w:sz w:val="24"/>
                <w:szCs w:val="24"/>
                <w:highlight w:val="none"/>
                <w:lang w:val="en-US" w:eastAsia="zh-CN" w:bidi="ar-SA"/>
              </w:rPr>
              <w:t>。</w:t>
            </w:r>
          </w:p>
          <w:p w14:paraId="5AFABF07">
            <w:pPr>
              <w:keepNext w:val="0"/>
              <w:keepLines w:val="0"/>
              <w:pageBreakBefore w:val="0"/>
              <w:kinsoku/>
              <w:wordWrap/>
              <w:overflowPunct/>
              <w:topLinePunct w:val="0"/>
              <w:autoSpaceDE w:val="0"/>
              <w:autoSpaceDN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lang w:val="en-US" w:eastAsia="zh-CN"/>
              </w:rPr>
              <w:t>④氮氧化物</w:t>
            </w:r>
          </w:p>
          <w:p w14:paraId="53240724">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kern w:val="0"/>
                <w:position w:val="0"/>
                <w:sz w:val="24"/>
                <w:szCs w:val="24"/>
                <w:highlight w:val="none"/>
              </w:rPr>
              <w:drawing>
                <wp:inline distT="0" distB="0" distL="114300" distR="114300">
                  <wp:extent cx="2301875" cy="429895"/>
                  <wp:effectExtent l="0" t="0" r="3175" b="8255"/>
                  <wp:docPr id="10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8"/>
                          <pic:cNvPicPr>
                            <a:picLocks noChangeAspect="1"/>
                          </pic:cNvPicPr>
                        </pic:nvPicPr>
                        <pic:blipFill>
                          <a:blip r:embed="rId36"/>
                          <a:srcRect t="14034" b="20930"/>
                          <a:stretch>
                            <a:fillRect/>
                          </a:stretch>
                        </pic:blipFill>
                        <pic:spPr>
                          <a:xfrm>
                            <a:off x="0" y="0"/>
                            <a:ext cx="2301875" cy="429895"/>
                          </a:xfrm>
                          <a:prstGeom prst="rect">
                            <a:avLst/>
                          </a:prstGeom>
                          <a:noFill/>
                          <a:ln>
                            <a:noFill/>
                          </a:ln>
                        </pic:spPr>
                      </pic:pic>
                    </a:graphicData>
                  </a:graphic>
                </wp:inline>
              </w:drawing>
            </w:r>
          </w:p>
          <w:p w14:paraId="6AC88D75">
            <w:pPr>
              <w:keepNext w:val="0"/>
              <w:keepLines w:val="0"/>
              <w:pageBreakBefore w:val="0"/>
              <w:widowControl/>
              <w:kinsoku/>
              <w:wordWrap/>
              <w:overflowPunct/>
              <w:topLinePunct w:val="0"/>
              <w:autoSpaceDE/>
              <w:autoSpaceDN/>
              <w:bidi w:val="0"/>
              <w:adjustRightInd w:val="0"/>
              <w:snapToGrid w:val="0"/>
              <w:spacing w:beforeAutospacing="0" w:afterAutospacing="0" w:line="500" w:lineRule="exact"/>
              <w:ind w:left="0" w:right="0" w:rightChars="0" w:firstLine="480"/>
              <w:textAlignment w:val="auto"/>
              <w:outlineLvl w:val="9"/>
              <w:rPr>
                <w:rFonts w:hint="default" w:ascii="Times New Roman" w:hAnsi="Times New Roman" w:eastAsia="宋体" w:cs="Times New Roman"/>
                <w:color w:val="auto"/>
                <w:spacing w:val="0"/>
                <w:kern w:val="0"/>
                <w:position w:val="0"/>
                <w:sz w:val="24"/>
                <w:szCs w:val="24"/>
                <w:highlight w:val="none"/>
              </w:rPr>
            </w:pPr>
            <w:r>
              <w:rPr>
                <w:rFonts w:hint="default" w:ascii="Times New Roman" w:hAnsi="Times New Roman" w:eastAsia="宋体" w:cs="Times New Roman"/>
                <w:color w:val="auto"/>
                <w:spacing w:val="0"/>
                <w:kern w:val="0"/>
                <w:position w:val="0"/>
                <w:sz w:val="24"/>
                <w:szCs w:val="24"/>
                <w:highlight w:val="none"/>
              </w:rPr>
              <w:t>式中：</w:t>
            </w:r>
            <w:r>
              <w:rPr>
                <w:rFonts w:hint="default" w:ascii="Times New Roman" w:hAnsi="Times New Roman" w:eastAsia="宋体" w:cs="Times New Roman"/>
                <w:i/>
                <w:iCs/>
                <w:color w:val="auto"/>
                <w:spacing w:val="0"/>
                <w:kern w:val="0"/>
                <w:position w:val="0"/>
                <w:sz w:val="24"/>
                <w:szCs w:val="24"/>
                <w:highlight w:val="none"/>
              </w:rPr>
              <w:t>E</w:t>
            </w:r>
            <w:r>
              <w:rPr>
                <w:rFonts w:hint="default" w:ascii="Times New Roman" w:hAnsi="Times New Roman" w:eastAsia="宋体" w:cs="Times New Roman"/>
                <w:color w:val="auto"/>
                <w:spacing w:val="0"/>
                <w:kern w:val="0"/>
                <w:position w:val="0"/>
                <w:sz w:val="24"/>
                <w:szCs w:val="24"/>
                <w:highlight w:val="none"/>
                <w:vertAlign w:val="subscript"/>
              </w:rPr>
              <w:t>NOx</w:t>
            </w:r>
            <w:r>
              <w:rPr>
                <w:rFonts w:hint="default" w:ascii="Times New Roman" w:hAnsi="Times New Roman" w:eastAsia="宋体" w:cs="Times New Roman"/>
                <w:color w:val="auto"/>
                <w:spacing w:val="0"/>
                <w:kern w:val="0"/>
                <w:position w:val="0"/>
                <w:sz w:val="24"/>
                <w:szCs w:val="24"/>
                <w:highlight w:val="none"/>
              </w:rPr>
              <w:t>——氮氧化物</w:t>
            </w:r>
            <w:r>
              <w:rPr>
                <w:rFonts w:hint="default" w:ascii="Times New Roman" w:hAnsi="Times New Roman" w:eastAsia="宋体" w:cs="Times New Roman"/>
                <w:color w:val="auto"/>
                <w:spacing w:val="0"/>
                <w:kern w:val="0"/>
                <w:position w:val="0"/>
                <w:sz w:val="24"/>
                <w:szCs w:val="24"/>
                <w:highlight w:val="none"/>
                <w:lang w:val="en-US" w:eastAsia="zh-CN"/>
              </w:rPr>
              <w:t>排放</w:t>
            </w:r>
            <w:r>
              <w:rPr>
                <w:rFonts w:hint="default" w:ascii="Times New Roman" w:hAnsi="Times New Roman" w:eastAsia="宋体" w:cs="Times New Roman"/>
                <w:color w:val="auto"/>
                <w:spacing w:val="0"/>
                <w:kern w:val="0"/>
                <w:position w:val="0"/>
                <w:sz w:val="24"/>
                <w:szCs w:val="24"/>
                <w:highlight w:val="none"/>
              </w:rPr>
              <w:t>量，t；</w:t>
            </w:r>
          </w:p>
          <w:p w14:paraId="73F43374">
            <w:pPr>
              <w:keepNext w:val="0"/>
              <w:keepLines w:val="0"/>
              <w:pageBreakBefore w:val="0"/>
              <w:widowControl/>
              <w:kinsoku/>
              <w:wordWrap/>
              <w:overflowPunct/>
              <w:topLinePunct w:val="0"/>
              <w:autoSpaceDE/>
              <w:autoSpaceDN/>
              <w:bidi w:val="0"/>
              <w:adjustRightInd w:val="0"/>
              <w:snapToGrid w:val="0"/>
              <w:spacing w:beforeAutospacing="0" w:afterAutospacing="0" w:line="500" w:lineRule="exact"/>
              <w:ind w:left="0" w:right="0" w:rightChars="0" w:firstLine="1134"/>
              <w:textAlignment w:val="auto"/>
              <w:outlineLvl w:val="9"/>
              <w:rPr>
                <w:rFonts w:hint="default" w:ascii="Times New Roman" w:hAnsi="Times New Roman" w:eastAsia="宋体" w:cs="Times New Roman"/>
                <w:color w:val="auto"/>
                <w:spacing w:val="0"/>
                <w:kern w:val="0"/>
                <w:position w:val="0"/>
                <w:sz w:val="24"/>
                <w:szCs w:val="24"/>
                <w:highlight w:val="none"/>
              </w:rPr>
            </w:pPr>
            <w:r>
              <w:rPr>
                <w:rFonts w:hint="default" w:ascii="Times New Roman" w:hAnsi="Times New Roman" w:eastAsia="宋体" w:cs="Times New Roman"/>
                <w:i/>
                <w:color w:val="auto"/>
                <w:spacing w:val="0"/>
                <w:kern w:val="0"/>
                <w:position w:val="0"/>
                <w:sz w:val="24"/>
                <w:szCs w:val="24"/>
                <w:highlight w:val="none"/>
              </w:rPr>
              <w:t>ρ</w:t>
            </w:r>
            <w:r>
              <w:rPr>
                <w:rFonts w:hint="default" w:ascii="Times New Roman" w:hAnsi="Times New Roman" w:eastAsia="宋体" w:cs="Times New Roman"/>
                <w:color w:val="auto"/>
                <w:spacing w:val="0"/>
                <w:kern w:val="0"/>
                <w:position w:val="0"/>
                <w:sz w:val="24"/>
                <w:szCs w:val="24"/>
                <w:highlight w:val="none"/>
                <w:vertAlign w:val="subscript"/>
              </w:rPr>
              <w:t>NOx</w:t>
            </w:r>
            <w:r>
              <w:rPr>
                <w:rFonts w:hint="default" w:ascii="Times New Roman" w:hAnsi="Times New Roman" w:eastAsia="宋体" w:cs="Times New Roman"/>
                <w:color w:val="auto"/>
                <w:spacing w:val="0"/>
                <w:kern w:val="0"/>
                <w:position w:val="0"/>
                <w:sz w:val="24"/>
                <w:szCs w:val="24"/>
                <w:highlight w:val="none"/>
              </w:rPr>
              <w:t>——</w:t>
            </w:r>
            <w:r>
              <w:rPr>
                <w:rFonts w:hint="default" w:ascii="Times New Roman" w:hAnsi="Times New Roman" w:eastAsia="宋体" w:cs="Times New Roman"/>
                <w:color w:val="auto"/>
                <w:spacing w:val="0"/>
                <w:kern w:val="0"/>
                <w:position w:val="0"/>
                <w:sz w:val="24"/>
                <w:szCs w:val="24"/>
                <w:highlight w:val="none"/>
                <w:lang w:val="en-US" w:eastAsia="zh-CN"/>
              </w:rPr>
              <w:t>燃生物质</w:t>
            </w:r>
            <w:r>
              <w:rPr>
                <w:rFonts w:hint="default" w:ascii="Times New Roman" w:hAnsi="Times New Roman" w:eastAsia="宋体" w:cs="Times New Roman"/>
                <w:color w:val="auto"/>
                <w:spacing w:val="0"/>
                <w:kern w:val="0"/>
                <w:position w:val="0"/>
                <w:sz w:val="24"/>
                <w:szCs w:val="24"/>
                <w:highlight w:val="none"/>
              </w:rPr>
              <w:t>锅炉炉膛出口氮氧化物质量浓度</w:t>
            </w:r>
            <w:r>
              <w:rPr>
                <w:rFonts w:hint="default" w:ascii="Times New Roman" w:hAnsi="Times New Roman" w:eastAsia="宋体" w:cs="Times New Roman"/>
                <w:color w:val="auto"/>
                <w:spacing w:val="0"/>
                <w:kern w:val="0"/>
                <w:position w:val="0"/>
                <w:sz w:val="24"/>
                <w:szCs w:val="24"/>
                <w:highlight w:val="none"/>
                <w:lang w:val="en-US" w:eastAsia="zh-CN"/>
              </w:rPr>
              <w:t>范围为100~600</w:t>
            </w:r>
            <w:r>
              <w:rPr>
                <w:rFonts w:hint="default" w:ascii="Times New Roman" w:hAnsi="Times New Roman" w:eastAsia="宋体" w:cs="Times New Roman"/>
                <w:color w:val="auto"/>
                <w:spacing w:val="0"/>
                <w:kern w:val="0"/>
                <w:position w:val="0"/>
                <w:sz w:val="24"/>
                <w:szCs w:val="24"/>
                <w:highlight w:val="none"/>
              </w:rPr>
              <w:t>mg/m</w:t>
            </w:r>
            <w:r>
              <w:rPr>
                <w:rFonts w:hint="default" w:ascii="Times New Roman" w:hAnsi="Times New Roman" w:eastAsia="宋体" w:cs="Times New Roman"/>
                <w:color w:val="auto"/>
                <w:spacing w:val="0"/>
                <w:kern w:val="0"/>
                <w:position w:val="0"/>
                <w:sz w:val="24"/>
                <w:szCs w:val="24"/>
                <w:highlight w:val="none"/>
                <w:vertAlign w:val="superscript"/>
              </w:rPr>
              <w:t>3</w:t>
            </w:r>
            <w:r>
              <w:rPr>
                <w:rFonts w:hint="default" w:ascii="Times New Roman" w:hAnsi="Times New Roman" w:eastAsia="宋体" w:cs="Times New Roman"/>
                <w:color w:val="auto"/>
                <w:spacing w:val="0"/>
                <w:kern w:val="0"/>
                <w:position w:val="0"/>
                <w:sz w:val="24"/>
                <w:szCs w:val="24"/>
                <w:highlight w:val="none"/>
              </w:rPr>
              <w:t>；本项目取</w:t>
            </w:r>
            <w:r>
              <w:rPr>
                <w:rFonts w:hint="default" w:ascii="Times New Roman" w:hAnsi="Times New Roman" w:eastAsia="宋体" w:cs="Times New Roman"/>
                <w:color w:val="auto"/>
                <w:spacing w:val="0"/>
                <w:kern w:val="0"/>
                <w:position w:val="0"/>
                <w:sz w:val="24"/>
                <w:szCs w:val="24"/>
                <w:highlight w:val="none"/>
                <w:lang w:val="en-US" w:eastAsia="zh-CN"/>
              </w:rPr>
              <w:t>200</w:t>
            </w:r>
            <w:r>
              <w:rPr>
                <w:rFonts w:hint="default" w:ascii="Times New Roman" w:hAnsi="Times New Roman" w:eastAsia="宋体" w:cs="Times New Roman"/>
                <w:color w:val="auto"/>
                <w:spacing w:val="0"/>
                <w:kern w:val="0"/>
                <w:position w:val="0"/>
                <w:sz w:val="24"/>
                <w:szCs w:val="24"/>
                <w:highlight w:val="none"/>
              </w:rPr>
              <w:t>mg/m</w:t>
            </w:r>
            <w:r>
              <w:rPr>
                <w:rFonts w:hint="default" w:ascii="Times New Roman" w:hAnsi="Times New Roman" w:eastAsia="宋体" w:cs="Times New Roman"/>
                <w:color w:val="auto"/>
                <w:spacing w:val="0"/>
                <w:kern w:val="0"/>
                <w:position w:val="0"/>
                <w:sz w:val="24"/>
                <w:szCs w:val="24"/>
                <w:highlight w:val="none"/>
                <w:vertAlign w:val="superscript"/>
              </w:rPr>
              <w:t>3</w:t>
            </w:r>
            <w:r>
              <w:rPr>
                <w:rFonts w:hint="default" w:ascii="Times New Roman" w:hAnsi="Times New Roman" w:eastAsia="宋体" w:cs="Times New Roman"/>
                <w:color w:val="auto"/>
                <w:spacing w:val="0"/>
                <w:kern w:val="0"/>
                <w:position w:val="0"/>
                <w:sz w:val="24"/>
                <w:szCs w:val="24"/>
                <w:highlight w:val="none"/>
              </w:rPr>
              <w:t>。</w:t>
            </w:r>
          </w:p>
          <w:p w14:paraId="3A85A093">
            <w:pPr>
              <w:keepNext w:val="0"/>
              <w:keepLines w:val="0"/>
              <w:pageBreakBefore w:val="0"/>
              <w:widowControl/>
              <w:kinsoku/>
              <w:wordWrap/>
              <w:overflowPunct/>
              <w:topLinePunct w:val="0"/>
              <w:autoSpaceDE/>
              <w:autoSpaceDN/>
              <w:bidi w:val="0"/>
              <w:adjustRightInd w:val="0"/>
              <w:snapToGrid w:val="0"/>
              <w:spacing w:beforeAutospacing="0" w:afterAutospacing="0" w:line="500" w:lineRule="exact"/>
              <w:ind w:left="0" w:right="0" w:rightChars="0" w:firstLine="1134"/>
              <w:textAlignment w:val="auto"/>
              <w:outlineLvl w:val="9"/>
              <w:rPr>
                <w:rFonts w:hint="default" w:ascii="Times New Roman" w:hAnsi="Times New Roman" w:eastAsia="宋体" w:cs="Times New Roman"/>
                <w:color w:val="auto"/>
                <w:spacing w:val="0"/>
                <w:kern w:val="0"/>
                <w:position w:val="0"/>
                <w:sz w:val="24"/>
                <w:szCs w:val="24"/>
                <w:highlight w:val="none"/>
              </w:rPr>
            </w:pPr>
            <w:r>
              <w:rPr>
                <w:rFonts w:hint="default" w:ascii="Times New Roman" w:hAnsi="Times New Roman" w:eastAsia="宋体" w:cs="Times New Roman"/>
                <w:color w:val="auto"/>
                <w:spacing w:val="0"/>
                <w:kern w:val="0"/>
                <w:position w:val="0"/>
                <w:sz w:val="24"/>
                <w:szCs w:val="24"/>
                <w:highlight w:val="none"/>
              </w:rPr>
              <w:t>Q——标态干烟气产生量，m</w:t>
            </w:r>
            <w:r>
              <w:rPr>
                <w:rFonts w:hint="default" w:ascii="Times New Roman" w:hAnsi="Times New Roman" w:eastAsia="宋体" w:cs="Times New Roman"/>
                <w:color w:val="auto"/>
                <w:spacing w:val="0"/>
                <w:kern w:val="0"/>
                <w:position w:val="0"/>
                <w:sz w:val="24"/>
                <w:szCs w:val="24"/>
                <w:highlight w:val="none"/>
                <w:vertAlign w:val="superscript"/>
              </w:rPr>
              <w:t>3</w:t>
            </w:r>
            <w:r>
              <w:rPr>
                <w:rFonts w:hint="default" w:ascii="Times New Roman" w:hAnsi="Times New Roman" w:eastAsia="宋体" w:cs="Times New Roman"/>
                <w:color w:val="auto"/>
                <w:spacing w:val="0"/>
                <w:kern w:val="0"/>
                <w:position w:val="0"/>
                <w:sz w:val="24"/>
                <w:szCs w:val="24"/>
                <w:highlight w:val="none"/>
              </w:rPr>
              <w:t>；</w:t>
            </w:r>
          </w:p>
          <w:p w14:paraId="487F1F94">
            <w:pPr>
              <w:keepNext w:val="0"/>
              <w:keepLines w:val="0"/>
              <w:pageBreakBefore w:val="0"/>
              <w:widowControl/>
              <w:kinsoku/>
              <w:wordWrap/>
              <w:overflowPunct/>
              <w:topLinePunct w:val="0"/>
              <w:autoSpaceDE/>
              <w:autoSpaceDN/>
              <w:bidi w:val="0"/>
              <w:adjustRightInd w:val="0"/>
              <w:snapToGrid w:val="0"/>
              <w:spacing w:beforeAutospacing="0" w:afterAutospacing="0" w:line="500" w:lineRule="exact"/>
              <w:ind w:left="0" w:right="0" w:rightChars="0" w:firstLine="1134"/>
              <w:textAlignment w:val="auto"/>
              <w:outlineLvl w:val="9"/>
              <w:rPr>
                <w:rFonts w:hint="default" w:ascii="Times New Roman" w:hAnsi="Times New Roman" w:eastAsia="宋体" w:cs="Times New Roman"/>
                <w:color w:val="auto"/>
                <w:spacing w:val="0"/>
                <w:kern w:val="0"/>
                <w:position w:val="0"/>
                <w:sz w:val="24"/>
                <w:szCs w:val="24"/>
                <w:highlight w:val="none"/>
              </w:rPr>
            </w:pPr>
            <w:r>
              <w:rPr>
                <w:rFonts w:hint="default" w:ascii="Times New Roman" w:hAnsi="Times New Roman" w:eastAsia="宋体" w:cs="Times New Roman"/>
                <w:i/>
                <w:iCs/>
                <w:color w:val="auto"/>
                <w:spacing w:val="0"/>
                <w:kern w:val="0"/>
                <w:position w:val="0"/>
                <w:sz w:val="24"/>
                <w:szCs w:val="24"/>
                <w:highlight w:val="none"/>
              </w:rPr>
              <w:t>η</w:t>
            </w:r>
            <w:r>
              <w:rPr>
                <w:rFonts w:hint="default" w:ascii="Times New Roman" w:hAnsi="Times New Roman" w:eastAsia="宋体" w:cs="Times New Roman"/>
                <w:color w:val="auto"/>
                <w:spacing w:val="0"/>
                <w:kern w:val="0"/>
                <w:position w:val="0"/>
                <w:sz w:val="24"/>
                <w:szCs w:val="24"/>
                <w:highlight w:val="none"/>
                <w:vertAlign w:val="subscript"/>
              </w:rPr>
              <w:t>NOx</w:t>
            </w:r>
            <w:r>
              <w:rPr>
                <w:rFonts w:hint="default" w:ascii="Times New Roman" w:hAnsi="Times New Roman" w:eastAsia="宋体" w:cs="Times New Roman"/>
                <w:color w:val="auto"/>
                <w:spacing w:val="0"/>
                <w:kern w:val="0"/>
                <w:position w:val="0"/>
                <w:sz w:val="24"/>
                <w:szCs w:val="24"/>
                <w:highlight w:val="none"/>
              </w:rPr>
              <w:t>——脱硝效率，</w:t>
            </w:r>
            <w:r>
              <w:rPr>
                <w:rFonts w:hint="default" w:ascii="Times New Roman" w:hAnsi="Times New Roman" w:eastAsia="宋体" w:cs="Times New Roman"/>
                <w:color w:val="auto"/>
                <w:spacing w:val="0"/>
                <w:kern w:val="0"/>
                <w:position w:val="0"/>
                <w:sz w:val="24"/>
                <w:szCs w:val="24"/>
                <w:highlight w:val="none"/>
                <w:lang w:val="en-US" w:eastAsia="zh-CN"/>
              </w:rPr>
              <w:t>0</w:t>
            </w:r>
            <w:r>
              <w:rPr>
                <w:rFonts w:hint="default" w:ascii="Times New Roman" w:hAnsi="Times New Roman" w:eastAsia="宋体" w:cs="Times New Roman"/>
                <w:color w:val="auto"/>
                <w:spacing w:val="0"/>
                <w:kern w:val="0"/>
                <w:position w:val="0"/>
                <w:sz w:val="24"/>
                <w:szCs w:val="24"/>
                <w:highlight w:val="none"/>
              </w:rPr>
              <w:t>。</w:t>
            </w:r>
          </w:p>
          <w:p w14:paraId="64C98815">
            <w:pPr>
              <w:keepNext w:val="0"/>
              <w:keepLines w:val="0"/>
              <w:pageBreakBefore w:val="0"/>
              <w:kinsoku/>
              <w:wordWrap/>
              <w:overflowPunct/>
              <w:topLinePunct w:val="0"/>
              <w:autoSpaceDE w:val="0"/>
              <w:autoSpaceDN w:val="0"/>
              <w:bidi w:val="0"/>
              <w:adjustRightInd w:val="0"/>
              <w:snapToGrid w:val="0"/>
              <w:spacing w:beforeAutospacing="0" w:afterAutospacing="0" w:line="50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kern w:val="0"/>
                <w:position w:val="0"/>
                <w:sz w:val="24"/>
                <w:szCs w:val="24"/>
                <w:highlight w:val="none"/>
                <w:lang w:val="en-US" w:eastAsia="zh-CN" w:bidi="ar-SA"/>
              </w:rPr>
              <w:t>经计算可得出氮氧化物排放量为</w:t>
            </w:r>
            <w:r>
              <w:rPr>
                <w:rFonts w:hint="default" w:ascii="Times New Roman" w:hAnsi="Times New Roman" w:cs="Times New Roman"/>
                <w:color w:val="auto"/>
                <w:spacing w:val="0"/>
                <w:kern w:val="0"/>
                <w:position w:val="0"/>
                <w:sz w:val="24"/>
                <w:szCs w:val="24"/>
                <w:highlight w:val="none"/>
                <w:lang w:val="en-US" w:eastAsia="zh-CN" w:bidi="ar-SA"/>
              </w:rPr>
              <w:t>33.918</w:t>
            </w:r>
            <w:r>
              <w:rPr>
                <w:rFonts w:hint="default" w:ascii="Times New Roman" w:hAnsi="Times New Roman" w:eastAsia="宋体" w:cs="Times New Roman"/>
                <w:color w:val="auto"/>
                <w:spacing w:val="0"/>
                <w:kern w:val="0"/>
                <w:position w:val="0"/>
                <w:sz w:val="24"/>
                <w:szCs w:val="24"/>
                <w:highlight w:val="none"/>
                <w:lang w:val="en-US" w:eastAsia="zh-CN" w:bidi="ar-SA"/>
              </w:rPr>
              <w:t>t/a，排放速率为4.038kg/h，排放浓度200mg/m</w:t>
            </w:r>
            <w:r>
              <w:rPr>
                <w:rFonts w:hint="default" w:ascii="Times New Roman" w:hAnsi="Times New Roman" w:eastAsia="宋体" w:cs="Times New Roman"/>
                <w:color w:val="auto"/>
                <w:spacing w:val="0"/>
                <w:kern w:val="0"/>
                <w:position w:val="0"/>
                <w:sz w:val="24"/>
                <w:szCs w:val="24"/>
                <w:highlight w:val="none"/>
                <w:vertAlign w:val="superscript"/>
                <w:lang w:val="en-US" w:eastAsia="zh-CN" w:bidi="ar-SA"/>
              </w:rPr>
              <w:t>3</w:t>
            </w:r>
            <w:r>
              <w:rPr>
                <w:rFonts w:hint="default" w:ascii="Times New Roman" w:hAnsi="Times New Roman" w:eastAsia="宋体" w:cs="Times New Roman"/>
                <w:color w:val="auto"/>
                <w:spacing w:val="0"/>
                <w:kern w:val="0"/>
                <w:position w:val="0"/>
                <w:sz w:val="24"/>
                <w:szCs w:val="24"/>
                <w:highlight w:val="none"/>
                <w:lang w:val="en-US" w:eastAsia="zh-CN" w:bidi="ar-SA"/>
              </w:rPr>
              <w:t>。</w:t>
            </w:r>
          </w:p>
          <w:p w14:paraId="4204F685">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val="en-US" w:eastAsia="zh-CN"/>
              </w:rPr>
              <w:t>经计算</w:t>
            </w:r>
            <w:r>
              <w:rPr>
                <w:rFonts w:hint="default" w:ascii="Times New Roman" w:hAnsi="Times New Roman" w:eastAsia="宋体" w:cs="Times New Roman"/>
                <w:color w:val="auto"/>
                <w:spacing w:val="0"/>
                <w:position w:val="0"/>
                <w:sz w:val="24"/>
                <w:szCs w:val="24"/>
                <w:highlight w:val="none"/>
              </w:rPr>
              <w:t>，</w:t>
            </w:r>
            <w:r>
              <w:rPr>
                <w:rFonts w:hint="default" w:ascii="Times New Roman" w:hAnsi="Times New Roman" w:eastAsia="宋体" w:cs="Times New Roman"/>
                <w:color w:val="auto"/>
                <w:spacing w:val="0"/>
                <w:position w:val="0"/>
                <w:sz w:val="24"/>
                <w:szCs w:val="24"/>
                <w:highlight w:val="none"/>
                <w:lang w:val="en-US" w:eastAsia="zh-CN"/>
              </w:rPr>
              <w:t>锅炉废气经旋风+布袋除尘器处理后经40m高烟囱（DA004）排放，废气排放浓度能够</w:t>
            </w:r>
            <w:r>
              <w:rPr>
                <w:rFonts w:hint="default" w:ascii="Times New Roman" w:hAnsi="Times New Roman" w:eastAsia="宋体" w:cs="Times New Roman"/>
                <w:color w:val="auto"/>
                <w:spacing w:val="0"/>
                <w:position w:val="0"/>
                <w:sz w:val="24"/>
                <w:szCs w:val="24"/>
                <w:highlight w:val="none"/>
              </w:rPr>
              <w:t>满足《</w:t>
            </w:r>
            <w:r>
              <w:rPr>
                <w:rFonts w:hint="default" w:ascii="Times New Roman" w:hAnsi="Times New Roman" w:eastAsia="宋体" w:cs="Times New Roman"/>
                <w:color w:val="auto"/>
                <w:spacing w:val="0"/>
                <w:position w:val="0"/>
                <w:sz w:val="24"/>
                <w:szCs w:val="24"/>
                <w:highlight w:val="none"/>
                <w:lang w:val="en-US" w:eastAsia="zh-CN"/>
              </w:rPr>
              <w:t>锅炉大气</w:t>
            </w:r>
            <w:r>
              <w:rPr>
                <w:rFonts w:hint="default" w:ascii="Times New Roman" w:hAnsi="Times New Roman" w:eastAsia="宋体" w:cs="Times New Roman"/>
                <w:color w:val="auto"/>
                <w:spacing w:val="0"/>
                <w:position w:val="0"/>
                <w:sz w:val="24"/>
                <w:szCs w:val="24"/>
                <w:highlight w:val="none"/>
              </w:rPr>
              <w:t>污染物排放标准》（GB</w:t>
            </w:r>
            <w:r>
              <w:rPr>
                <w:rFonts w:hint="default" w:ascii="Times New Roman" w:hAnsi="Times New Roman" w:eastAsia="宋体" w:cs="Times New Roman"/>
                <w:color w:val="auto"/>
                <w:spacing w:val="0"/>
                <w:position w:val="0"/>
                <w:sz w:val="24"/>
                <w:szCs w:val="24"/>
                <w:highlight w:val="none"/>
                <w:lang w:val="en-US" w:eastAsia="zh-CN"/>
              </w:rPr>
              <w:t>13271-2014</w:t>
            </w:r>
            <w:r>
              <w:rPr>
                <w:rFonts w:hint="default" w:ascii="Times New Roman" w:hAnsi="Times New Roman" w:eastAsia="宋体" w:cs="Times New Roman"/>
                <w:color w:val="auto"/>
                <w:spacing w:val="0"/>
                <w:position w:val="0"/>
                <w:sz w:val="24"/>
                <w:szCs w:val="24"/>
                <w:highlight w:val="none"/>
              </w:rPr>
              <w:t>）</w:t>
            </w:r>
            <w:r>
              <w:rPr>
                <w:rFonts w:hint="default" w:ascii="Times New Roman" w:hAnsi="Times New Roman" w:eastAsia="宋体" w:cs="Times New Roman"/>
                <w:color w:val="auto"/>
                <w:spacing w:val="0"/>
                <w:position w:val="0"/>
                <w:sz w:val="24"/>
                <w:szCs w:val="24"/>
                <w:highlight w:val="none"/>
                <w:lang w:val="en-US" w:eastAsia="zh-CN"/>
              </w:rPr>
              <w:t>表2</w:t>
            </w:r>
            <w:r>
              <w:rPr>
                <w:rFonts w:hint="default" w:ascii="Times New Roman" w:hAnsi="Times New Roman" w:eastAsia="宋体" w:cs="Times New Roman"/>
                <w:color w:val="auto"/>
                <w:spacing w:val="0"/>
                <w:position w:val="0"/>
                <w:sz w:val="24"/>
                <w:szCs w:val="24"/>
                <w:highlight w:val="none"/>
              </w:rPr>
              <w:t>中</w:t>
            </w:r>
            <w:r>
              <w:rPr>
                <w:rFonts w:hint="default" w:ascii="Times New Roman" w:hAnsi="Times New Roman" w:eastAsia="宋体" w:cs="Times New Roman"/>
                <w:color w:val="auto"/>
                <w:spacing w:val="0"/>
                <w:position w:val="0"/>
                <w:sz w:val="24"/>
                <w:szCs w:val="24"/>
                <w:highlight w:val="none"/>
                <w:lang w:val="en-US" w:eastAsia="zh-CN"/>
              </w:rPr>
              <w:t>燃煤锅炉标准</w:t>
            </w:r>
            <w:r>
              <w:rPr>
                <w:rFonts w:hint="default" w:ascii="Times New Roman" w:hAnsi="Times New Roman" w:eastAsia="宋体" w:cs="Times New Roman"/>
                <w:color w:val="auto"/>
                <w:spacing w:val="0"/>
                <w:position w:val="0"/>
                <w:sz w:val="24"/>
                <w:szCs w:val="24"/>
                <w:highlight w:val="none"/>
              </w:rPr>
              <w:t>限值</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lang w:val="en-US" w:eastAsia="zh-CN"/>
              </w:rPr>
              <w:t>颗粒物：</w:t>
            </w:r>
            <w:r>
              <w:rPr>
                <w:rFonts w:hint="default" w:ascii="Times New Roman" w:hAnsi="Times New Roman" w:cs="Times New Roman"/>
                <w:color w:val="auto"/>
                <w:spacing w:val="0"/>
                <w:kern w:val="2"/>
                <w:position w:val="0"/>
                <w:sz w:val="24"/>
                <w:szCs w:val="24"/>
                <w:highlight w:val="none"/>
                <w:lang w:val="en-US" w:eastAsia="zh-CN"/>
              </w:rPr>
              <w:t>50mg/m</w:t>
            </w:r>
            <w:r>
              <w:rPr>
                <w:rFonts w:hint="default" w:ascii="Times New Roman" w:hAnsi="Times New Roman" w:cs="Times New Roman"/>
                <w:color w:val="auto"/>
                <w:spacing w:val="0"/>
                <w:kern w:val="2"/>
                <w:position w:val="0"/>
                <w:sz w:val="24"/>
                <w:szCs w:val="24"/>
                <w:highlight w:val="none"/>
                <w:vertAlign w:val="superscript"/>
                <w:lang w:val="en-US" w:eastAsia="zh-CN"/>
              </w:rPr>
              <w:t>3</w:t>
            </w:r>
            <w:r>
              <w:rPr>
                <w:rFonts w:hint="default" w:ascii="Times New Roman" w:hAnsi="Times New Roman" w:cs="Times New Roman"/>
                <w:color w:val="auto"/>
                <w:spacing w:val="0"/>
                <w:kern w:val="2"/>
                <w:position w:val="0"/>
                <w:sz w:val="24"/>
                <w:szCs w:val="24"/>
                <w:highlight w:val="none"/>
                <w:lang w:val="en-US" w:eastAsia="zh-CN"/>
              </w:rPr>
              <w:t>，</w:t>
            </w:r>
            <w:r>
              <w:rPr>
                <w:rFonts w:hint="default" w:ascii="Times New Roman" w:hAnsi="Times New Roman" w:cs="Times New Roman"/>
                <w:color w:val="auto"/>
                <w:spacing w:val="0"/>
                <w:position w:val="0"/>
                <w:sz w:val="24"/>
                <w:szCs w:val="24"/>
                <w:highlight w:val="none"/>
                <w:lang w:val="en-US" w:eastAsia="zh-CN"/>
              </w:rPr>
              <w:t>二氧化硫</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kern w:val="2"/>
                <w:position w:val="0"/>
                <w:sz w:val="24"/>
                <w:szCs w:val="24"/>
                <w:highlight w:val="none"/>
                <w:lang w:val="en-US" w:eastAsia="zh-CN"/>
              </w:rPr>
              <w:t>300mg/m</w:t>
            </w:r>
            <w:r>
              <w:rPr>
                <w:rFonts w:hint="default" w:ascii="Times New Roman" w:hAnsi="Times New Roman" w:cs="Times New Roman"/>
                <w:color w:val="auto"/>
                <w:spacing w:val="0"/>
                <w:kern w:val="2"/>
                <w:position w:val="0"/>
                <w:sz w:val="24"/>
                <w:szCs w:val="24"/>
                <w:highlight w:val="none"/>
                <w:vertAlign w:val="superscript"/>
                <w:lang w:val="en-US" w:eastAsia="zh-CN"/>
              </w:rPr>
              <w:t>3</w:t>
            </w:r>
            <w:r>
              <w:rPr>
                <w:rFonts w:hint="default" w:ascii="Times New Roman" w:hAnsi="Times New Roman" w:cs="Times New Roman"/>
                <w:color w:val="auto"/>
                <w:spacing w:val="0"/>
                <w:kern w:val="2"/>
                <w:position w:val="0"/>
                <w:sz w:val="24"/>
                <w:szCs w:val="24"/>
                <w:highlight w:val="none"/>
                <w:lang w:val="en-US" w:eastAsia="zh-CN"/>
              </w:rPr>
              <w:t>，氮氧化物：300mg/m</w:t>
            </w:r>
            <w:r>
              <w:rPr>
                <w:rFonts w:hint="default" w:ascii="Times New Roman" w:hAnsi="Times New Roman" w:cs="Times New Roman"/>
                <w:color w:val="auto"/>
                <w:spacing w:val="0"/>
                <w:kern w:val="2"/>
                <w:position w:val="0"/>
                <w:sz w:val="24"/>
                <w:szCs w:val="24"/>
                <w:highlight w:val="none"/>
                <w:vertAlign w:val="superscript"/>
                <w:lang w:val="en-US" w:eastAsia="zh-CN"/>
              </w:rPr>
              <w:t>3</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要求</w:t>
            </w:r>
            <w:r>
              <w:rPr>
                <w:rFonts w:hint="default" w:ascii="Times New Roman" w:hAnsi="Times New Roman" w:eastAsia="宋体" w:cs="Times New Roman"/>
                <w:color w:val="auto"/>
                <w:spacing w:val="0"/>
                <w:position w:val="0"/>
                <w:sz w:val="24"/>
                <w:szCs w:val="24"/>
                <w:highlight w:val="none"/>
                <w:lang w:eastAsia="zh-CN"/>
              </w:rPr>
              <w:t>。</w:t>
            </w:r>
          </w:p>
          <w:p w14:paraId="33F2D8AE">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6</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污水处理站废气</w:t>
            </w:r>
          </w:p>
          <w:p w14:paraId="0695A74D">
            <w:pPr>
              <w:keepNext w:val="0"/>
              <w:keepLines w:val="0"/>
              <w:pageBreakBefore w:val="0"/>
              <w:widowControl w:val="0"/>
              <w:kinsoku/>
              <w:wordWrap/>
              <w:overflowPunct w:val="0"/>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rPr>
              <w:t>本项目</w:t>
            </w:r>
            <w:r>
              <w:rPr>
                <w:rFonts w:hint="default" w:ascii="Times New Roman" w:hAnsi="Times New Roman" w:cs="Times New Roman"/>
                <w:color w:val="auto"/>
                <w:spacing w:val="0"/>
                <w:position w:val="0"/>
                <w:sz w:val="24"/>
                <w:szCs w:val="24"/>
                <w:highlight w:val="none"/>
                <w:lang w:val="en-US" w:eastAsia="zh-CN"/>
              </w:rPr>
              <w:t>废水由厂区内污水处理站处理，污水在处理过程中会产生</w:t>
            </w:r>
            <w:r>
              <w:rPr>
                <w:rFonts w:hint="default" w:ascii="Times New Roman" w:hAnsi="Times New Roman" w:cs="Times New Roman"/>
                <w:color w:val="auto"/>
                <w:spacing w:val="0"/>
                <w:position w:val="0"/>
                <w:sz w:val="24"/>
                <w:szCs w:val="24"/>
                <w:highlight w:val="none"/>
              </w:rPr>
              <w:t>恶臭气体，主要成分为NH</w:t>
            </w:r>
            <w:r>
              <w:rPr>
                <w:rFonts w:hint="default" w:ascii="Times New Roman" w:hAnsi="Times New Roman" w:cs="Times New Roman"/>
                <w:color w:val="auto"/>
                <w:spacing w:val="0"/>
                <w:position w:val="0"/>
                <w:sz w:val="24"/>
                <w:szCs w:val="24"/>
                <w:highlight w:val="none"/>
                <w:vertAlign w:val="subscript"/>
              </w:rPr>
              <w:t>3</w:t>
            </w:r>
            <w:r>
              <w:rPr>
                <w:rFonts w:hint="default" w:ascii="Times New Roman" w:hAnsi="Times New Roman" w:cs="Times New Roman"/>
                <w:color w:val="auto"/>
                <w:spacing w:val="0"/>
                <w:position w:val="0"/>
                <w:sz w:val="24"/>
                <w:szCs w:val="24"/>
                <w:highlight w:val="none"/>
              </w:rPr>
              <w:t>、</w:t>
            </w:r>
            <w:r>
              <w:rPr>
                <w:rFonts w:hint="default" w:ascii="Times New Roman" w:hAnsi="Times New Roman" w:cs="Times New Roman"/>
                <w:color w:val="auto"/>
                <w:spacing w:val="0"/>
                <w:position w:val="0"/>
                <w:sz w:val="24"/>
                <w:szCs w:val="24"/>
                <w:highlight w:val="none"/>
                <w:vertAlign w:val="baseline"/>
                <w:lang w:val="en-US" w:eastAsia="zh-CN"/>
              </w:rPr>
              <w:t>H</w:t>
            </w:r>
            <w:r>
              <w:rPr>
                <w:rFonts w:hint="default" w:ascii="Times New Roman" w:hAnsi="Times New Roman" w:cs="Times New Roman"/>
                <w:color w:val="auto"/>
                <w:spacing w:val="0"/>
                <w:position w:val="0"/>
                <w:sz w:val="24"/>
                <w:szCs w:val="24"/>
                <w:highlight w:val="none"/>
                <w:vertAlign w:val="subscript"/>
              </w:rPr>
              <w:t>2</w:t>
            </w:r>
            <w:r>
              <w:rPr>
                <w:rFonts w:hint="default" w:ascii="Times New Roman" w:hAnsi="Times New Roman" w:cs="Times New Roman"/>
                <w:color w:val="auto"/>
                <w:spacing w:val="0"/>
                <w:position w:val="0"/>
                <w:sz w:val="24"/>
                <w:szCs w:val="24"/>
                <w:highlight w:val="none"/>
                <w:vertAlign w:val="baseline"/>
                <w:lang w:val="en-US" w:eastAsia="zh-CN"/>
              </w:rPr>
              <w:t>S、臭气浓度</w:t>
            </w:r>
            <w:r>
              <w:rPr>
                <w:rFonts w:hint="default" w:ascii="Times New Roman" w:hAnsi="Times New Roman" w:cs="Times New Roman"/>
                <w:color w:val="auto"/>
                <w:spacing w:val="0"/>
                <w:position w:val="0"/>
                <w:sz w:val="24"/>
                <w:szCs w:val="24"/>
                <w:highlight w:val="none"/>
              </w:rPr>
              <w:t>。废气经</w:t>
            </w:r>
            <w:r>
              <w:rPr>
                <w:rFonts w:hint="default" w:ascii="Times New Roman" w:hAnsi="Times New Roman" w:cs="Times New Roman"/>
                <w:color w:val="auto"/>
                <w:spacing w:val="0"/>
                <w:position w:val="0"/>
                <w:sz w:val="24"/>
                <w:szCs w:val="24"/>
                <w:highlight w:val="none"/>
                <w:lang w:val="en-US" w:eastAsia="zh-CN"/>
              </w:rPr>
              <w:t>有效措施处理后排放，即废气</w:t>
            </w:r>
            <w:r>
              <w:rPr>
                <w:rFonts w:hint="default" w:ascii="Times New Roman" w:hAnsi="Times New Roman" w:cs="Times New Roman"/>
                <w:color w:val="auto"/>
                <w:spacing w:val="0"/>
                <w:position w:val="0"/>
                <w:sz w:val="24"/>
                <w:szCs w:val="24"/>
                <w:highlight w:val="none"/>
              </w:rPr>
              <w:t>引风机微负压收集，收集效率按90%计，收集后再经活性炭吸附处理后（处理效率为</w:t>
            </w:r>
            <w:r>
              <w:rPr>
                <w:rFonts w:hint="default" w:ascii="Times New Roman" w:hAnsi="Times New Roman" w:cs="Times New Roman"/>
                <w:color w:val="auto"/>
                <w:spacing w:val="0"/>
                <w:position w:val="0"/>
                <w:sz w:val="24"/>
                <w:szCs w:val="24"/>
                <w:highlight w:val="none"/>
                <w:lang w:val="en-US" w:eastAsia="zh-CN"/>
              </w:rPr>
              <w:t>8</w:t>
            </w:r>
            <w:r>
              <w:rPr>
                <w:rFonts w:hint="default" w:ascii="Times New Roman" w:hAnsi="Times New Roman" w:cs="Times New Roman"/>
                <w:color w:val="auto"/>
                <w:spacing w:val="0"/>
                <w:position w:val="0"/>
                <w:sz w:val="24"/>
                <w:szCs w:val="24"/>
                <w:highlight w:val="none"/>
              </w:rPr>
              <w:t>0%），通过1根15米高排气筒</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DA005</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rPr>
              <w:t>排放，</w:t>
            </w:r>
            <w:r>
              <w:rPr>
                <w:rFonts w:hint="default" w:ascii="Times New Roman" w:hAnsi="Times New Roman" w:cs="Times New Roman"/>
                <w:color w:val="auto"/>
                <w:spacing w:val="0"/>
                <w:position w:val="0"/>
                <w:sz w:val="24"/>
                <w:szCs w:val="24"/>
                <w:highlight w:val="none"/>
                <w:lang w:val="en-US" w:eastAsia="zh-CN"/>
              </w:rPr>
              <w:t>污水处理站臭气处理风量2</w:t>
            </w:r>
            <w:r>
              <w:rPr>
                <w:rFonts w:hint="default" w:ascii="Times New Roman" w:hAnsi="Times New Roman" w:cs="Times New Roman"/>
                <w:color w:val="auto"/>
                <w:spacing w:val="0"/>
                <w:position w:val="0"/>
                <w:sz w:val="24"/>
                <w:szCs w:val="24"/>
                <w:highlight w:val="none"/>
                <w:vertAlign w:val="baseline"/>
                <w:lang w:val="en-US" w:eastAsia="zh-CN"/>
              </w:rPr>
              <w:t>000</w:t>
            </w:r>
            <w:r>
              <w:rPr>
                <w:rFonts w:hint="default" w:ascii="Times New Roman" w:hAnsi="Times New Roman" w:cs="Times New Roman"/>
                <w:color w:val="auto"/>
                <w:spacing w:val="0"/>
                <w:position w:val="0"/>
                <w:sz w:val="24"/>
                <w:szCs w:val="24"/>
                <w:highlight w:val="none"/>
              </w:rPr>
              <w:t>m</w:t>
            </w:r>
            <w:r>
              <w:rPr>
                <w:rFonts w:hint="default" w:ascii="Times New Roman" w:hAnsi="Times New Roman" w:cs="Times New Roman"/>
                <w:color w:val="auto"/>
                <w:spacing w:val="0"/>
                <w:position w:val="0"/>
                <w:sz w:val="24"/>
                <w:szCs w:val="24"/>
                <w:highlight w:val="none"/>
                <w:vertAlign w:val="superscript"/>
              </w:rPr>
              <w:t>3</w:t>
            </w:r>
            <w:r>
              <w:rPr>
                <w:rFonts w:hint="default" w:ascii="Times New Roman" w:hAnsi="Times New Roman" w:cs="Times New Roman"/>
                <w:color w:val="auto"/>
                <w:spacing w:val="0"/>
                <w:position w:val="0"/>
                <w:sz w:val="24"/>
                <w:szCs w:val="24"/>
                <w:highlight w:val="none"/>
                <w:vertAlign w:val="baseline"/>
                <w:lang w:val="en-US" w:eastAsia="zh-CN"/>
              </w:rPr>
              <w:t>/h。</w:t>
            </w:r>
            <w:r>
              <w:rPr>
                <w:rFonts w:hint="default" w:ascii="Times New Roman" w:hAnsi="Times New Roman" w:cs="Times New Roman"/>
                <w:color w:val="auto"/>
                <w:spacing w:val="0"/>
                <w:position w:val="0"/>
                <w:sz w:val="24"/>
                <w:szCs w:val="24"/>
                <w:highlight w:val="none"/>
              </w:rPr>
              <w:t>污水经过消毒后，恶臭气体受到抑制，产生量相对较小</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rPr>
              <w:t>经活性炭吸附处理</w:t>
            </w:r>
            <w:r>
              <w:rPr>
                <w:rFonts w:hint="default" w:ascii="Times New Roman" w:hAnsi="Times New Roman" w:cs="Times New Roman"/>
                <w:color w:val="auto"/>
                <w:spacing w:val="0"/>
                <w:position w:val="0"/>
                <w:sz w:val="24"/>
                <w:szCs w:val="24"/>
                <w:highlight w:val="none"/>
                <w:lang w:val="en-US" w:eastAsia="zh-CN"/>
              </w:rPr>
              <w:t>后可达标排放</w:t>
            </w:r>
            <w:r>
              <w:rPr>
                <w:rFonts w:hint="default" w:ascii="Times New Roman" w:hAnsi="Times New Roman" w:eastAsia="宋体" w:cs="Times New Roman"/>
                <w:color w:val="auto"/>
                <w:spacing w:val="0"/>
                <w:w w:val="100"/>
                <w:kern w:val="0"/>
                <w:position w:val="0"/>
                <w:sz w:val="24"/>
                <w:highlight w:val="none"/>
                <w:lang w:val="en-US" w:eastAsia="zh-CN"/>
              </w:rPr>
              <w:t>，故本项目仅</w:t>
            </w:r>
            <w:r>
              <w:rPr>
                <w:rFonts w:hint="default" w:ascii="Times New Roman" w:hAnsi="Times New Roman" w:cs="Times New Roman"/>
                <w:color w:val="auto"/>
                <w:spacing w:val="0"/>
                <w:w w:val="100"/>
                <w:kern w:val="0"/>
                <w:position w:val="0"/>
                <w:sz w:val="24"/>
                <w:highlight w:val="none"/>
                <w:lang w:val="en-US" w:eastAsia="zh-CN"/>
              </w:rPr>
              <w:t>对臭气浓度定性分析，</w:t>
            </w:r>
            <w:r>
              <w:rPr>
                <w:rFonts w:hint="default" w:ascii="Times New Roman" w:hAnsi="Times New Roman" w:eastAsia="宋体" w:cs="Times New Roman"/>
                <w:color w:val="auto"/>
                <w:spacing w:val="0"/>
                <w:w w:val="100"/>
                <w:kern w:val="0"/>
                <w:position w:val="0"/>
                <w:sz w:val="24"/>
                <w:highlight w:val="none"/>
                <w:lang w:val="en-US" w:eastAsia="zh-CN"/>
              </w:rPr>
              <w:t>不进行定量分析</w:t>
            </w:r>
            <w:r>
              <w:rPr>
                <w:rFonts w:hint="default" w:ascii="Times New Roman" w:hAnsi="Times New Roman" w:cs="Times New Roman"/>
                <w:color w:val="auto"/>
                <w:spacing w:val="0"/>
                <w:position w:val="0"/>
                <w:sz w:val="24"/>
                <w:szCs w:val="24"/>
                <w:highlight w:val="none"/>
              </w:rPr>
              <w:t>。</w:t>
            </w:r>
          </w:p>
          <w:p w14:paraId="0E4562D7">
            <w:pPr>
              <w:keepNext w:val="0"/>
              <w:keepLines w:val="0"/>
              <w:pageBreakBefore w:val="0"/>
              <w:widowControl w:val="0"/>
              <w:kinsoku/>
              <w:wordWrap/>
              <w:overflowPunct w:val="0"/>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rPr>
              <w:t>根据</w:t>
            </w:r>
            <w:r>
              <w:rPr>
                <w:rFonts w:hint="default" w:ascii="Times New Roman" w:hAnsi="Times New Roman" w:cs="Times New Roman"/>
                <w:color w:val="auto"/>
                <w:spacing w:val="0"/>
                <w:position w:val="0"/>
                <w:sz w:val="24"/>
                <w:szCs w:val="24"/>
                <w:highlight w:val="none"/>
                <w:lang w:val="en-US" w:eastAsia="zh-CN"/>
              </w:rPr>
              <w:t>美国EPA对城市污水处理厂恶臭污染物产生情况的研究，每处理1g的</w:t>
            </w:r>
            <w:r>
              <w:rPr>
                <w:rFonts w:hint="default" w:ascii="Times New Roman" w:hAnsi="Times New Roman" w:cs="Times New Roman"/>
                <w:color w:val="auto"/>
                <w:spacing w:val="0"/>
                <w:position w:val="0"/>
                <w:sz w:val="24"/>
                <w:szCs w:val="24"/>
                <w:highlight w:val="none"/>
              </w:rPr>
              <w:t>BOD</w:t>
            </w:r>
            <w:r>
              <w:rPr>
                <w:rFonts w:hint="default" w:ascii="Times New Roman" w:hAnsi="Times New Roman" w:cs="Times New Roman"/>
                <w:color w:val="auto"/>
                <w:spacing w:val="0"/>
                <w:position w:val="0"/>
                <w:sz w:val="24"/>
                <w:szCs w:val="24"/>
                <w:highlight w:val="none"/>
                <w:vertAlign w:val="subscript"/>
              </w:rPr>
              <w:t>5</w:t>
            </w:r>
            <w:r>
              <w:rPr>
                <w:rFonts w:hint="default" w:ascii="Times New Roman" w:hAnsi="Times New Roman" w:cs="Times New Roman"/>
                <w:color w:val="auto"/>
                <w:spacing w:val="0"/>
                <w:position w:val="0"/>
                <w:sz w:val="24"/>
                <w:szCs w:val="24"/>
                <w:highlight w:val="none"/>
              </w:rPr>
              <w:t>，</w:t>
            </w:r>
            <w:r>
              <w:rPr>
                <w:rFonts w:hint="default" w:ascii="Times New Roman" w:hAnsi="Times New Roman" w:cs="Times New Roman"/>
                <w:color w:val="auto"/>
                <w:spacing w:val="0"/>
                <w:position w:val="0"/>
                <w:sz w:val="24"/>
                <w:szCs w:val="24"/>
                <w:highlight w:val="none"/>
                <w:lang w:val="en-US" w:eastAsia="zh-CN"/>
              </w:rPr>
              <w:t>可产生0.0031g的</w:t>
            </w:r>
            <w:r>
              <w:rPr>
                <w:rFonts w:hint="default" w:ascii="Times New Roman" w:hAnsi="Times New Roman" w:cs="Times New Roman"/>
                <w:color w:val="auto"/>
                <w:spacing w:val="0"/>
                <w:position w:val="0"/>
                <w:sz w:val="24"/>
                <w:szCs w:val="24"/>
                <w:highlight w:val="none"/>
              </w:rPr>
              <w:t>NH</w:t>
            </w:r>
            <w:r>
              <w:rPr>
                <w:rFonts w:hint="default" w:ascii="Times New Roman" w:hAnsi="Times New Roman" w:cs="Times New Roman"/>
                <w:color w:val="auto"/>
                <w:spacing w:val="0"/>
                <w:position w:val="0"/>
                <w:sz w:val="24"/>
                <w:szCs w:val="24"/>
                <w:highlight w:val="none"/>
                <w:vertAlign w:val="subscript"/>
              </w:rPr>
              <w:t>3</w:t>
            </w:r>
            <w:r>
              <w:rPr>
                <w:rFonts w:hint="default" w:ascii="Times New Roman" w:hAnsi="Times New Roman" w:cs="Times New Roman"/>
                <w:color w:val="auto"/>
                <w:spacing w:val="0"/>
                <w:position w:val="0"/>
                <w:sz w:val="24"/>
                <w:szCs w:val="24"/>
                <w:highlight w:val="none"/>
                <w:vertAlign w:val="baseline"/>
                <w:lang w:val="en-US" w:eastAsia="zh-CN"/>
              </w:rPr>
              <w:t>和0.00012g的</w:t>
            </w:r>
            <w:r>
              <w:rPr>
                <w:rFonts w:hint="default" w:ascii="Times New Roman" w:hAnsi="Times New Roman" w:cs="Times New Roman"/>
                <w:color w:val="auto"/>
                <w:spacing w:val="0"/>
                <w:position w:val="0"/>
                <w:sz w:val="24"/>
                <w:szCs w:val="24"/>
                <w:highlight w:val="none"/>
              </w:rPr>
              <w:t>H</w:t>
            </w:r>
            <w:r>
              <w:rPr>
                <w:rFonts w:hint="default" w:ascii="Times New Roman" w:hAnsi="Times New Roman" w:cs="Times New Roman"/>
                <w:color w:val="auto"/>
                <w:spacing w:val="0"/>
                <w:position w:val="0"/>
                <w:sz w:val="24"/>
                <w:szCs w:val="24"/>
                <w:highlight w:val="none"/>
                <w:vertAlign w:val="subscript"/>
              </w:rPr>
              <w:t>2</w:t>
            </w:r>
            <w:r>
              <w:rPr>
                <w:rFonts w:hint="default" w:ascii="Times New Roman" w:hAnsi="Times New Roman" w:cs="Times New Roman"/>
                <w:color w:val="auto"/>
                <w:spacing w:val="0"/>
                <w:position w:val="0"/>
                <w:sz w:val="24"/>
                <w:szCs w:val="24"/>
                <w:highlight w:val="none"/>
              </w:rPr>
              <w:t>S</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本项目年处理</w:t>
            </w:r>
            <w:r>
              <w:rPr>
                <w:rFonts w:hint="default" w:ascii="Times New Roman" w:hAnsi="Times New Roman" w:cs="Times New Roman"/>
                <w:color w:val="auto"/>
                <w:spacing w:val="0"/>
                <w:position w:val="0"/>
                <w:sz w:val="24"/>
                <w:szCs w:val="24"/>
                <w:highlight w:val="none"/>
              </w:rPr>
              <w:t>BOD</w:t>
            </w:r>
            <w:r>
              <w:rPr>
                <w:rFonts w:hint="default" w:ascii="Times New Roman" w:hAnsi="Times New Roman" w:cs="Times New Roman"/>
                <w:color w:val="auto"/>
                <w:spacing w:val="0"/>
                <w:position w:val="0"/>
                <w:sz w:val="24"/>
                <w:szCs w:val="24"/>
                <w:highlight w:val="none"/>
                <w:vertAlign w:val="subscript"/>
              </w:rPr>
              <w:t>5</w:t>
            </w:r>
            <w:r>
              <w:rPr>
                <w:rFonts w:hint="default" w:ascii="Times New Roman" w:hAnsi="Times New Roman" w:cs="Times New Roman"/>
                <w:color w:val="auto"/>
                <w:spacing w:val="0"/>
                <w:position w:val="0"/>
                <w:sz w:val="24"/>
                <w:szCs w:val="24"/>
                <w:highlight w:val="none"/>
                <w:vertAlign w:val="baseline"/>
                <w:lang w:val="en-US" w:eastAsia="zh-CN"/>
              </w:rPr>
              <w:t>量共11.629t。</w:t>
            </w:r>
            <w:r>
              <w:rPr>
                <w:rFonts w:hint="default" w:ascii="Times New Roman" w:hAnsi="Times New Roman" w:cs="Times New Roman"/>
                <w:color w:val="auto"/>
                <w:spacing w:val="0"/>
                <w:position w:val="0"/>
                <w:sz w:val="24"/>
                <w:szCs w:val="24"/>
                <w:highlight w:val="none"/>
                <w:lang w:val="en-US" w:eastAsia="zh-CN"/>
              </w:rPr>
              <w:t>因此，</w:t>
            </w:r>
            <w:r>
              <w:rPr>
                <w:rFonts w:hint="default" w:ascii="Times New Roman" w:hAnsi="Times New Roman" w:cs="Times New Roman"/>
                <w:color w:val="auto"/>
                <w:spacing w:val="0"/>
                <w:position w:val="0"/>
                <w:sz w:val="24"/>
                <w:szCs w:val="24"/>
                <w:highlight w:val="none"/>
              </w:rPr>
              <w:t>本项目污水处理</w:t>
            </w:r>
            <w:r>
              <w:rPr>
                <w:rFonts w:hint="default" w:ascii="Times New Roman" w:hAnsi="Times New Roman" w:cs="Times New Roman"/>
                <w:color w:val="auto"/>
                <w:spacing w:val="0"/>
                <w:position w:val="0"/>
                <w:sz w:val="24"/>
                <w:szCs w:val="24"/>
                <w:highlight w:val="none"/>
                <w:lang w:val="en-US" w:eastAsia="zh-CN"/>
              </w:rPr>
              <w:t>站</w:t>
            </w:r>
            <w:r>
              <w:rPr>
                <w:rFonts w:hint="default" w:ascii="Times New Roman" w:hAnsi="Times New Roman" w:cs="Times New Roman"/>
                <w:color w:val="auto"/>
                <w:spacing w:val="0"/>
                <w:position w:val="0"/>
                <w:sz w:val="24"/>
                <w:szCs w:val="24"/>
                <w:highlight w:val="none"/>
              </w:rPr>
              <w:t>NH</w:t>
            </w:r>
            <w:r>
              <w:rPr>
                <w:rFonts w:hint="default" w:ascii="Times New Roman" w:hAnsi="Times New Roman" w:cs="Times New Roman"/>
                <w:color w:val="auto"/>
                <w:spacing w:val="0"/>
                <w:position w:val="0"/>
                <w:sz w:val="24"/>
                <w:szCs w:val="24"/>
                <w:highlight w:val="none"/>
                <w:vertAlign w:val="subscript"/>
              </w:rPr>
              <w:t>3</w:t>
            </w:r>
            <w:r>
              <w:rPr>
                <w:rFonts w:hint="default" w:ascii="Times New Roman" w:hAnsi="Times New Roman" w:cs="Times New Roman"/>
                <w:color w:val="auto"/>
                <w:spacing w:val="0"/>
                <w:position w:val="0"/>
                <w:sz w:val="24"/>
                <w:szCs w:val="24"/>
                <w:highlight w:val="none"/>
              </w:rPr>
              <w:t>产生量为</w:t>
            </w:r>
            <w:r>
              <w:rPr>
                <w:rFonts w:hint="default" w:ascii="Times New Roman" w:hAnsi="Times New Roman" w:cs="Times New Roman"/>
                <w:color w:val="auto"/>
                <w:spacing w:val="0"/>
                <w:position w:val="0"/>
                <w:sz w:val="24"/>
                <w:szCs w:val="24"/>
                <w:highlight w:val="none"/>
                <w:lang w:val="en-US" w:eastAsia="zh-CN"/>
              </w:rPr>
              <w:t>0.0360</w:t>
            </w:r>
            <w:r>
              <w:rPr>
                <w:rFonts w:hint="default" w:ascii="Times New Roman" w:hAnsi="Times New Roman" w:cs="Times New Roman"/>
                <w:color w:val="auto"/>
                <w:spacing w:val="0"/>
                <w:position w:val="0"/>
                <w:sz w:val="24"/>
                <w:szCs w:val="24"/>
                <w:highlight w:val="none"/>
              </w:rPr>
              <w:t>t/a</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rPr>
              <w:t>H</w:t>
            </w:r>
            <w:r>
              <w:rPr>
                <w:rFonts w:hint="default" w:ascii="Times New Roman" w:hAnsi="Times New Roman" w:cs="Times New Roman"/>
                <w:color w:val="auto"/>
                <w:spacing w:val="0"/>
                <w:position w:val="0"/>
                <w:sz w:val="24"/>
                <w:szCs w:val="24"/>
                <w:highlight w:val="none"/>
                <w:vertAlign w:val="subscript"/>
              </w:rPr>
              <w:t>2</w:t>
            </w:r>
            <w:r>
              <w:rPr>
                <w:rFonts w:hint="default" w:ascii="Times New Roman" w:hAnsi="Times New Roman" w:cs="Times New Roman"/>
                <w:color w:val="auto"/>
                <w:spacing w:val="0"/>
                <w:position w:val="0"/>
                <w:sz w:val="24"/>
                <w:szCs w:val="24"/>
                <w:highlight w:val="none"/>
              </w:rPr>
              <w:t>S产生量为</w:t>
            </w:r>
            <w:r>
              <w:rPr>
                <w:rFonts w:hint="default" w:ascii="Times New Roman" w:hAnsi="Times New Roman" w:cs="Times New Roman"/>
                <w:color w:val="auto"/>
                <w:spacing w:val="0"/>
                <w:position w:val="0"/>
                <w:sz w:val="24"/>
                <w:szCs w:val="24"/>
                <w:highlight w:val="none"/>
                <w:lang w:val="en-US" w:eastAsia="zh-CN"/>
              </w:rPr>
              <w:t>0.0014</w:t>
            </w:r>
            <w:r>
              <w:rPr>
                <w:rFonts w:hint="default" w:ascii="Times New Roman" w:hAnsi="Times New Roman" w:cs="Times New Roman"/>
                <w:color w:val="auto"/>
                <w:spacing w:val="0"/>
                <w:position w:val="0"/>
                <w:sz w:val="24"/>
                <w:szCs w:val="24"/>
                <w:highlight w:val="none"/>
              </w:rPr>
              <w:t>t/a。</w:t>
            </w:r>
            <w:r>
              <w:rPr>
                <w:rFonts w:hint="default" w:ascii="Times New Roman" w:hAnsi="Times New Roman" w:cs="Times New Roman"/>
                <w:color w:val="auto"/>
                <w:spacing w:val="0"/>
                <w:position w:val="0"/>
                <w:sz w:val="24"/>
                <w:szCs w:val="24"/>
                <w:highlight w:val="none"/>
                <w:lang w:val="en-US" w:eastAsia="zh-CN"/>
              </w:rPr>
              <w:t>其中，有组织</w:t>
            </w:r>
            <w:r>
              <w:rPr>
                <w:rFonts w:hint="default" w:ascii="Times New Roman" w:hAnsi="Times New Roman" w:cs="Times New Roman"/>
                <w:color w:val="auto"/>
                <w:spacing w:val="0"/>
                <w:position w:val="0"/>
                <w:sz w:val="24"/>
                <w:szCs w:val="24"/>
                <w:highlight w:val="none"/>
              </w:rPr>
              <w:t>NH</w:t>
            </w:r>
            <w:r>
              <w:rPr>
                <w:rFonts w:hint="default" w:ascii="Times New Roman" w:hAnsi="Times New Roman" w:cs="Times New Roman"/>
                <w:color w:val="auto"/>
                <w:spacing w:val="0"/>
                <w:position w:val="0"/>
                <w:sz w:val="24"/>
                <w:szCs w:val="24"/>
                <w:highlight w:val="none"/>
                <w:vertAlign w:val="subscript"/>
              </w:rPr>
              <w:t>3</w:t>
            </w:r>
            <w:r>
              <w:rPr>
                <w:rFonts w:hint="default" w:ascii="Times New Roman" w:hAnsi="Times New Roman" w:cs="Times New Roman"/>
                <w:color w:val="auto"/>
                <w:spacing w:val="0"/>
                <w:position w:val="0"/>
                <w:sz w:val="24"/>
                <w:szCs w:val="24"/>
                <w:highlight w:val="none"/>
              </w:rPr>
              <w:t>产生量为</w:t>
            </w:r>
            <w:r>
              <w:rPr>
                <w:rFonts w:hint="default" w:ascii="Times New Roman" w:hAnsi="Times New Roman" w:cs="Times New Roman"/>
                <w:color w:val="auto"/>
                <w:spacing w:val="0"/>
                <w:position w:val="0"/>
                <w:sz w:val="24"/>
                <w:szCs w:val="24"/>
                <w:highlight w:val="none"/>
                <w:lang w:val="en-US" w:eastAsia="zh-CN"/>
              </w:rPr>
              <w:t>0.0324</w:t>
            </w:r>
            <w:r>
              <w:rPr>
                <w:rFonts w:hint="default" w:ascii="Times New Roman" w:hAnsi="Times New Roman" w:cs="Times New Roman"/>
                <w:color w:val="auto"/>
                <w:spacing w:val="0"/>
                <w:position w:val="0"/>
                <w:sz w:val="24"/>
                <w:szCs w:val="24"/>
                <w:highlight w:val="none"/>
              </w:rPr>
              <w:t>t/a</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产生速率0.00386kg/h，产生浓度为1.929</w:t>
            </w:r>
            <w:r>
              <w:rPr>
                <w:rFonts w:hint="default" w:ascii="Times New Roman" w:hAnsi="Times New Roman" w:cs="Times New Roman"/>
                <w:color w:val="auto"/>
                <w:spacing w:val="0"/>
                <w:position w:val="0"/>
                <w:sz w:val="24"/>
                <w:szCs w:val="24"/>
                <w:highlight w:val="none"/>
              </w:rPr>
              <w:t>mg/m</w:t>
            </w:r>
            <w:r>
              <w:rPr>
                <w:rFonts w:hint="default" w:ascii="Times New Roman" w:hAnsi="Times New Roman" w:cs="Times New Roman"/>
                <w:color w:val="auto"/>
                <w:spacing w:val="0"/>
                <w:position w:val="0"/>
                <w:sz w:val="24"/>
                <w:szCs w:val="24"/>
                <w:highlight w:val="none"/>
                <w:vertAlign w:val="superscript"/>
              </w:rPr>
              <w:t>3</w:t>
            </w:r>
            <w:r>
              <w:rPr>
                <w:rFonts w:hint="default" w:ascii="Times New Roman" w:hAnsi="Times New Roman" w:cs="Times New Roman"/>
                <w:color w:val="auto"/>
                <w:spacing w:val="0"/>
                <w:position w:val="0"/>
                <w:sz w:val="24"/>
                <w:szCs w:val="24"/>
                <w:highlight w:val="none"/>
                <w:vertAlign w:val="baseline"/>
                <w:lang w:eastAsia="zh-CN"/>
              </w:rPr>
              <w:t>；</w:t>
            </w:r>
            <w:r>
              <w:rPr>
                <w:rFonts w:hint="default" w:ascii="Times New Roman" w:hAnsi="Times New Roman" w:cs="Times New Roman"/>
                <w:color w:val="auto"/>
                <w:spacing w:val="0"/>
                <w:position w:val="0"/>
                <w:sz w:val="24"/>
                <w:szCs w:val="24"/>
                <w:highlight w:val="none"/>
                <w:lang w:val="en-US" w:eastAsia="zh-CN"/>
              </w:rPr>
              <w:t>有组织</w:t>
            </w:r>
            <w:r>
              <w:rPr>
                <w:rFonts w:hint="default" w:ascii="Times New Roman" w:hAnsi="Times New Roman" w:cs="Times New Roman"/>
                <w:color w:val="auto"/>
                <w:spacing w:val="0"/>
                <w:position w:val="0"/>
                <w:sz w:val="24"/>
                <w:szCs w:val="24"/>
                <w:highlight w:val="none"/>
              </w:rPr>
              <w:t>H</w:t>
            </w:r>
            <w:r>
              <w:rPr>
                <w:rFonts w:hint="default" w:ascii="Times New Roman" w:hAnsi="Times New Roman" w:cs="Times New Roman"/>
                <w:color w:val="auto"/>
                <w:spacing w:val="0"/>
                <w:position w:val="0"/>
                <w:sz w:val="24"/>
                <w:szCs w:val="24"/>
                <w:highlight w:val="none"/>
                <w:vertAlign w:val="subscript"/>
              </w:rPr>
              <w:t>2</w:t>
            </w:r>
            <w:r>
              <w:rPr>
                <w:rFonts w:hint="default" w:ascii="Times New Roman" w:hAnsi="Times New Roman" w:cs="Times New Roman"/>
                <w:color w:val="auto"/>
                <w:spacing w:val="0"/>
                <w:position w:val="0"/>
                <w:sz w:val="24"/>
                <w:szCs w:val="24"/>
                <w:highlight w:val="none"/>
              </w:rPr>
              <w:t>S产生量为</w:t>
            </w:r>
            <w:r>
              <w:rPr>
                <w:rFonts w:hint="default" w:ascii="Times New Roman" w:hAnsi="Times New Roman" w:cs="Times New Roman"/>
                <w:color w:val="auto"/>
                <w:spacing w:val="0"/>
                <w:position w:val="0"/>
                <w:sz w:val="24"/>
                <w:szCs w:val="24"/>
                <w:highlight w:val="none"/>
                <w:lang w:val="en-US" w:eastAsia="zh-CN"/>
              </w:rPr>
              <w:t>0.0013</w:t>
            </w:r>
            <w:r>
              <w:rPr>
                <w:rFonts w:hint="default" w:ascii="Times New Roman" w:hAnsi="Times New Roman" w:cs="Times New Roman"/>
                <w:color w:val="auto"/>
                <w:spacing w:val="0"/>
                <w:position w:val="0"/>
                <w:sz w:val="24"/>
                <w:szCs w:val="24"/>
                <w:highlight w:val="none"/>
              </w:rPr>
              <w:t>t/a</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产生速率0.00015kg/h，产生浓度为0.075</w:t>
            </w:r>
            <w:r>
              <w:rPr>
                <w:rFonts w:hint="default" w:ascii="Times New Roman" w:hAnsi="Times New Roman" w:cs="Times New Roman"/>
                <w:color w:val="auto"/>
                <w:spacing w:val="0"/>
                <w:position w:val="0"/>
                <w:sz w:val="24"/>
                <w:szCs w:val="24"/>
                <w:highlight w:val="none"/>
              </w:rPr>
              <w:t>mg/m</w:t>
            </w:r>
            <w:r>
              <w:rPr>
                <w:rFonts w:hint="default" w:ascii="Times New Roman" w:hAnsi="Times New Roman" w:cs="Times New Roman"/>
                <w:color w:val="auto"/>
                <w:spacing w:val="0"/>
                <w:position w:val="0"/>
                <w:sz w:val="24"/>
                <w:szCs w:val="24"/>
                <w:highlight w:val="none"/>
                <w:vertAlign w:val="superscript"/>
              </w:rPr>
              <w:t>3</w:t>
            </w:r>
            <w:r>
              <w:rPr>
                <w:rFonts w:hint="default" w:ascii="Times New Roman" w:hAnsi="Times New Roman" w:cs="Times New Roman"/>
                <w:color w:val="auto"/>
                <w:spacing w:val="0"/>
                <w:position w:val="0"/>
                <w:sz w:val="24"/>
                <w:szCs w:val="24"/>
                <w:highlight w:val="none"/>
                <w:vertAlign w:val="baseline"/>
                <w:lang w:eastAsia="zh-CN"/>
              </w:rPr>
              <w:t>；</w:t>
            </w:r>
            <w:r>
              <w:rPr>
                <w:rFonts w:hint="default" w:ascii="Times New Roman" w:hAnsi="Times New Roman" w:cs="Times New Roman"/>
                <w:color w:val="auto"/>
                <w:spacing w:val="0"/>
                <w:position w:val="0"/>
                <w:sz w:val="24"/>
                <w:szCs w:val="24"/>
                <w:highlight w:val="none"/>
                <w:vertAlign w:val="baseline"/>
                <w:lang w:val="en-US" w:eastAsia="zh-CN"/>
              </w:rPr>
              <w:t>无</w:t>
            </w:r>
            <w:r>
              <w:rPr>
                <w:rFonts w:hint="default" w:ascii="Times New Roman" w:hAnsi="Times New Roman" w:cs="Times New Roman"/>
                <w:color w:val="auto"/>
                <w:spacing w:val="0"/>
                <w:position w:val="0"/>
                <w:sz w:val="24"/>
                <w:szCs w:val="24"/>
                <w:highlight w:val="none"/>
                <w:lang w:val="en-US" w:eastAsia="zh-CN"/>
              </w:rPr>
              <w:t>组织</w:t>
            </w:r>
            <w:r>
              <w:rPr>
                <w:rFonts w:hint="default" w:ascii="Times New Roman" w:hAnsi="Times New Roman" w:cs="Times New Roman"/>
                <w:color w:val="auto"/>
                <w:spacing w:val="0"/>
                <w:position w:val="0"/>
                <w:sz w:val="24"/>
                <w:szCs w:val="24"/>
                <w:highlight w:val="none"/>
              </w:rPr>
              <w:t>NH</w:t>
            </w:r>
            <w:r>
              <w:rPr>
                <w:rFonts w:hint="default" w:ascii="Times New Roman" w:hAnsi="Times New Roman" w:cs="Times New Roman"/>
                <w:color w:val="auto"/>
                <w:spacing w:val="0"/>
                <w:position w:val="0"/>
                <w:sz w:val="24"/>
                <w:szCs w:val="24"/>
                <w:highlight w:val="none"/>
                <w:vertAlign w:val="subscript"/>
              </w:rPr>
              <w:t>3</w:t>
            </w:r>
            <w:r>
              <w:rPr>
                <w:rFonts w:hint="default" w:ascii="Times New Roman" w:hAnsi="Times New Roman" w:cs="Times New Roman"/>
                <w:color w:val="auto"/>
                <w:spacing w:val="0"/>
                <w:position w:val="0"/>
                <w:sz w:val="24"/>
                <w:szCs w:val="24"/>
                <w:highlight w:val="none"/>
              </w:rPr>
              <w:t>产生量为</w:t>
            </w:r>
            <w:r>
              <w:rPr>
                <w:rFonts w:hint="default" w:ascii="Times New Roman" w:hAnsi="Times New Roman" w:cs="Times New Roman"/>
                <w:color w:val="auto"/>
                <w:spacing w:val="0"/>
                <w:position w:val="0"/>
                <w:sz w:val="24"/>
                <w:szCs w:val="24"/>
                <w:highlight w:val="none"/>
                <w:lang w:val="en-US" w:eastAsia="zh-CN"/>
              </w:rPr>
              <w:t>0.0036</w:t>
            </w:r>
            <w:r>
              <w:rPr>
                <w:rFonts w:hint="default" w:ascii="Times New Roman" w:hAnsi="Times New Roman" w:cs="Times New Roman"/>
                <w:color w:val="auto"/>
                <w:spacing w:val="0"/>
                <w:position w:val="0"/>
                <w:sz w:val="24"/>
                <w:szCs w:val="24"/>
                <w:highlight w:val="none"/>
              </w:rPr>
              <w:t>t/a</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产生速率0.00043kg/h</w:t>
            </w:r>
            <w:r>
              <w:rPr>
                <w:rFonts w:hint="default" w:ascii="Times New Roman" w:hAnsi="Times New Roman" w:cs="Times New Roman"/>
                <w:color w:val="auto"/>
                <w:spacing w:val="0"/>
                <w:position w:val="0"/>
                <w:sz w:val="24"/>
                <w:szCs w:val="24"/>
                <w:highlight w:val="none"/>
                <w:vertAlign w:val="baseline"/>
                <w:lang w:eastAsia="zh-CN"/>
              </w:rPr>
              <w:t>；</w:t>
            </w:r>
            <w:r>
              <w:rPr>
                <w:rFonts w:hint="default" w:ascii="Times New Roman" w:hAnsi="Times New Roman" w:cs="Times New Roman"/>
                <w:color w:val="auto"/>
                <w:spacing w:val="0"/>
                <w:position w:val="0"/>
                <w:sz w:val="24"/>
                <w:szCs w:val="24"/>
                <w:highlight w:val="none"/>
                <w:vertAlign w:val="baseline"/>
                <w:lang w:val="en-US" w:eastAsia="zh-CN"/>
              </w:rPr>
              <w:t>无</w:t>
            </w:r>
            <w:r>
              <w:rPr>
                <w:rFonts w:hint="default" w:ascii="Times New Roman" w:hAnsi="Times New Roman" w:cs="Times New Roman"/>
                <w:color w:val="auto"/>
                <w:spacing w:val="0"/>
                <w:position w:val="0"/>
                <w:sz w:val="24"/>
                <w:szCs w:val="24"/>
                <w:highlight w:val="none"/>
                <w:lang w:val="en-US" w:eastAsia="zh-CN"/>
              </w:rPr>
              <w:t>组织</w:t>
            </w:r>
            <w:r>
              <w:rPr>
                <w:rFonts w:hint="default" w:ascii="Times New Roman" w:hAnsi="Times New Roman" w:cs="Times New Roman"/>
                <w:color w:val="auto"/>
                <w:spacing w:val="0"/>
                <w:position w:val="0"/>
                <w:sz w:val="24"/>
                <w:szCs w:val="24"/>
                <w:highlight w:val="none"/>
              </w:rPr>
              <w:t>H</w:t>
            </w:r>
            <w:r>
              <w:rPr>
                <w:rFonts w:hint="default" w:ascii="Times New Roman" w:hAnsi="Times New Roman" w:cs="Times New Roman"/>
                <w:color w:val="auto"/>
                <w:spacing w:val="0"/>
                <w:position w:val="0"/>
                <w:sz w:val="24"/>
                <w:szCs w:val="24"/>
                <w:highlight w:val="none"/>
                <w:vertAlign w:val="subscript"/>
              </w:rPr>
              <w:t>2</w:t>
            </w:r>
            <w:r>
              <w:rPr>
                <w:rFonts w:hint="default" w:ascii="Times New Roman" w:hAnsi="Times New Roman" w:cs="Times New Roman"/>
                <w:color w:val="auto"/>
                <w:spacing w:val="0"/>
                <w:position w:val="0"/>
                <w:sz w:val="24"/>
                <w:szCs w:val="24"/>
                <w:highlight w:val="none"/>
              </w:rPr>
              <w:t>S产生量为0.</w:t>
            </w:r>
            <w:r>
              <w:rPr>
                <w:rFonts w:hint="default" w:ascii="Times New Roman" w:hAnsi="Times New Roman" w:cs="Times New Roman"/>
                <w:color w:val="auto"/>
                <w:spacing w:val="0"/>
                <w:position w:val="0"/>
                <w:sz w:val="24"/>
                <w:szCs w:val="24"/>
                <w:highlight w:val="none"/>
                <w:lang w:val="en-US" w:eastAsia="zh-CN"/>
              </w:rPr>
              <w:t>0001</w:t>
            </w:r>
            <w:r>
              <w:rPr>
                <w:rFonts w:hint="default" w:ascii="Times New Roman" w:hAnsi="Times New Roman" w:cs="Times New Roman"/>
                <w:color w:val="auto"/>
                <w:spacing w:val="0"/>
                <w:position w:val="0"/>
                <w:sz w:val="24"/>
                <w:szCs w:val="24"/>
                <w:highlight w:val="none"/>
              </w:rPr>
              <w:t>t/a</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产生速率0.00002kg/h</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则有组织</w:t>
            </w:r>
            <w:r>
              <w:rPr>
                <w:rFonts w:hint="default" w:ascii="Times New Roman" w:hAnsi="Times New Roman" w:cs="Times New Roman"/>
                <w:color w:val="auto"/>
                <w:spacing w:val="0"/>
                <w:position w:val="0"/>
                <w:sz w:val="24"/>
                <w:szCs w:val="24"/>
                <w:highlight w:val="none"/>
              </w:rPr>
              <w:t>NH</w:t>
            </w:r>
            <w:r>
              <w:rPr>
                <w:rFonts w:hint="default" w:ascii="Times New Roman" w:hAnsi="Times New Roman" w:cs="Times New Roman"/>
                <w:color w:val="auto"/>
                <w:spacing w:val="0"/>
                <w:position w:val="0"/>
                <w:sz w:val="24"/>
                <w:szCs w:val="24"/>
                <w:highlight w:val="none"/>
                <w:vertAlign w:val="subscript"/>
              </w:rPr>
              <w:t>3</w:t>
            </w:r>
            <w:r>
              <w:rPr>
                <w:rFonts w:hint="default" w:ascii="Times New Roman" w:hAnsi="Times New Roman" w:cs="Times New Roman"/>
                <w:color w:val="auto"/>
                <w:spacing w:val="0"/>
                <w:position w:val="0"/>
                <w:sz w:val="24"/>
                <w:szCs w:val="24"/>
                <w:highlight w:val="none"/>
                <w:vertAlign w:val="baseline"/>
                <w:lang w:val="en-US" w:eastAsia="zh-CN"/>
              </w:rPr>
              <w:t>排放</w:t>
            </w:r>
            <w:r>
              <w:rPr>
                <w:rFonts w:hint="default" w:ascii="Times New Roman" w:hAnsi="Times New Roman" w:cs="Times New Roman"/>
                <w:color w:val="auto"/>
                <w:spacing w:val="0"/>
                <w:position w:val="0"/>
                <w:sz w:val="24"/>
                <w:szCs w:val="24"/>
                <w:highlight w:val="none"/>
              </w:rPr>
              <w:t>量为</w:t>
            </w:r>
            <w:r>
              <w:rPr>
                <w:rFonts w:hint="default" w:ascii="Times New Roman" w:hAnsi="Times New Roman" w:cs="Times New Roman"/>
                <w:color w:val="auto"/>
                <w:spacing w:val="0"/>
                <w:position w:val="0"/>
                <w:sz w:val="24"/>
                <w:szCs w:val="24"/>
                <w:highlight w:val="none"/>
                <w:lang w:val="en-US" w:eastAsia="zh-CN"/>
              </w:rPr>
              <w:t>0.0065</w:t>
            </w:r>
            <w:r>
              <w:rPr>
                <w:rFonts w:hint="default" w:ascii="Times New Roman" w:hAnsi="Times New Roman" w:cs="Times New Roman"/>
                <w:color w:val="auto"/>
                <w:spacing w:val="0"/>
                <w:position w:val="0"/>
                <w:sz w:val="24"/>
                <w:szCs w:val="24"/>
                <w:highlight w:val="none"/>
              </w:rPr>
              <w:t>t/a</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排放速率为0.00077</w:t>
            </w:r>
            <w:r>
              <w:rPr>
                <w:rFonts w:hint="default" w:ascii="Times New Roman" w:hAnsi="Times New Roman" w:cs="Times New Roman"/>
                <w:color w:val="auto"/>
                <w:spacing w:val="0"/>
                <w:kern w:val="2"/>
                <w:position w:val="0"/>
                <w:sz w:val="24"/>
                <w:szCs w:val="24"/>
                <w:highlight w:val="none"/>
                <w:lang w:val="en-US" w:eastAsia="zh-CN"/>
              </w:rPr>
              <w:t>kg/h</w:t>
            </w:r>
            <w:r>
              <w:rPr>
                <w:rFonts w:hint="default" w:ascii="Times New Roman" w:hAnsi="Times New Roman" w:cs="Times New Roman"/>
                <w:color w:val="auto"/>
                <w:spacing w:val="0"/>
                <w:position w:val="0"/>
                <w:sz w:val="24"/>
                <w:szCs w:val="24"/>
                <w:highlight w:val="none"/>
                <w:lang w:val="en-US" w:eastAsia="zh-CN"/>
              </w:rPr>
              <w:t>，</w:t>
            </w:r>
            <w:r>
              <w:rPr>
                <w:rFonts w:hint="default" w:ascii="Times New Roman" w:hAnsi="Times New Roman" w:cs="Times New Roman"/>
                <w:color w:val="auto"/>
                <w:spacing w:val="0"/>
                <w:position w:val="0"/>
                <w:sz w:val="24"/>
                <w:szCs w:val="24"/>
                <w:highlight w:val="none"/>
                <w:vertAlign w:val="baseline"/>
                <w:lang w:val="en-US" w:eastAsia="zh-CN"/>
              </w:rPr>
              <w:t>排放</w:t>
            </w:r>
            <w:r>
              <w:rPr>
                <w:rFonts w:hint="default" w:ascii="Times New Roman" w:hAnsi="Times New Roman" w:cs="Times New Roman"/>
                <w:color w:val="auto"/>
                <w:spacing w:val="0"/>
                <w:position w:val="0"/>
                <w:sz w:val="24"/>
                <w:szCs w:val="24"/>
                <w:highlight w:val="none"/>
                <w:lang w:val="en-US" w:eastAsia="zh-CN"/>
              </w:rPr>
              <w:t>浓度为0.386</w:t>
            </w:r>
            <w:r>
              <w:rPr>
                <w:rFonts w:hint="default" w:ascii="Times New Roman" w:hAnsi="Times New Roman" w:cs="Times New Roman"/>
                <w:color w:val="auto"/>
                <w:spacing w:val="0"/>
                <w:position w:val="0"/>
                <w:sz w:val="24"/>
                <w:szCs w:val="24"/>
                <w:highlight w:val="none"/>
              </w:rPr>
              <w:t>mg/m</w:t>
            </w:r>
            <w:r>
              <w:rPr>
                <w:rFonts w:hint="default" w:ascii="Times New Roman" w:hAnsi="Times New Roman" w:cs="Times New Roman"/>
                <w:color w:val="auto"/>
                <w:spacing w:val="0"/>
                <w:position w:val="0"/>
                <w:sz w:val="24"/>
                <w:szCs w:val="24"/>
                <w:highlight w:val="none"/>
                <w:vertAlign w:val="superscript"/>
              </w:rPr>
              <w:t>3</w:t>
            </w:r>
            <w:r>
              <w:rPr>
                <w:rFonts w:hint="default" w:ascii="Times New Roman" w:hAnsi="Times New Roman" w:cs="Times New Roman"/>
                <w:color w:val="auto"/>
                <w:spacing w:val="0"/>
                <w:position w:val="0"/>
                <w:sz w:val="24"/>
                <w:szCs w:val="24"/>
                <w:highlight w:val="none"/>
                <w:vertAlign w:val="baseline"/>
                <w:lang w:eastAsia="zh-CN"/>
              </w:rPr>
              <w:t>；</w:t>
            </w:r>
            <w:r>
              <w:rPr>
                <w:rFonts w:hint="default" w:ascii="Times New Roman" w:hAnsi="Times New Roman" w:cs="Times New Roman"/>
                <w:color w:val="auto"/>
                <w:spacing w:val="0"/>
                <w:position w:val="0"/>
                <w:sz w:val="24"/>
                <w:szCs w:val="24"/>
                <w:highlight w:val="none"/>
                <w:lang w:val="en-US" w:eastAsia="zh-CN"/>
              </w:rPr>
              <w:t>有组织</w:t>
            </w:r>
            <w:r>
              <w:rPr>
                <w:rFonts w:hint="default" w:ascii="Times New Roman" w:hAnsi="Times New Roman" w:cs="Times New Roman"/>
                <w:color w:val="auto"/>
                <w:spacing w:val="0"/>
                <w:position w:val="0"/>
                <w:sz w:val="24"/>
                <w:szCs w:val="24"/>
                <w:highlight w:val="none"/>
              </w:rPr>
              <w:t>H</w:t>
            </w:r>
            <w:r>
              <w:rPr>
                <w:rFonts w:hint="default" w:ascii="Times New Roman" w:hAnsi="Times New Roman" w:cs="Times New Roman"/>
                <w:color w:val="auto"/>
                <w:spacing w:val="0"/>
                <w:position w:val="0"/>
                <w:sz w:val="24"/>
                <w:szCs w:val="24"/>
                <w:highlight w:val="none"/>
                <w:vertAlign w:val="subscript"/>
              </w:rPr>
              <w:t>2</w:t>
            </w:r>
            <w:r>
              <w:rPr>
                <w:rFonts w:hint="default" w:ascii="Times New Roman" w:hAnsi="Times New Roman" w:cs="Times New Roman"/>
                <w:color w:val="auto"/>
                <w:spacing w:val="0"/>
                <w:position w:val="0"/>
                <w:sz w:val="24"/>
                <w:szCs w:val="24"/>
                <w:highlight w:val="none"/>
              </w:rPr>
              <w:t>S</w:t>
            </w:r>
            <w:r>
              <w:rPr>
                <w:rFonts w:hint="default" w:ascii="Times New Roman" w:hAnsi="Times New Roman" w:cs="Times New Roman"/>
                <w:color w:val="auto"/>
                <w:spacing w:val="0"/>
                <w:position w:val="0"/>
                <w:sz w:val="24"/>
                <w:szCs w:val="24"/>
                <w:highlight w:val="none"/>
                <w:vertAlign w:val="baseline"/>
                <w:lang w:val="en-US" w:eastAsia="zh-CN"/>
              </w:rPr>
              <w:t>排放</w:t>
            </w:r>
            <w:r>
              <w:rPr>
                <w:rFonts w:hint="default" w:ascii="Times New Roman" w:hAnsi="Times New Roman" w:cs="Times New Roman"/>
                <w:color w:val="auto"/>
                <w:spacing w:val="0"/>
                <w:position w:val="0"/>
                <w:sz w:val="24"/>
                <w:szCs w:val="24"/>
                <w:highlight w:val="none"/>
              </w:rPr>
              <w:t>量为0.</w:t>
            </w:r>
            <w:r>
              <w:rPr>
                <w:rFonts w:hint="default" w:ascii="Times New Roman" w:hAnsi="Times New Roman" w:cs="Times New Roman"/>
                <w:color w:val="auto"/>
                <w:spacing w:val="0"/>
                <w:position w:val="0"/>
                <w:sz w:val="24"/>
                <w:szCs w:val="24"/>
                <w:highlight w:val="none"/>
                <w:lang w:val="en-US" w:eastAsia="zh-CN"/>
              </w:rPr>
              <w:t>0003</w:t>
            </w:r>
            <w:r>
              <w:rPr>
                <w:rFonts w:hint="default" w:ascii="Times New Roman" w:hAnsi="Times New Roman" w:cs="Times New Roman"/>
                <w:color w:val="auto"/>
                <w:spacing w:val="0"/>
                <w:position w:val="0"/>
                <w:sz w:val="24"/>
                <w:szCs w:val="24"/>
                <w:highlight w:val="none"/>
              </w:rPr>
              <w:t>t/a</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排放速率为0.00003</w:t>
            </w:r>
            <w:r>
              <w:rPr>
                <w:rFonts w:hint="default" w:ascii="Times New Roman" w:hAnsi="Times New Roman" w:cs="Times New Roman"/>
                <w:color w:val="auto"/>
                <w:spacing w:val="0"/>
                <w:kern w:val="2"/>
                <w:position w:val="0"/>
                <w:sz w:val="24"/>
                <w:szCs w:val="24"/>
                <w:highlight w:val="none"/>
                <w:lang w:val="en-US" w:eastAsia="zh-CN"/>
              </w:rPr>
              <w:t>kg/h，</w:t>
            </w:r>
            <w:r>
              <w:rPr>
                <w:rFonts w:hint="default" w:ascii="Times New Roman" w:hAnsi="Times New Roman" w:cs="Times New Roman"/>
                <w:color w:val="auto"/>
                <w:spacing w:val="0"/>
                <w:position w:val="0"/>
                <w:sz w:val="24"/>
                <w:szCs w:val="24"/>
                <w:highlight w:val="none"/>
                <w:vertAlign w:val="baseline"/>
                <w:lang w:val="en-US" w:eastAsia="zh-CN"/>
              </w:rPr>
              <w:t>排放</w:t>
            </w:r>
            <w:r>
              <w:rPr>
                <w:rFonts w:hint="default" w:ascii="Times New Roman" w:hAnsi="Times New Roman" w:cs="Times New Roman"/>
                <w:color w:val="auto"/>
                <w:spacing w:val="0"/>
                <w:position w:val="0"/>
                <w:sz w:val="24"/>
                <w:szCs w:val="24"/>
                <w:highlight w:val="none"/>
                <w:lang w:val="en-US" w:eastAsia="zh-CN"/>
              </w:rPr>
              <w:t>浓度为0.015</w:t>
            </w:r>
            <w:r>
              <w:rPr>
                <w:rFonts w:hint="default" w:ascii="Times New Roman" w:hAnsi="Times New Roman" w:cs="Times New Roman"/>
                <w:color w:val="auto"/>
                <w:spacing w:val="0"/>
                <w:position w:val="0"/>
                <w:sz w:val="24"/>
                <w:szCs w:val="24"/>
                <w:highlight w:val="none"/>
              </w:rPr>
              <w:t>mg/m</w:t>
            </w:r>
            <w:r>
              <w:rPr>
                <w:rFonts w:hint="default" w:ascii="Times New Roman" w:hAnsi="Times New Roman" w:cs="Times New Roman"/>
                <w:color w:val="auto"/>
                <w:spacing w:val="0"/>
                <w:position w:val="0"/>
                <w:sz w:val="24"/>
                <w:szCs w:val="24"/>
                <w:highlight w:val="none"/>
                <w:vertAlign w:val="superscript"/>
              </w:rPr>
              <w:t>3</w:t>
            </w:r>
            <w:r>
              <w:rPr>
                <w:rFonts w:hint="default" w:ascii="Times New Roman" w:hAnsi="Times New Roman" w:cs="Times New Roman"/>
                <w:color w:val="auto"/>
                <w:spacing w:val="0"/>
                <w:position w:val="0"/>
                <w:sz w:val="24"/>
                <w:szCs w:val="24"/>
                <w:highlight w:val="none"/>
                <w:lang w:eastAsia="zh-CN"/>
              </w:rPr>
              <w:t>。</w:t>
            </w:r>
          </w:p>
          <w:p w14:paraId="1E94027B">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val="en-US" w:eastAsia="zh-CN"/>
              </w:rPr>
              <w:t>经计算</w:t>
            </w:r>
            <w:r>
              <w:rPr>
                <w:rFonts w:hint="default" w:ascii="Times New Roman" w:hAnsi="Times New Roman" w:eastAsia="宋体" w:cs="Times New Roman"/>
                <w:color w:val="auto"/>
                <w:spacing w:val="0"/>
                <w:position w:val="0"/>
                <w:sz w:val="24"/>
                <w:szCs w:val="24"/>
                <w:highlight w:val="none"/>
              </w:rPr>
              <w:t>，</w:t>
            </w:r>
            <w:r>
              <w:rPr>
                <w:rFonts w:hint="default" w:ascii="Times New Roman" w:hAnsi="Times New Roman" w:cs="Times New Roman"/>
                <w:color w:val="auto"/>
                <w:spacing w:val="0"/>
                <w:position w:val="0"/>
                <w:sz w:val="24"/>
                <w:szCs w:val="24"/>
                <w:highlight w:val="none"/>
                <w:lang w:val="en-US" w:eastAsia="zh-CN"/>
              </w:rPr>
              <w:t>厂内</w:t>
            </w:r>
            <w:r>
              <w:rPr>
                <w:rFonts w:hint="default" w:ascii="Times New Roman" w:hAnsi="Times New Roman" w:eastAsia="宋体" w:cs="Times New Roman"/>
                <w:color w:val="auto"/>
                <w:spacing w:val="0"/>
                <w:position w:val="0"/>
                <w:sz w:val="24"/>
                <w:szCs w:val="24"/>
                <w:highlight w:val="none"/>
                <w:lang w:val="en-US" w:eastAsia="zh-CN"/>
              </w:rPr>
              <w:t>污水处理站废气</w:t>
            </w:r>
            <w:r>
              <w:rPr>
                <w:rFonts w:hint="default" w:ascii="Times New Roman" w:hAnsi="Times New Roman" w:eastAsia="宋体" w:cs="Times New Roman"/>
                <w:color w:val="auto"/>
                <w:spacing w:val="0"/>
                <w:position w:val="0"/>
                <w:sz w:val="24"/>
                <w:szCs w:val="24"/>
                <w:highlight w:val="none"/>
              </w:rPr>
              <w:t>满足《恶臭污染物排放标准》（GB14554-1993）中</w:t>
            </w:r>
            <w:r>
              <w:rPr>
                <w:rFonts w:hint="default" w:ascii="Times New Roman" w:hAnsi="Times New Roman" w:eastAsia="宋体" w:cs="Times New Roman"/>
                <w:color w:val="auto"/>
                <w:spacing w:val="0"/>
                <w:position w:val="0"/>
                <w:sz w:val="24"/>
                <w:szCs w:val="24"/>
                <w:highlight w:val="none"/>
                <w:lang w:val="en-US" w:eastAsia="zh-CN"/>
              </w:rPr>
              <w:t>二级排放标准</w:t>
            </w:r>
            <w:r>
              <w:rPr>
                <w:rFonts w:hint="default" w:ascii="Times New Roman" w:hAnsi="Times New Roman" w:eastAsia="宋体" w:cs="Times New Roman"/>
                <w:color w:val="auto"/>
                <w:spacing w:val="0"/>
                <w:position w:val="0"/>
                <w:sz w:val="24"/>
                <w:szCs w:val="24"/>
                <w:highlight w:val="none"/>
              </w:rPr>
              <w:t>限值</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rPr>
              <w:t>NH</w:t>
            </w:r>
            <w:r>
              <w:rPr>
                <w:rFonts w:hint="default" w:ascii="Times New Roman" w:hAnsi="Times New Roman" w:cs="Times New Roman"/>
                <w:color w:val="auto"/>
                <w:spacing w:val="0"/>
                <w:position w:val="0"/>
                <w:sz w:val="24"/>
                <w:szCs w:val="24"/>
                <w:highlight w:val="none"/>
                <w:vertAlign w:val="subscript"/>
              </w:rPr>
              <w:t>3</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kern w:val="2"/>
                <w:position w:val="0"/>
                <w:sz w:val="24"/>
                <w:szCs w:val="24"/>
                <w:highlight w:val="none"/>
                <w:lang w:val="en-US" w:eastAsia="zh-CN"/>
              </w:rPr>
              <w:t>4.9kg/h，</w:t>
            </w:r>
            <w:r>
              <w:rPr>
                <w:rFonts w:hint="default" w:ascii="Times New Roman" w:hAnsi="Times New Roman" w:cs="Times New Roman"/>
                <w:color w:val="auto"/>
                <w:spacing w:val="0"/>
                <w:position w:val="0"/>
                <w:sz w:val="24"/>
                <w:szCs w:val="24"/>
                <w:highlight w:val="none"/>
              </w:rPr>
              <w:t>H</w:t>
            </w:r>
            <w:r>
              <w:rPr>
                <w:rFonts w:hint="default" w:ascii="Times New Roman" w:hAnsi="Times New Roman" w:cs="Times New Roman"/>
                <w:color w:val="auto"/>
                <w:spacing w:val="0"/>
                <w:position w:val="0"/>
                <w:sz w:val="24"/>
                <w:szCs w:val="24"/>
                <w:highlight w:val="none"/>
                <w:vertAlign w:val="subscript"/>
              </w:rPr>
              <w:t>2</w:t>
            </w:r>
            <w:r>
              <w:rPr>
                <w:rFonts w:hint="default" w:ascii="Times New Roman" w:hAnsi="Times New Roman" w:cs="Times New Roman"/>
                <w:color w:val="auto"/>
                <w:spacing w:val="0"/>
                <w:position w:val="0"/>
                <w:sz w:val="24"/>
                <w:szCs w:val="24"/>
                <w:highlight w:val="none"/>
              </w:rPr>
              <w:t>S</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kern w:val="2"/>
                <w:position w:val="0"/>
                <w:sz w:val="24"/>
                <w:szCs w:val="24"/>
                <w:highlight w:val="none"/>
                <w:lang w:val="en-US" w:eastAsia="zh-CN"/>
              </w:rPr>
              <w:t>0.33kg/h，臭气浓度：2000无量纲</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要求</w:t>
            </w:r>
            <w:r>
              <w:rPr>
                <w:rFonts w:hint="default" w:ascii="Times New Roman" w:hAnsi="Times New Roman" w:eastAsia="宋体" w:cs="Times New Roman"/>
                <w:color w:val="auto"/>
                <w:spacing w:val="0"/>
                <w:position w:val="0"/>
                <w:sz w:val="24"/>
                <w:szCs w:val="24"/>
                <w:highlight w:val="none"/>
                <w:lang w:eastAsia="zh-CN"/>
              </w:rPr>
              <w:t>。</w:t>
            </w:r>
          </w:p>
          <w:p w14:paraId="1CBDBDFD">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3、非正常工况</w:t>
            </w:r>
          </w:p>
          <w:p w14:paraId="74A9952D">
            <w:pPr>
              <w:pStyle w:val="26"/>
              <w:keepNext w:val="0"/>
              <w:keepLines w:val="0"/>
              <w:pageBreakBefore w:val="0"/>
              <w:kinsoku/>
              <w:wordWrap/>
              <w:overflowPunct/>
              <w:topLinePunct w:val="0"/>
              <w:bidi w:val="0"/>
              <w:adjustRightInd w:val="0"/>
              <w:snapToGrid w:val="0"/>
              <w:spacing w:before="0" w:beforeAutospacing="0" w:after="0" w:afterAutospacing="0" w:line="520" w:lineRule="exact"/>
              <w:ind w:left="0" w:leftChars="0" w:right="0" w:rightChars="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污染源源强核算技术指南准则》（HJ884-2018）中指出：生产设施非正常工况是指开停炉（机）、设备检修、工艺设备运转异常等工况，污染防治（控制）设施非正常状况指达不到应有治理效率或同步运转率等情况。根据本项目实际情况，本项目废气排放的非正常工况主要发生在污染防治（控制）设施非正常状况，即除尘器达不到应有治理效率或同步运转率等情况，如布袋除尘器击穿或</w:t>
            </w:r>
            <w:r>
              <w:rPr>
                <w:rFonts w:hint="default" w:ascii="Times New Roman" w:hAnsi="Times New Roman" w:cs="Times New Roman"/>
                <w:color w:val="auto"/>
                <w:spacing w:val="0"/>
                <w:position w:val="0"/>
                <w:sz w:val="24"/>
                <w:szCs w:val="24"/>
                <w:highlight w:val="none"/>
                <w:lang w:eastAsia="zh-CN"/>
              </w:rPr>
              <w:t>集气装置</w:t>
            </w:r>
            <w:r>
              <w:rPr>
                <w:rFonts w:hint="default" w:ascii="Times New Roman" w:hAnsi="Times New Roman" w:eastAsia="宋体" w:cs="Times New Roman"/>
                <w:color w:val="auto"/>
                <w:spacing w:val="0"/>
                <w:position w:val="0"/>
                <w:sz w:val="24"/>
                <w:szCs w:val="24"/>
                <w:highlight w:val="none"/>
              </w:rPr>
              <w:t>负压不足，</w:t>
            </w:r>
            <w:r>
              <w:rPr>
                <w:rFonts w:hint="default" w:ascii="Times New Roman" w:hAnsi="Times New Roman" w:cs="Times New Roman"/>
                <w:color w:val="auto"/>
                <w:spacing w:val="0"/>
                <w:position w:val="0"/>
                <w:sz w:val="24"/>
                <w:szCs w:val="24"/>
                <w:highlight w:val="none"/>
                <w:lang w:val="en-US" w:eastAsia="zh-CN"/>
              </w:rPr>
              <w:t>活性炭吸附、</w:t>
            </w:r>
            <w:r>
              <w:rPr>
                <w:rFonts w:hint="default" w:ascii="Times New Roman" w:hAnsi="Times New Roman" w:eastAsia="宋体" w:cs="Times New Roman"/>
                <w:color w:val="auto"/>
                <w:spacing w:val="0"/>
                <w:position w:val="0"/>
                <w:sz w:val="24"/>
                <w:szCs w:val="24"/>
                <w:highlight w:val="none"/>
              </w:rPr>
              <w:t>石蜡吸收装置故障等。除尘效率按照80%考虑、前端冷凝段效率正常效率为</w:t>
            </w:r>
            <w:r>
              <w:rPr>
                <w:rFonts w:hint="default" w:ascii="Times New Roman" w:hAnsi="Times New Roman" w:eastAsia="宋体" w:cs="Times New Roman"/>
                <w:color w:val="auto"/>
                <w:spacing w:val="0"/>
                <w:position w:val="0"/>
                <w:sz w:val="24"/>
                <w:szCs w:val="32"/>
                <w:highlight w:val="none"/>
              </w:rPr>
              <w:t>95%，</w:t>
            </w:r>
            <w:r>
              <w:rPr>
                <w:rFonts w:hint="default" w:ascii="Times New Roman" w:hAnsi="Times New Roman" w:cs="Times New Roman"/>
                <w:color w:val="auto"/>
                <w:spacing w:val="0"/>
                <w:position w:val="0"/>
                <w:sz w:val="24"/>
                <w:szCs w:val="32"/>
                <w:highlight w:val="none"/>
                <w:lang w:val="en-US" w:eastAsia="zh-CN"/>
              </w:rPr>
              <w:t>活性炭吸附装置、</w:t>
            </w:r>
            <w:r>
              <w:rPr>
                <w:rFonts w:hint="default" w:ascii="Times New Roman" w:hAnsi="Times New Roman" w:eastAsia="宋体" w:cs="Times New Roman"/>
                <w:color w:val="auto"/>
                <w:spacing w:val="0"/>
                <w:position w:val="0"/>
                <w:sz w:val="24"/>
                <w:szCs w:val="24"/>
                <w:highlight w:val="none"/>
              </w:rPr>
              <w:t>石蜡吸收装置故障，效率按0考虑，非正常排放污染源强详见表4-</w:t>
            </w:r>
            <w:r>
              <w:rPr>
                <w:rFonts w:hint="default" w:ascii="Times New Roman" w:hAnsi="Times New Roman" w:cs="Times New Roman"/>
                <w:color w:val="auto"/>
                <w:spacing w:val="0"/>
                <w:position w:val="0"/>
                <w:sz w:val="24"/>
                <w:szCs w:val="24"/>
                <w:highlight w:val="none"/>
                <w:lang w:val="en-US" w:eastAsia="zh-CN"/>
              </w:rPr>
              <w:t>2</w:t>
            </w:r>
            <w:r>
              <w:rPr>
                <w:rFonts w:hint="default" w:ascii="Times New Roman" w:hAnsi="Times New Roman" w:eastAsia="宋体" w:cs="Times New Roman"/>
                <w:color w:val="auto"/>
                <w:spacing w:val="0"/>
                <w:position w:val="0"/>
                <w:sz w:val="24"/>
                <w:szCs w:val="24"/>
                <w:highlight w:val="none"/>
              </w:rPr>
              <w:t>。</w:t>
            </w:r>
          </w:p>
          <w:p w14:paraId="15D6E28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color w:val="auto"/>
                <w:spacing w:val="0"/>
                <w:position w:val="0"/>
                <w:sz w:val="24"/>
                <w:szCs w:val="24"/>
                <w:highlight w:val="none"/>
              </w:rPr>
            </w:pPr>
            <w:r>
              <w:rPr>
                <w:rFonts w:hint="default" w:ascii="Times New Roman" w:hAnsi="Times New Roman" w:eastAsia="宋体" w:cs="Times New Roman"/>
                <w:b/>
                <w:color w:val="auto"/>
                <w:spacing w:val="0"/>
                <w:position w:val="0"/>
                <w:sz w:val="24"/>
                <w:szCs w:val="24"/>
                <w:highlight w:val="none"/>
              </w:rPr>
              <w:t>表4-</w:t>
            </w:r>
            <w:r>
              <w:rPr>
                <w:rFonts w:hint="default" w:ascii="Times New Roman" w:hAnsi="Times New Roman" w:cs="Times New Roman"/>
                <w:b/>
                <w:color w:val="auto"/>
                <w:spacing w:val="0"/>
                <w:position w:val="0"/>
                <w:sz w:val="24"/>
                <w:szCs w:val="24"/>
                <w:highlight w:val="none"/>
                <w:lang w:val="en-US" w:eastAsia="zh-CN"/>
              </w:rPr>
              <w:t>2</w:t>
            </w:r>
            <w:r>
              <w:rPr>
                <w:rFonts w:hint="default" w:ascii="Times New Roman" w:hAnsi="Times New Roman" w:eastAsia="宋体" w:cs="Times New Roman"/>
                <w:b/>
                <w:color w:val="auto"/>
                <w:spacing w:val="0"/>
                <w:position w:val="0"/>
                <w:sz w:val="24"/>
                <w:szCs w:val="24"/>
                <w:highlight w:val="none"/>
              </w:rPr>
              <w:t xml:space="preserve"> 污染源非正常排放核算表</w:t>
            </w:r>
          </w:p>
          <w:tbl>
            <w:tblPr>
              <w:tblStyle w:val="29"/>
              <w:tblW w:w="4991"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992"/>
              <w:gridCol w:w="1623"/>
              <w:gridCol w:w="1053"/>
              <w:gridCol w:w="1065"/>
              <w:gridCol w:w="1031"/>
              <w:gridCol w:w="899"/>
              <w:gridCol w:w="941"/>
              <w:gridCol w:w="728"/>
            </w:tblGrid>
            <w:tr w14:paraId="1014B1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03" w:hRule="atLeast"/>
              </w:trPr>
              <w:tc>
                <w:tcPr>
                  <w:tcW w:w="595" w:type="pct"/>
                  <w:noWrap w:val="0"/>
                  <w:vAlign w:val="center"/>
                </w:tcPr>
                <w:p w14:paraId="08A28177">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污染源</w:t>
                  </w:r>
                </w:p>
              </w:tc>
              <w:tc>
                <w:tcPr>
                  <w:tcW w:w="973" w:type="pct"/>
                  <w:noWrap w:val="0"/>
                  <w:vAlign w:val="center"/>
                </w:tcPr>
                <w:p w14:paraId="6B2EF894">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非正常排放原因</w:t>
                  </w:r>
                </w:p>
              </w:tc>
              <w:tc>
                <w:tcPr>
                  <w:tcW w:w="631" w:type="pct"/>
                  <w:noWrap w:val="0"/>
                  <w:vAlign w:val="center"/>
                </w:tcPr>
                <w:p w14:paraId="51C8D2EB">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污染物</w:t>
                  </w:r>
                </w:p>
              </w:tc>
              <w:tc>
                <w:tcPr>
                  <w:tcW w:w="639" w:type="pct"/>
                  <w:noWrap w:val="0"/>
                  <w:vAlign w:val="center"/>
                </w:tcPr>
                <w:p w14:paraId="541C7977">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非正常排放浓度</w:t>
                  </w:r>
                </w:p>
                <w:p w14:paraId="13798159">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（mg/m</w:t>
                  </w:r>
                  <w:r>
                    <w:rPr>
                      <w:rFonts w:hint="default" w:ascii="Times New Roman" w:hAnsi="Times New Roman" w:eastAsia="宋体" w:cs="Times New Roman"/>
                      <w:snapToGrid w:val="0"/>
                      <w:color w:val="auto"/>
                      <w:spacing w:val="0"/>
                      <w:position w:val="0"/>
                      <w:szCs w:val="21"/>
                      <w:highlight w:val="none"/>
                      <w:vertAlign w:val="superscript"/>
                    </w:rPr>
                    <w:t>3</w:t>
                  </w:r>
                  <w:r>
                    <w:rPr>
                      <w:rFonts w:hint="default" w:ascii="Times New Roman" w:hAnsi="Times New Roman" w:eastAsia="宋体" w:cs="Times New Roman"/>
                      <w:snapToGrid w:val="0"/>
                      <w:color w:val="auto"/>
                      <w:spacing w:val="0"/>
                      <w:position w:val="0"/>
                      <w:szCs w:val="21"/>
                      <w:highlight w:val="none"/>
                    </w:rPr>
                    <w:t>）</w:t>
                  </w:r>
                </w:p>
              </w:tc>
              <w:tc>
                <w:tcPr>
                  <w:tcW w:w="618" w:type="pct"/>
                  <w:noWrap w:val="0"/>
                  <w:vAlign w:val="center"/>
                </w:tcPr>
                <w:p w14:paraId="5941C365">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非正常排放速率</w:t>
                  </w:r>
                </w:p>
                <w:p w14:paraId="5DD297E5">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（kg/h）</w:t>
                  </w:r>
                </w:p>
              </w:tc>
              <w:tc>
                <w:tcPr>
                  <w:tcW w:w="539" w:type="pct"/>
                  <w:noWrap w:val="0"/>
                  <w:vAlign w:val="center"/>
                </w:tcPr>
                <w:p w14:paraId="530196E7">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单次持续时间</w:t>
                  </w:r>
                </w:p>
              </w:tc>
              <w:tc>
                <w:tcPr>
                  <w:tcW w:w="564" w:type="pct"/>
                  <w:noWrap w:val="0"/>
                  <w:vAlign w:val="center"/>
                </w:tcPr>
                <w:p w14:paraId="492983FA">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年发生</w:t>
                  </w:r>
                </w:p>
                <w:p w14:paraId="40F7AFA4">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频次</w:t>
                  </w:r>
                </w:p>
              </w:tc>
              <w:tc>
                <w:tcPr>
                  <w:tcW w:w="436" w:type="pct"/>
                  <w:noWrap w:val="0"/>
                  <w:vAlign w:val="center"/>
                </w:tcPr>
                <w:p w14:paraId="7A464770">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应对措施</w:t>
                  </w:r>
                </w:p>
              </w:tc>
            </w:tr>
            <w:tr w14:paraId="2D69F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41" w:hRule="atLeast"/>
              </w:trPr>
              <w:tc>
                <w:tcPr>
                  <w:tcW w:w="595" w:type="pct"/>
                  <w:noWrap w:val="0"/>
                  <w:vAlign w:val="center"/>
                </w:tcPr>
                <w:p w14:paraId="3A653365">
                  <w:pPr>
                    <w:pStyle w:val="73"/>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预处理车间</w:t>
                  </w:r>
                </w:p>
              </w:tc>
              <w:tc>
                <w:tcPr>
                  <w:tcW w:w="973" w:type="pct"/>
                  <w:noWrap w:val="0"/>
                  <w:vAlign w:val="center"/>
                </w:tcPr>
                <w:p w14:paraId="2DBE8609">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除尘系统发生故障，粉尘未经处理直接排放</w:t>
                  </w:r>
                </w:p>
              </w:tc>
              <w:tc>
                <w:tcPr>
                  <w:tcW w:w="631" w:type="pct"/>
                  <w:noWrap w:val="0"/>
                  <w:vAlign w:val="center"/>
                </w:tcPr>
                <w:p w14:paraId="325EB983">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颗粒物</w:t>
                  </w:r>
                </w:p>
              </w:tc>
              <w:tc>
                <w:tcPr>
                  <w:tcW w:w="639" w:type="pct"/>
                  <w:noWrap w:val="0"/>
                  <w:vAlign w:val="center"/>
                </w:tcPr>
                <w:p w14:paraId="7E6E140A">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lang w:val="en-US" w:eastAsia="zh-CN"/>
                    </w:rPr>
                  </w:pPr>
                  <w:r>
                    <w:rPr>
                      <w:rFonts w:hint="default" w:ascii="Times New Roman" w:hAnsi="Times New Roman" w:cs="Times New Roman"/>
                      <w:snapToGrid w:val="0"/>
                      <w:color w:val="auto"/>
                      <w:spacing w:val="0"/>
                      <w:position w:val="0"/>
                      <w:szCs w:val="21"/>
                      <w:highlight w:val="none"/>
                      <w:lang w:val="en-US" w:eastAsia="zh-CN"/>
                    </w:rPr>
                    <w:t>49.286</w:t>
                  </w:r>
                </w:p>
              </w:tc>
              <w:tc>
                <w:tcPr>
                  <w:tcW w:w="618" w:type="pct"/>
                  <w:noWrap w:val="0"/>
                  <w:vAlign w:val="center"/>
                </w:tcPr>
                <w:p w14:paraId="0AE06E82">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lang w:val="en-US" w:eastAsia="zh-CN"/>
                    </w:rPr>
                  </w:pPr>
                  <w:r>
                    <w:rPr>
                      <w:rFonts w:hint="default" w:ascii="Times New Roman" w:hAnsi="Times New Roman" w:cs="Times New Roman"/>
                      <w:snapToGrid w:val="0"/>
                      <w:color w:val="auto"/>
                      <w:spacing w:val="0"/>
                      <w:position w:val="0"/>
                      <w:szCs w:val="21"/>
                      <w:highlight w:val="none"/>
                      <w:lang w:val="en-US" w:eastAsia="zh-CN"/>
                    </w:rPr>
                    <w:t>0.493</w:t>
                  </w:r>
                </w:p>
              </w:tc>
              <w:tc>
                <w:tcPr>
                  <w:tcW w:w="539" w:type="pct"/>
                  <w:noWrap w:val="0"/>
                  <w:vAlign w:val="center"/>
                </w:tcPr>
                <w:p w14:paraId="588DCCA8">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≤1h</w:t>
                  </w:r>
                </w:p>
              </w:tc>
              <w:tc>
                <w:tcPr>
                  <w:tcW w:w="564" w:type="pct"/>
                  <w:noWrap w:val="0"/>
                  <w:vAlign w:val="center"/>
                </w:tcPr>
                <w:p w14:paraId="461E16F1">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≤2次</w:t>
                  </w:r>
                </w:p>
              </w:tc>
              <w:tc>
                <w:tcPr>
                  <w:tcW w:w="436" w:type="pct"/>
                  <w:noWrap w:val="0"/>
                  <w:vAlign w:val="center"/>
                </w:tcPr>
                <w:p w14:paraId="2278E100">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加强日常检修</w:t>
                  </w:r>
                </w:p>
              </w:tc>
            </w:tr>
            <w:tr w14:paraId="6C71C8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41" w:hRule="atLeast"/>
              </w:trPr>
              <w:tc>
                <w:tcPr>
                  <w:tcW w:w="595" w:type="pct"/>
                  <w:noWrap w:val="0"/>
                  <w:vAlign w:val="center"/>
                </w:tcPr>
                <w:p w14:paraId="7FD3B569">
                  <w:pPr>
                    <w:pStyle w:val="73"/>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浸出车间</w:t>
                  </w:r>
                </w:p>
              </w:tc>
              <w:tc>
                <w:tcPr>
                  <w:tcW w:w="973" w:type="pct"/>
                  <w:noWrap w:val="0"/>
                  <w:vAlign w:val="center"/>
                </w:tcPr>
                <w:p w14:paraId="29DAA41F">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石蜡吸收装置故障</w:t>
                  </w:r>
                </w:p>
              </w:tc>
              <w:tc>
                <w:tcPr>
                  <w:tcW w:w="631" w:type="pct"/>
                  <w:noWrap w:val="0"/>
                  <w:vAlign w:val="center"/>
                </w:tcPr>
                <w:p w14:paraId="12503BC7">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非甲烷总烃</w:t>
                  </w:r>
                </w:p>
              </w:tc>
              <w:tc>
                <w:tcPr>
                  <w:tcW w:w="639" w:type="pct"/>
                  <w:noWrap w:val="0"/>
                  <w:vAlign w:val="center"/>
                </w:tcPr>
                <w:p w14:paraId="18247159">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lang w:val="en-US" w:eastAsia="zh-CN"/>
                    </w:rPr>
                  </w:pPr>
                  <w:r>
                    <w:rPr>
                      <w:rFonts w:hint="default" w:ascii="Times New Roman" w:hAnsi="Times New Roman" w:cs="Times New Roman"/>
                      <w:snapToGrid w:val="0"/>
                      <w:color w:val="auto"/>
                      <w:spacing w:val="0"/>
                      <w:position w:val="0"/>
                      <w:szCs w:val="21"/>
                      <w:highlight w:val="none"/>
                      <w:lang w:val="en-US" w:eastAsia="zh-CN"/>
                    </w:rPr>
                    <w:t>73.214</w:t>
                  </w:r>
                </w:p>
              </w:tc>
              <w:tc>
                <w:tcPr>
                  <w:tcW w:w="618" w:type="pct"/>
                  <w:noWrap w:val="0"/>
                  <w:vAlign w:val="center"/>
                </w:tcPr>
                <w:p w14:paraId="344F0EE3">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lang w:val="en-US" w:eastAsia="zh-CN"/>
                    </w:rPr>
                  </w:pPr>
                  <w:r>
                    <w:rPr>
                      <w:rFonts w:hint="default" w:ascii="Times New Roman" w:hAnsi="Times New Roman" w:eastAsia="宋体" w:cs="Times New Roman"/>
                      <w:snapToGrid w:val="0"/>
                      <w:color w:val="auto"/>
                      <w:spacing w:val="0"/>
                      <w:position w:val="0"/>
                      <w:szCs w:val="21"/>
                      <w:highlight w:val="none"/>
                    </w:rPr>
                    <w:t>0.</w:t>
                  </w:r>
                  <w:r>
                    <w:rPr>
                      <w:rFonts w:hint="default" w:ascii="Times New Roman" w:hAnsi="Times New Roman" w:cs="Times New Roman"/>
                      <w:snapToGrid w:val="0"/>
                      <w:color w:val="auto"/>
                      <w:spacing w:val="0"/>
                      <w:position w:val="0"/>
                      <w:szCs w:val="21"/>
                      <w:highlight w:val="none"/>
                      <w:lang w:val="en-US" w:eastAsia="zh-CN"/>
                    </w:rPr>
                    <w:t>732</w:t>
                  </w:r>
                </w:p>
              </w:tc>
              <w:tc>
                <w:tcPr>
                  <w:tcW w:w="539" w:type="pct"/>
                  <w:noWrap w:val="0"/>
                  <w:vAlign w:val="center"/>
                </w:tcPr>
                <w:p w14:paraId="3BF5BDCF">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≤1h</w:t>
                  </w:r>
                </w:p>
              </w:tc>
              <w:tc>
                <w:tcPr>
                  <w:tcW w:w="564" w:type="pct"/>
                  <w:noWrap w:val="0"/>
                  <w:vAlign w:val="center"/>
                </w:tcPr>
                <w:p w14:paraId="3D2B7008">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≤2次</w:t>
                  </w:r>
                </w:p>
              </w:tc>
              <w:tc>
                <w:tcPr>
                  <w:tcW w:w="436" w:type="pct"/>
                  <w:noWrap w:val="0"/>
                  <w:vAlign w:val="center"/>
                </w:tcPr>
                <w:p w14:paraId="2BD53914">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加强日常检修</w:t>
                  </w:r>
                </w:p>
              </w:tc>
            </w:tr>
            <w:tr w14:paraId="0B8D18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41" w:hRule="atLeast"/>
              </w:trPr>
              <w:tc>
                <w:tcPr>
                  <w:tcW w:w="595" w:type="pct"/>
                  <w:noWrap w:val="0"/>
                  <w:vAlign w:val="center"/>
                </w:tcPr>
                <w:p w14:paraId="3F2BF590">
                  <w:pPr>
                    <w:pStyle w:val="73"/>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精炼车间</w:t>
                  </w:r>
                </w:p>
              </w:tc>
              <w:tc>
                <w:tcPr>
                  <w:tcW w:w="973" w:type="pct"/>
                  <w:noWrap w:val="0"/>
                  <w:vAlign w:val="center"/>
                </w:tcPr>
                <w:p w14:paraId="23C1DD4D">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lang w:val="en-US" w:eastAsia="zh-CN"/>
                    </w:rPr>
                  </w:pPr>
                  <w:r>
                    <w:rPr>
                      <w:rFonts w:hint="default" w:ascii="Times New Roman" w:hAnsi="Times New Roman" w:cs="Times New Roman"/>
                      <w:snapToGrid w:val="0"/>
                      <w:color w:val="auto"/>
                      <w:spacing w:val="0"/>
                      <w:position w:val="0"/>
                      <w:szCs w:val="21"/>
                      <w:highlight w:val="none"/>
                      <w:lang w:val="en-US" w:eastAsia="zh-CN"/>
                    </w:rPr>
                    <w:t>活性炭吸附、石蜡吸收装置故障</w:t>
                  </w:r>
                </w:p>
              </w:tc>
              <w:tc>
                <w:tcPr>
                  <w:tcW w:w="631" w:type="pct"/>
                  <w:noWrap w:val="0"/>
                  <w:vAlign w:val="center"/>
                </w:tcPr>
                <w:p w14:paraId="537B7D94">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lang w:val="en-US" w:eastAsia="zh-CN"/>
                    </w:rPr>
                  </w:pPr>
                  <w:r>
                    <w:rPr>
                      <w:rFonts w:hint="default" w:ascii="Times New Roman" w:hAnsi="Times New Roman" w:cs="Times New Roman"/>
                      <w:snapToGrid w:val="0"/>
                      <w:color w:val="auto"/>
                      <w:spacing w:val="0"/>
                      <w:position w:val="0"/>
                      <w:szCs w:val="21"/>
                      <w:highlight w:val="none"/>
                      <w:lang w:val="en-US" w:eastAsia="zh-CN"/>
                    </w:rPr>
                    <w:t>非甲烷总烃</w:t>
                  </w:r>
                </w:p>
              </w:tc>
              <w:tc>
                <w:tcPr>
                  <w:tcW w:w="639" w:type="pct"/>
                  <w:shd w:val="clear" w:color="auto" w:fill="auto"/>
                  <w:noWrap w:val="0"/>
                  <w:vAlign w:val="center"/>
                </w:tcPr>
                <w:p w14:paraId="33BE789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lang w:val="en-US" w:eastAsia="zh-CN"/>
                    </w:rPr>
                    <w:t>10.714</w:t>
                  </w:r>
                </w:p>
              </w:tc>
              <w:tc>
                <w:tcPr>
                  <w:tcW w:w="618" w:type="pct"/>
                  <w:shd w:val="clear" w:color="auto" w:fill="auto"/>
                  <w:noWrap w:val="0"/>
                  <w:vAlign w:val="center"/>
                </w:tcPr>
                <w:p w14:paraId="40358E4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lang w:val="en-US" w:eastAsia="zh-CN"/>
                    </w:rPr>
                    <w:t>0.021</w:t>
                  </w:r>
                </w:p>
              </w:tc>
              <w:tc>
                <w:tcPr>
                  <w:tcW w:w="539" w:type="pct"/>
                  <w:shd w:val="clear" w:color="auto" w:fill="auto"/>
                  <w:noWrap w:val="0"/>
                  <w:vAlign w:val="center"/>
                </w:tcPr>
                <w:p w14:paraId="013118BF">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kern w:val="2"/>
                      <w:position w:val="0"/>
                      <w:sz w:val="21"/>
                      <w:szCs w:val="21"/>
                      <w:highlight w:val="none"/>
                      <w:lang w:val="en-US" w:eastAsia="zh-CN" w:bidi="ar-SA"/>
                    </w:rPr>
                  </w:pPr>
                  <w:r>
                    <w:rPr>
                      <w:rFonts w:hint="default" w:ascii="Times New Roman" w:hAnsi="Times New Roman" w:eastAsia="宋体" w:cs="Times New Roman"/>
                      <w:snapToGrid w:val="0"/>
                      <w:color w:val="auto"/>
                      <w:spacing w:val="0"/>
                      <w:position w:val="0"/>
                      <w:szCs w:val="21"/>
                      <w:highlight w:val="none"/>
                    </w:rPr>
                    <w:t>≤1h</w:t>
                  </w:r>
                </w:p>
              </w:tc>
              <w:tc>
                <w:tcPr>
                  <w:tcW w:w="564" w:type="pct"/>
                  <w:shd w:val="clear" w:color="auto" w:fill="auto"/>
                  <w:noWrap w:val="0"/>
                  <w:vAlign w:val="center"/>
                </w:tcPr>
                <w:p w14:paraId="4B78B30E">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kern w:val="2"/>
                      <w:position w:val="0"/>
                      <w:sz w:val="21"/>
                      <w:szCs w:val="21"/>
                      <w:highlight w:val="none"/>
                      <w:lang w:val="en-US" w:eastAsia="zh-CN" w:bidi="ar-SA"/>
                    </w:rPr>
                  </w:pPr>
                  <w:r>
                    <w:rPr>
                      <w:rFonts w:hint="default" w:ascii="Times New Roman" w:hAnsi="Times New Roman" w:eastAsia="宋体" w:cs="Times New Roman"/>
                      <w:snapToGrid w:val="0"/>
                      <w:color w:val="auto"/>
                      <w:spacing w:val="0"/>
                      <w:position w:val="0"/>
                      <w:szCs w:val="21"/>
                      <w:highlight w:val="none"/>
                    </w:rPr>
                    <w:t>≤2次</w:t>
                  </w:r>
                </w:p>
              </w:tc>
              <w:tc>
                <w:tcPr>
                  <w:tcW w:w="436" w:type="pct"/>
                  <w:shd w:val="clear" w:color="auto" w:fill="auto"/>
                  <w:noWrap w:val="0"/>
                  <w:vAlign w:val="center"/>
                </w:tcPr>
                <w:p w14:paraId="5833A5BF">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kern w:val="2"/>
                      <w:position w:val="0"/>
                      <w:sz w:val="21"/>
                      <w:szCs w:val="21"/>
                      <w:highlight w:val="none"/>
                      <w:lang w:val="en-US" w:eastAsia="zh-CN" w:bidi="ar-SA"/>
                    </w:rPr>
                  </w:pPr>
                  <w:r>
                    <w:rPr>
                      <w:rFonts w:hint="default" w:ascii="Times New Roman" w:hAnsi="Times New Roman" w:eastAsia="宋体" w:cs="Times New Roman"/>
                      <w:snapToGrid w:val="0"/>
                      <w:color w:val="auto"/>
                      <w:spacing w:val="0"/>
                      <w:position w:val="0"/>
                      <w:szCs w:val="21"/>
                      <w:highlight w:val="none"/>
                    </w:rPr>
                    <w:t>加强日常检修</w:t>
                  </w:r>
                </w:p>
              </w:tc>
            </w:tr>
            <w:tr w14:paraId="567336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41" w:hRule="atLeast"/>
              </w:trPr>
              <w:tc>
                <w:tcPr>
                  <w:tcW w:w="595" w:type="pct"/>
                  <w:noWrap w:val="0"/>
                  <w:vAlign w:val="center"/>
                </w:tcPr>
                <w:p w14:paraId="6CBE3D5C">
                  <w:pPr>
                    <w:pStyle w:val="73"/>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生物质锅炉</w:t>
                  </w:r>
                </w:p>
              </w:tc>
              <w:tc>
                <w:tcPr>
                  <w:tcW w:w="973" w:type="pct"/>
                  <w:noWrap w:val="0"/>
                  <w:vAlign w:val="center"/>
                </w:tcPr>
                <w:p w14:paraId="1EFDBEFC">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除尘系统发生故障，粉尘未经处理直接排放</w:t>
                  </w:r>
                </w:p>
              </w:tc>
              <w:tc>
                <w:tcPr>
                  <w:tcW w:w="631" w:type="pct"/>
                  <w:noWrap w:val="0"/>
                  <w:vAlign w:val="center"/>
                </w:tcPr>
                <w:p w14:paraId="2C557CD2">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颗粒物</w:t>
                  </w:r>
                </w:p>
              </w:tc>
              <w:tc>
                <w:tcPr>
                  <w:tcW w:w="639" w:type="pct"/>
                  <w:noWrap w:val="0"/>
                  <w:vAlign w:val="center"/>
                </w:tcPr>
                <w:p w14:paraId="45E367D1">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lang w:val="en-US" w:eastAsia="zh-CN"/>
                    </w:rPr>
                  </w:pPr>
                  <w:r>
                    <w:rPr>
                      <w:rFonts w:hint="default" w:ascii="Times New Roman" w:hAnsi="Times New Roman" w:cs="Times New Roman"/>
                      <w:snapToGrid w:val="0"/>
                      <w:color w:val="auto"/>
                      <w:spacing w:val="0"/>
                      <w:position w:val="0"/>
                      <w:szCs w:val="21"/>
                      <w:highlight w:val="none"/>
                      <w:lang w:val="en-US" w:eastAsia="zh-CN"/>
                    </w:rPr>
                    <w:t>2276.629</w:t>
                  </w:r>
                </w:p>
              </w:tc>
              <w:tc>
                <w:tcPr>
                  <w:tcW w:w="618" w:type="pct"/>
                  <w:noWrap w:val="0"/>
                  <w:vAlign w:val="center"/>
                </w:tcPr>
                <w:p w14:paraId="34B8E1D3">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lang w:val="en-US" w:eastAsia="zh-CN"/>
                    </w:rPr>
                  </w:pPr>
                  <w:r>
                    <w:rPr>
                      <w:rFonts w:hint="default" w:ascii="Times New Roman" w:hAnsi="Times New Roman" w:cs="Times New Roman"/>
                      <w:snapToGrid w:val="0"/>
                      <w:color w:val="auto"/>
                      <w:spacing w:val="0"/>
                      <w:position w:val="0"/>
                      <w:szCs w:val="21"/>
                      <w:highlight w:val="none"/>
                      <w:lang w:val="en-US" w:eastAsia="zh-CN"/>
                    </w:rPr>
                    <w:t>45.965</w:t>
                  </w:r>
                </w:p>
              </w:tc>
              <w:tc>
                <w:tcPr>
                  <w:tcW w:w="539" w:type="pct"/>
                  <w:noWrap w:val="0"/>
                  <w:vAlign w:val="center"/>
                </w:tcPr>
                <w:p w14:paraId="4B0C2B4C">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≤1h</w:t>
                  </w:r>
                </w:p>
              </w:tc>
              <w:tc>
                <w:tcPr>
                  <w:tcW w:w="564" w:type="pct"/>
                  <w:noWrap w:val="0"/>
                  <w:vAlign w:val="center"/>
                </w:tcPr>
                <w:p w14:paraId="3B32EFCA">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≤2次</w:t>
                  </w:r>
                </w:p>
              </w:tc>
              <w:tc>
                <w:tcPr>
                  <w:tcW w:w="436" w:type="pct"/>
                  <w:noWrap w:val="0"/>
                  <w:vAlign w:val="center"/>
                </w:tcPr>
                <w:p w14:paraId="5E3C87F5">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eastAsia="宋体" w:cs="Times New Roman"/>
                      <w:snapToGrid w:val="0"/>
                      <w:color w:val="auto"/>
                      <w:spacing w:val="0"/>
                      <w:position w:val="0"/>
                      <w:szCs w:val="21"/>
                      <w:highlight w:val="none"/>
                    </w:rPr>
                    <w:t>加强日常检修</w:t>
                  </w:r>
                </w:p>
              </w:tc>
            </w:tr>
            <w:tr w14:paraId="606B08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41" w:hRule="atLeast"/>
              </w:trPr>
              <w:tc>
                <w:tcPr>
                  <w:tcW w:w="595" w:type="pct"/>
                  <w:vMerge w:val="restart"/>
                  <w:noWrap w:val="0"/>
                  <w:vAlign w:val="center"/>
                </w:tcPr>
                <w:p w14:paraId="001F3FC2">
                  <w:pPr>
                    <w:pStyle w:val="73"/>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rPr>
                      <w:rFonts w:hint="default" w:ascii="Times New Roman" w:hAnsi="Times New Roman" w:eastAsia="宋体" w:cs="Times New Roman"/>
                      <w:snapToGrid w:val="0"/>
                      <w:color w:val="auto"/>
                      <w:spacing w:val="0"/>
                      <w:position w:val="0"/>
                      <w:szCs w:val="21"/>
                      <w:highlight w:val="none"/>
                      <w:lang w:val="en-US" w:eastAsia="zh-CN"/>
                    </w:rPr>
                  </w:pPr>
                  <w:r>
                    <w:rPr>
                      <w:rFonts w:hint="default" w:ascii="Times New Roman" w:hAnsi="Times New Roman" w:cs="Times New Roman"/>
                      <w:snapToGrid w:val="0"/>
                      <w:color w:val="auto"/>
                      <w:spacing w:val="0"/>
                      <w:position w:val="0"/>
                      <w:szCs w:val="21"/>
                      <w:highlight w:val="none"/>
                      <w:lang w:val="en-US" w:eastAsia="zh-CN"/>
                    </w:rPr>
                    <w:t>污水处理站</w:t>
                  </w:r>
                </w:p>
              </w:tc>
              <w:tc>
                <w:tcPr>
                  <w:tcW w:w="973" w:type="pct"/>
                  <w:vMerge w:val="restart"/>
                  <w:noWrap w:val="0"/>
                  <w:vAlign w:val="center"/>
                </w:tcPr>
                <w:p w14:paraId="0CA5879F">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r>
                    <w:rPr>
                      <w:rFonts w:hint="default" w:ascii="Times New Roman" w:hAnsi="Times New Roman" w:cs="Times New Roman"/>
                      <w:snapToGrid w:val="0"/>
                      <w:color w:val="auto"/>
                      <w:spacing w:val="0"/>
                      <w:position w:val="0"/>
                      <w:szCs w:val="21"/>
                      <w:highlight w:val="none"/>
                      <w:lang w:val="en-US" w:eastAsia="zh-CN"/>
                    </w:rPr>
                    <w:t>活性炭吸附装置故障</w:t>
                  </w:r>
                </w:p>
              </w:tc>
              <w:tc>
                <w:tcPr>
                  <w:tcW w:w="631" w:type="pct"/>
                  <w:noWrap w:val="0"/>
                  <w:vAlign w:val="center"/>
                </w:tcPr>
                <w:p w14:paraId="65F13C19">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lang w:val="en-US" w:eastAsia="zh-CN"/>
                    </w:rPr>
                  </w:pPr>
                  <w:r>
                    <w:rPr>
                      <w:rFonts w:hint="default" w:ascii="Times New Roman" w:hAnsi="Times New Roman" w:cs="Times New Roman"/>
                      <w:snapToGrid w:val="0"/>
                      <w:color w:val="auto"/>
                      <w:spacing w:val="0"/>
                      <w:position w:val="0"/>
                      <w:szCs w:val="21"/>
                      <w:highlight w:val="none"/>
                      <w:lang w:val="en-US" w:eastAsia="zh-CN"/>
                    </w:rPr>
                    <w:t>氨</w:t>
                  </w:r>
                </w:p>
              </w:tc>
              <w:tc>
                <w:tcPr>
                  <w:tcW w:w="639" w:type="pct"/>
                  <w:noWrap w:val="0"/>
                  <w:vAlign w:val="center"/>
                </w:tcPr>
                <w:p w14:paraId="0D5F8A12">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snapToGrid w:val="0"/>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1.929</w:t>
                  </w:r>
                </w:p>
              </w:tc>
              <w:tc>
                <w:tcPr>
                  <w:tcW w:w="618" w:type="pct"/>
                  <w:noWrap w:val="0"/>
                  <w:vAlign w:val="center"/>
                </w:tcPr>
                <w:p w14:paraId="586B90BF">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snapToGrid w:val="0"/>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0.00386</w:t>
                  </w:r>
                </w:p>
              </w:tc>
              <w:tc>
                <w:tcPr>
                  <w:tcW w:w="539" w:type="pct"/>
                  <w:vMerge w:val="restart"/>
                  <w:shd w:val="clear" w:color="auto" w:fill="auto"/>
                  <w:noWrap w:val="0"/>
                  <w:vAlign w:val="center"/>
                </w:tcPr>
                <w:p w14:paraId="70F8139D">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kern w:val="2"/>
                      <w:position w:val="0"/>
                      <w:sz w:val="21"/>
                      <w:szCs w:val="21"/>
                      <w:highlight w:val="none"/>
                      <w:lang w:val="en-US" w:eastAsia="zh-CN" w:bidi="ar-SA"/>
                    </w:rPr>
                  </w:pPr>
                  <w:r>
                    <w:rPr>
                      <w:rFonts w:hint="default" w:ascii="Times New Roman" w:hAnsi="Times New Roman" w:eastAsia="宋体" w:cs="Times New Roman"/>
                      <w:snapToGrid w:val="0"/>
                      <w:color w:val="auto"/>
                      <w:spacing w:val="0"/>
                      <w:position w:val="0"/>
                      <w:szCs w:val="21"/>
                      <w:highlight w:val="none"/>
                    </w:rPr>
                    <w:t>≤1h</w:t>
                  </w:r>
                </w:p>
              </w:tc>
              <w:tc>
                <w:tcPr>
                  <w:tcW w:w="564" w:type="pct"/>
                  <w:vMerge w:val="restart"/>
                  <w:shd w:val="clear" w:color="auto" w:fill="auto"/>
                  <w:noWrap w:val="0"/>
                  <w:vAlign w:val="center"/>
                </w:tcPr>
                <w:p w14:paraId="406FA4C4">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kern w:val="2"/>
                      <w:position w:val="0"/>
                      <w:sz w:val="21"/>
                      <w:szCs w:val="21"/>
                      <w:highlight w:val="none"/>
                      <w:lang w:val="en-US" w:eastAsia="zh-CN" w:bidi="ar-SA"/>
                    </w:rPr>
                  </w:pPr>
                  <w:r>
                    <w:rPr>
                      <w:rFonts w:hint="default" w:ascii="Times New Roman" w:hAnsi="Times New Roman" w:eastAsia="宋体" w:cs="Times New Roman"/>
                      <w:snapToGrid w:val="0"/>
                      <w:color w:val="auto"/>
                      <w:spacing w:val="0"/>
                      <w:position w:val="0"/>
                      <w:szCs w:val="21"/>
                      <w:highlight w:val="none"/>
                    </w:rPr>
                    <w:t>≤2次</w:t>
                  </w:r>
                </w:p>
              </w:tc>
              <w:tc>
                <w:tcPr>
                  <w:tcW w:w="436" w:type="pct"/>
                  <w:vMerge w:val="restart"/>
                  <w:shd w:val="clear" w:color="auto" w:fill="auto"/>
                  <w:noWrap w:val="0"/>
                  <w:vAlign w:val="center"/>
                </w:tcPr>
                <w:p w14:paraId="5661ECB7">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kern w:val="2"/>
                      <w:position w:val="0"/>
                      <w:sz w:val="21"/>
                      <w:szCs w:val="21"/>
                      <w:highlight w:val="none"/>
                      <w:lang w:val="en-US" w:eastAsia="zh-CN" w:bidi="ar-SA"/>
                    </w:rPr>
                  </w:pPr>
                  <w:r>
                    <w:rPr>
                      <w:rFonts w:hint="default" w:ascii="Times New Roman" w:hAnsi="Times New Roman" w:eastAsia="宋体" w:cs="Times New Roman"/>
                      <w:snapToGrid w:val="0"/>
                      <w:color w:val="auto"/>
                      <w:spacing w:val="0"/>
                      <w:position w:val="0"/>
                      <w:szCs w:val="21"/>
                      <w:highlight w:val="none"/>
                    </w:rPr>
                    <w:t>加强日常检修</w:t>
                  </w:r>
                </w:p>
              </w:tc>
            </w:tr>
            <w:tr w14:paraId="7486B4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41" w:hRule="atLeast"/>
              </w:trPr>
              <w:tc>
                <w:tcPr>
                  <w:tcW w:w="595" w:type="pct"/>
                  <w:vMerge w:val="continue"/>
                  <w:noWrap w:val="0"/>
                  <w:vAlign w:val="center"/>
                </w:tcPr>
                <w:p w14:paraId="5D917B5B">
                  <w:pPr>
                    <w:pStyle w:val="73"/>
                    <w:keepNext w:val="0"/>
                    <w:keepLines w:val="0"/>
                    <w:pageBreakBefore w:val="0"/>
                    <w:kinsoku/>
                    <w:wordWrap/>
                    <w:overflowPunct/>
                    <w:topLinePunct w:val="0"/>
                    <w:bidi w:val="0"/>
                    <w:adjustRightInd w:val="0"/>
                    <w:snapToGrid w:val="0"/>
                    <w:spacing w:beforeAutospacing="0" w:afterAutospacing="0" w:line="320" w:lineRule="exact"/>
                    <w:ind w:left="0" w:leftChars="0" w:right="0" w:rightChars="0"/>
                    <w:rPr>
                      <w:rFonts w:hint="default" w:ascii="Times New Roman" w:hAnsi="Times New Roman" w:eastAsia="宋体" w:cs="Times New Roman"/>
                      <w:snapToGrid w:val="0"/>
                      <w:color w:val="auto"/>
                      <w:spacing w:val="0"/>
                      <w:position w:val="0"/>
                      <w:szCs w:val="21"/>
                      <w:highlight w:val="none"/>
                    </w:rPr>
                  </w:pPr>
                </w:p>
              </w:tc>
              <w:tc>
                <w:tcPr>
                  <w:tcW w:w="973" w:type="pct"/>
                  <w:vMerge w:val="continue"/>
                  <w:noWrap w:val="0"/>
                  <w:vAlign w:val="center"/>
                </w:tcPr>
                <w:p w14:paraId="43CE0F7F">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p>
              </w:tc>
              <w:tc>
                <w:tcPr>
                  <w:tcW w:w="631" w:type="pct"/>
                  <w:noWrap w:val="0"/>
                  <w:vAlign w:val="center"/>
                </w:tcPr>
                <w:p w14:paraId="5D637E8F">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lang w:val="en-US" w:eastAsia="zh-CN"/>
                    </w:rPr>
                  </w:pPr>
                  <w:r>
                    <w:rPr>
                      <w:rFonts w:hint="default" w:ascii="Times New Roman" w:hAnsi="Times New Roman" w:cs="Times New Roman"/>
                      <w:snapToGrid w:val="0"/>
                      <w:color w:val="auto"/>
                      <w:spacing w:val="0"/>
                      <w:position w:val="0"/>
                      <w:szCs w:val="21"/>
                      <w:highlight w:val="none"/>
                      <w:lang w:val="en-US" w:eastAsia="zh-CN"/>
                    </w:rPr>
                    <w:t>硫化氢</w:t>
                  </w:r>
                </w:p>
              </w:tc>
              <w:tc>
                <w:tcPr>
                  <w:tcW w:w="639" w:type="pct"/>
                  <w:noWrap w:val="0"/>
                  <w:vAlign w:val="center"/>
                </w:tcPr>
                <w:p w14:paraId="744B31F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snapToGrid w:val="0"/>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0.075</w:t>
                  </w:r>
                </w:p>
              </w:tc>
              <w:tc>
                <w:tcPr>
                  <w:tcW w:w="618" w:type="pct"/>
                  <w:noWrap w:val="0"/>
                  <w:vAlign w:val="center"/>
                </w:tcPr>
                <w:p w14:paraId="0E403DD0">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snapToGrid w:val="0"/>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0.00015</w:t>
                  </w:r>
                </w:p>
              </w:tc>
              <w:tc>
                <w:tcPr>
                  <w:tcW w:w="539" w:type="pct"/>
                  <w:vMerge w:val="continue"/>
                  <w:noWrap w:val="0"/>
                  <w:vAlign w:val="center"/>
                </w:tcPr>
                <w:p w14:paraId="5C8E79AA">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p>
              </w:tc>
              <w:tc>
                <w:tcPr>
                  <w:tcW w:w="564" w:type="pct"/>
                  <w:vMerge w:val="continue"/>
                  <w:noWrap w:val="0"/>
                  <w:vAlign w:val="center"/>
                </w:tcPr>
                <w:p w14:paraId="2FA1CEC0">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p>
              </w:tc>
              <w:tc>
                <w:tcPr>
                  <w:tcW w:w="436" w:type="pct"/>
                  <w:vMerge w:val="continue"/>
                  <w:noWrap w:val="0"/>
                  <w:vAlign w:val="center"/>
                </w:tcPr>
                <w:p w14:paraId="46B37063">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snapToGrid w:val="0"/>
                      <w:color w:val="auto"/>
                      <w:spacing w:val="0"/>
                      <w:position w:val="0"/>
                      <w:szCs w:val="21"/>
                      <w:highlight w:val="none"/>
                    </w:rPr>
                  </w:pPr>
                </w:p>
              </w:tc>
            </w:tr>
          </w:tbl>
          <w:p w14:paraId="5EF4724F">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出现非正常工况情况时应及时停产、检修；同时应加强设备的日常维护管理，制定具体操作规程，落实到具体责任人。</w:t>
            </w:r>
          </w:p>
          <w:p w14:paraId="667444FC">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4、废气排放口基本情况</w:t>
            </w:r>
          </w:p>
          <w:p w14:paraId="27615F89">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本项目废气排放口基本情况见下表。</w:t>
            </w:r>
          </w:p>
          <w:p w14:paraId="16592E8C">
            <w:pPr>
              <w:pStyle w:val="104"/>
              <w:keepNext/>
              <w:keepLines w:val="0"/>
              <w:pageBreakBefore w:val="0"/>
              <w:widowControl w:val="0"/>
              <w:kinsoku/>
              <w:wordWrap/>
              <w:overflowPunct w:val="0"/>
              <w:topLinePunct w:val="0"/>
              <w:autoSpaceDE/>
              <w:autoSpaceDN/>
              <w:bidi w:val="0"/>
              <w:adjustRightInd w:val="0"/>
              <w:snapToGrid w:val="0"/>
              <w:spacing w:before="0" w:after="0" w:line="240" w:lineRule="auto"/>
              <w:ind w:left="0" w:firstLine="0" w:firstLineChars="0"/>
              <w:textAlignment w:val="auto"/>
              <w:outlineLvl w:val="9"/>
              <w:rPr>
                <w:rFonts w:hint="default" w:ascii="Times New Roman" w:hAnsi="Times New Roman" w:eastAsia="宋体" w:cs="Times New Roman"/>
                <w:color w:val="auto"/>
                <w:spacing w:val="0"/>
                <w:w w:val="100"/>
                <w:kern w:val="0"/>
                <w:position w:val="0"/>
                <w:sz w:val="24"/>
                <w:szCs w:val="24"/>
                <w:highlight w:val="none"/>
                <w:lang w:eastAsia="zh-CN"/>
              </w:rPr>
            </w:pPr>
            <w:bookmarkStart w:id="20" w:name="_Toc23988"/>
            <w:bookmarkStart w:id="21" w:name="_Toc25116"/>
            <w:bookmarkStart w:id="22" w:name="_Toc6178"/>
            <w:r>
              <w:rPr>
                <w:rFonts w:hint="default" w:ascii="Times New Roman" w:hAnsi="Times New Roman" w:eastAsia="宋体" w:cs="Times New Roman"/>
                <w:color w:val="auto"/>
                <w:spacing w:val="0"/>
                <w:w w:val="100"/>
                <w:kern w:val="0"/>
                <w:position w:val="0"/>
                <w:sz w:val="24"/>
                <w:szCs w:val="24"/>
                <w:highlight w:val="none"/>
                <w:lang w:eastAsia="zh-CN"/>
              </w:rPr>
              <w:t>表4-</w:t>
            </w:r>
            <w:r>
              <w:rPr>
                <w:rFonts w:hint="default" w:ascii="Times New Roman" w:hAnsi="Times New Roman" w:eastAsia="宋体" w:cs="Times New Roman"/>
                <w:color w:val="auto"/>
                <w:spacing w:val="0"/>
                <w:w w:val="100"/>
                <w:kern w:val="0"/>
                <w:position w:val="0"/>
                <w:sz w:val="24"/>
                <w:szCs w:val="24"/>
                <w:highlight w:val="none"/>
                <w:lang w:val="en-US" w:eastAsia="zh-CN"/>
              </w:rPr>
              <w:t>3</w:t>
            </w:r>
            <w:r>
              <w:rPr>
                <w:rFonts w:hint="default" w:ascii="Times New Roman" w:hAnsi="Times New Roman" w:eastAsia="宋体" w:cs="Times New Roman"/>
                <w:color w:val="auto"/>
                <w:spacing w:val="0"/>
                <w:w w:val="100"/>
                <w:kern w:val="0"/>
                <w:position w:val="0"/>
                <w:sz w:val="24"/>
                <w:szCs w:val="24"/>
                <w:highlight w:val="none"/>
                <w:lang w:eastAsia="zh-CN"/>
              </w:rPr>
              <w:t xml:space="preserve"> 大气排口基本情况表</w:t>
            </w:r>
            <w:bookmarkEnd w:id="20"/>
            <w:bookmarkEnd w:id="21"/>
            <w:bookmarkEnd w:id="22"/>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42"/>
              <w:gridCol w:w="720"/>
              <w:gridCol w:w="855"/>
              <w:gridCol w:w="665"/>
              <w:gridCol w:w="1090"/>
              <w:gridCol w:w="1111"/>
              <w:gridCol w:w="1059"/>
              <w:gridCol w:w="657"/>
              <w:gridCol w:w="726"/>
              <w:gridCol w:w="722"/>
            </w:tblGrid>
            <w:tr w14:paraId="7E2A0C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6" w:hRule="atLeast"/>
                <w:jc w:val="center"/>
              </w:trPr>
              <w:tc>
                <w:tcPr>
                  <w:tcW w:w="444" w:type="pct"/>
                  <w:vMerge w:val="restart"/>
                  <w:noWrap/>
                  <w:vAlign w:val="center"/>
                </w:tcPr>
                <w:p w14:paraId="5C9CA195">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val="en-US" w:eastAsia="zh-CN"/>
                    </w:rPr>
                  </w:pPr>
                  <w:r>
                    <w:rPr>
                      <w:rFonts w:hint="default" w:ascii="Times New Roman" w:hAnsi="Times New Roman" w:eastAsia="宋体" w:cs="Times New Roman"/>
                      <w:color w:val="auto"/>
                      <w:spacing w:val="0"/>
                      <w:w w:val="100"/>
                      <w:kern w:val="0"/>
                      <w:position w:val="0"/>
                      <w:highlight w:val="none"/>
                      <w:lang w:val="en-US" w:eastAsia="zh-CN"/>
                    </w:rPr>
                    <w:t>排放源</w:t>
                  </w:r>
                </w:p>
              </w:tc>
              <w:tc>
                <w:tcPr>
                  <w:tcW w:w="431" w:type="pct"/>
                  <w:vMerge w:val="restart"/>
                  <w:noWrap/>
                  <w:vAlign w:val="center"/>
                </w:tcPr>
                <w:p w14:paraId="10E8CF44">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r>
                    <w:rPr>
                      <w:rFonts w:hint="default" w:ascii="Times New Roman" w:hAnsi="Times New Roman" w:eastAsia="宋体" w:cs="Times New Roman"/>
                      <w:color w:val="auto"/>
                      <w:spacing w:val="0"/>
                      <w:w w:val="100"/>
                      <w:kern w:val="0"/>
                      <w:position w:val="0"/>
                      <w:highlight w:val="none"/>
                      <w:lang w:eastAsia="zh-CN"/>
                    </w:rPr>
                    <w:t>排放口编号</w:t>
                  </w:r>
                </w:p>
              </w:tc>
              <w:tc>
                <w:tcPr>
                  <w:tcW w:w="512" w:type="pct"/>
                  <w:vMerge w:val="restart"/>
                  <w:noWrap/>
                  <w:vAlign w:val="center"/>
                </w:tcPr>
                <w:p w14:paraId="58271796">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r>
                    <w:rPr>
                      <w:rFonts w:hint="default" w:ascii="Times New Roman" w:hAnsi="Times New Roman" w:eastAsia="宋体" w:cs="Times New Roman"/>
                      <w:color w:val="auto"/>
                      <w:spacing w:val="0"/>
                      <w:w w:val="100"/>
                      <w:kern w:val="0"/>
                      <w:position w:val="0"/>
                      <w:highlight w:val="none"/>
                      <w:lang w:eastAsia="zh-CN"/>
                    </w:rPr>
                    <w:t>排放口名称</w:t>
                  </w:r>
                </w:p>
              </w:tc>
              <w:tc>
                <w:tcPr>
                  <w:tcW w:w="398" w:type="pct"/>
                  <w:vMerge w:val="restart"/>
                  <w:noWrap/>
                  <w:vAlign w:val="center"/>
                </w:tcPr>
                <w:p w14:paraId="65F53B5E">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r>
                    <w:rPr>
                      <w:rFonts w:hint="default" w:ascii="Times New Roman" w:hAnsi="Times New Roman" w:eastAsia="宋体" w:cs="Times New Roman"/>
                      <w:color w:val="auto"/>
                      <w:spacing w:val="0"/>
                      <w:w w:val="100"/>
                      <w:kern w:val="0"/>
                      <w:position w:val="0"/>
                      <w:highlight w:val="none"/>
                      <w:lang w:eastAsia="zh-CN"/>
                    </w:rPr>
                    <w:t>排放口类型</w:t>
                  </w:r>
                </w:p>
              </w:tc>
              <w:tc>
                <w:tcPr>
                  <w:tcW w:w="652" w:type="pct"/>
                  <w:vMerge w:val="restart"/>
                  <w:noWrap/>
                  <w:vAlign w:val="center"/>
                </w:tcPr>
                <w:p w14:paraId="23477E24">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r>
                    <w:rPr>
                      <w:rFonts w:hint="default" w:ascii="Times New Roman" w:hAnsi="Times New Roman" w:eastAsia="宋体" w:cs="Times New Roman"/>
                      <w:color w:val="auto"/>
                      <w:spacing w:val="0"/>
                      <w:w w:val="100"/>
                      <w:kern w:val="0"/>
                      <w:position w:val="0"/>
                      <w:highlight w:val="none"/>
                      <w:lang w:eastAsia="zh-CN"/>
                    </w:rPr>
                    <w:t>污染物种类</w:t>
                  </w:r>
                </w:p>
              </w:tc>
              <w:tc>
                <w:tcPr>
                  <w:tcW w:w="1299" w:type="pct"/>
                  <w:gridSpan w:val="2"/>
                  <w:noWrap/>
                  <w:vAlign w:val="center"/>
                </w:tcPr>
                <w:p w14:paraId="00BD3C0E">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r>
                    <w:rPr>
                      <w:rFonts w:hint="default" w:ascii="Times New Roman" w:hAnsi="Times New Roman" w:eastAsia="宋体" w:cs="Times New Roman"/>
                      <w:color w:val="auto"/>
                      <w:spacing w:val="0"/>
                      <w:w w:val="100"/>
                      <w:kern w:val="0"/>
                      <w:position w:val="0"/>
                      <w:highlight w:val="none"/>
                      <w:lang w:eastAsia="zh-CN"/>
                    </w:rPr>
                    <w:t>排放口地理坐标</w:t>
                  </w:r>
                </w:p>
              </w:tc>
              <w:tc>
                <w:tcPr>
                  <w:tcW w:w="393" w:type="pct"/>
                  <w:vMerge w:val="restart"/>
                  <w:noWrap/>
                  <w:vAlign w:val="center"/>
                </w:tcPr>
                <w:p w14:paraId="6C304625">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r>
                    <w:rPr>
                      <w:rFonts w:hint="default" w:ascii="Times New Roman" w:hAnsi="Times New Roman" w:eastAsia="宋体" w:cs="Times New Roman"/>
                      <w:color w:val="auto"/>
                      <w:spacing w:val="0"/>
                      <w:w w:val="100"/>
                      <w:kern w:val="0"/>
                      <w:position w:val="0"/>
                      <w:highlight w:val="none"/>
                      <w:lang w:eastAsia="zh-CN"/>
                    </w:rPr>
                    <w:t>排气筒高度（m）</w:t>
                  </w:r>
                </w:p>
              </w:tc>
              <w:tc>
                <w:tcPr>
                  <w:tcW w:w="434" w:type="pct"/>
                  <w:vMerge w:val="restart"/>
                  <w:noWrap/>
                  <w:vAlign w:val="center"/>
                </w:tcPr>
                <w:p w14:paraId="2DE484E7">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r>
                    <w:rPr>
                      <w:rFonts w:hint="default" w:ascii="Times New Roman" w:hAnsi="Times New Roman" w:eastAsia="宋体" w:cs="Times New Roman"/>
                      <w:color w:val="auto"/>
                      <w:spacing w:val="0"/>
                      <w:w w:val="100"/>
                      <w:kern w:val="0"/>
                      <w:position w:val="0"/>
                      <w:highlight w:val="none"/>
                      <w:lang w:eastAsia="zh-CN"/>
                    </w:rPr>
                    <w:t>排气筒出口内径（m）</w:t>
                  </w:r>
                </w:p>
              </w:tc>
              <w:tc>
                <w:tcPr>
                  <w:tcW w:w="432" w:type="pct"/>
                  <w:vMerge w:val="restart"/>
                  <w:noWrap/>
                  <w:vAlign w:val="center"/>
                </w:tcPr>
                <w:p w14:paraId="322655B1">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r>
                    <w:rPr>
                      <w:rFonts w:hint="default" w:ascii="Times New Roman" w:hAnsi="Times New Roman" w:eastAsia="宋体" w:cs="Times New Roman"/>
                      <w:color w:val="auto"/>
                      <w:spacing w:val="0"/>
                      <w:w w:val="100"/>
                      <w:kern w:val="0"/>
                      <w:position w:val="0"/>
                      <w:highlight w:val="none"/>
                      <w:lang w:eastAsia="zh-CN"/>
                    </w:rPr>
                    <w:t>排气温度（℃）</w:t>
                  </w:r>
                </w:p>
              </w:tc>
            </w:tr>
            <w:tr w14:paraId="486752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2" w:hRule="atLeast"/>
                <w:jc w:val="center"/>
              </w:trPr>
              <w:tc>
                <w:tcPr>
                  <w:tcW w:w="444" w:type="pct"/>
                  <w:vMerge w:val="continue"/>
                  <w:noWrap/>
                  <w:vAlign w:val="center"/>
                </w:tcPr>
                <w:p w14:paraId="17127192">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p>
              </w:tc>
              <w:tc>
                <w:tcPr>
                  <w:tcW w:w="431" w:type="pct"/>
                  <w:vMerge w:val="continue"/>
                  <w:noWrap/>
                  <w:vAlign w:val="center"/>
                </w:tcPr>
                <w:p w14:paraId="1AA0AE4D">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p>
              </w:tc>
              <w:tc>
                <w:tcPr>
                  <w:tcW w:w="512" w:type="pct"/>
                  <w:vMerge w:val="continue"/>
                  <w:noWrap/>
                  <w:vAlign w:val="center"/>
                </w:tcPr>
                <w:p w14:paraId="2647C795">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p>
              </w:tc>
              <w:tc>
                <w:tcPr>
                  <w:tcW w:w="398" w:type="pct"/>
                  <w:vMerge w:val="continue"/>
                  <w:noWrap/>
                  <w:vAlign w:val="center"/>
                </w:tcPr>
                <w:p w14:paraId="3D9391E4">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p>
              </w:tc>
              <w:tc>
                <w:tcPr>
                  <w:tcW w:w="652" w:type="pct"/>
                  <w:vMerge w:val="continue"/>
                  <w:noWrap/>
                  <w:vAlign w:val="center"/>
                </w:tcPr>
                <w:p w14:paraId="46479061">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p>
              </w:tc>
              <w:tc>
                <w:tcPr>
                  <w:tcW w:w="665" w:type="pct"/>
                  <w:noWrap/>
                  <w:vAlign w:val="center"/>
                </w:tcPr>
                <w:p w14:paraId="092FF75B">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r>
                    <w:rPr>
                      <w:rFonts w:hint="default" w:ascii="Times New Roman" w:hAnsi="Times New Roman" w:eastAsia="宋体" w:cs="Times New Roman"/>
                      <w:color w:val="auto"/>
                      <w:spacing w:val="0"/>
                      <w:w w:val="100"/>
                      <w:kern w:val="0"/>
                      <w:position w:val="0"/>
                      <w:highlight w:val="none"/>
                      <w:lang w:eastAsia="zh-CN"/>
                    </w:rPr>
                    <w:t>经度</w:t>
                  </w:r>
                </w:p>
              </w:tc>
              <w:tc>
                <w:tcPr>
                  <w:tcW w:w="634" w:type="pct"/>
                  <w:noWrap/>
                  <w:vAlign w:val="center"/>
                </w:tcPr>
                <w:p w14:paraId="5A203B00">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r>
                    <w:rPr>
                      <w:rFonts w:hint="default" w:ascii="Times New Roman" w:hAnsi="Times New Roman" w:eastAsia="宋体" w:cs="Times New Roman"/>
                      <w:color w:val="auto"/>
                      <w:spacing w:val="0"/>
                      <w:w w:val="100"/>
                      <w:kern w:val="0"/>
                      <w:position w:val="0"/>
                      <w:highlight w:val="none"/>
                      <w:lang w:eastAsia="zh-CN"/>
                    </w:rPr>
                    <w:t>纬度</w:t>
                  </w:r>
                </w:p>
              </w:tc>
              <w:tc>
                <w:tcPr>
                  <w:tcW w:w="393" w:type="pct"/>
                  <w:vMerge w:val="continue"/>
                  <w:noWrap/>
                  <w:vAlign w:val="center"/>
                </w:tcPr>
                <w:p w14:paraId="023D7F1D">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p>
              </w:tc>
              <w:tc>
                <w:tcPr>
                  <w:tcW w:w="434" w:type="pct"/>
                  <w:vMerge w:val="continue"/>
                  <w:noWrap/>
                  <w:vAlign w:val="center"/>
                </w:tcPr>
                <w:p w14:paraId="71AD7841">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p>
              </w:tc>
              <w:tc>
                <w:tcPr>
                  <w:tcW w:w="432" w:type="pct"/>
                  <w:vMerge w:val="continue"/>
                  <w:noWrap/>
                  <w:vAlign w:val="center"/>
                </w:tcPr>
                <w:p w14:paraId="6E10771E">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p>
              </w:tc>
            </w:tr>
            <w:tr w14:paraId="5A48E3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73" w:hRule="atLeast"/>
                <w:jc w:val="center"/>
              </w:trPr>
              <w:tc>
                <w:tcPr>
                  <w:tcW w:w="444" w:type="pct"/>
                  <w:noWrap/>
                  <w:vAlign w:val="center"/>
                </w:tcPr>
                <w:p w14:paraId="146896AC">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val="en-US" w:eastAsia="zh-CN"/>
                    </w:rPr>
                  </w:pPr>
                  <w:r>
                    <w:rPr>
                      <w:rFonts w:hint="default" w:ascii="Times New Roman" w:hAnsi="Times New Roman" w:cs="Times New Roman"/>
                      <w:color w:val="auto"/>
                      <w:spacing w:val="0"/>
                      <w:w w:val="100"/>
                      <w:kern w:val="0"/>
                      <w:position w:val="0"/>
                      <w:highlight w:val="none"/>
                      <w:lang w:val="en-US" w:eastAsia="zh-CN"/>
                    </w:rPr>
                    <w:t>预处理车间</w:t>
                  </w:r>
                </w:p>
              </w:tc>
              <w:tc>
                <w:tcPr>
                  <w:tcW w:w="431" w:type="pct"/>
                  <w:noWrap/>
                  <w:vAlign w:val="center"/>
                </w:tcPr>
                <w:p w14:paraId="0C23AA93">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val="en-US" w:eastAsia="zh-CN"/>
                    </w:rPr>
                  </w:pPr>
                  <w:r>
                    <w:rPr>
                      <w:rFonts w:hint="default" w:ascii="Times New Roman" w:hAnsi="Times New Roman" w:cs="Times New Roman"/>
                      <w:color w:val="auto"/>
                      <w:spacing w:val="0"/>
                      <w:w w:val="100"/>
                      <w:kern w:val="0"/>
                      <w:position w:val="0"/>
                      <w:highlight w:val="none"/>
                      <w:lang w:val="en-US" w:eastAsia="zh-CN"/>
                    </w:rPr>
                    <w:t>DA001</w:t>
                  </w:r>
                </w:p>
              </w:tc>
              <w:tc>
                <w:tcPr>
                  <w:tcW w:w="512" w:type="pct"/>
                  <w:noWrap/>
                  <w:vAlign w:val="center"/>
                </w:tcPr>
                <w:p w14:paraId="019C4385">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r>
                    <w:rPr>
                      <w:rFonts w:hint="default" w:ascii="Times New Roman" w:hAnsi="Times New Roman" w:cs="Times New Roman"/>
                      <w:color w:val="auto"/>
                      <w:spacing w:val="0"/>
                      <w:w w:val="100"/>
                      <w:kern w:val="0"/>
                      <w:position w:val="0"/>
                      <w:highlight w:val="none"/>
                      <w:lang w:val="en-US" w:eastAsia="zh-CN"/>
                    </w:rPr>
                    <w:t>预处理车间排气筒</w:t>
                  </w:r>
                </w:p>
              </w:tc>
              <w:tc>
                <w:tcPr>
                  <w:tcW w:w="398" w:type="pct"/>
                  <w:noWrap/>
                  <w:vAlign w:val="center"/>
                </w:tcPr>
                <w:p w14:paraId="212DF2D1">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r>
                    <w:rPr>
                      <w:rFonts w:hint="default" w:ascii="Times New Roman" w:hAnsi="Times New Roman" w:eastAsia="宋体" w:cs="Times New Roman"/>
                      <w:color w:val="auto"/>
                      <w:spacing w:val="0"/>
                      <w:w w:val="100"/>
                      <w:kern w:val="0"/>
                      <w:position w:val="0"/>
                      <w:highlight w:val="none"/>
                      <w:lang w:eastAsia="zh-CN"/>
                    </w:rPr>
                    <w:t>一般排放口</w:t>
                  </w:r>
                </w:p>
              </w:tc>
              <w:tc>
                <w:tcPr>
                  <w:tcW w:w="652" w:type="pct"/>
                  <w:noWrap/>
                  <w:vAlign w:val="center"/>
                </w:tcPr>
                <w:p w14:paraId="752B216A">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val="en-US" w:eastAsia="zh-CN"/>
                    </w:rPr>
                  </w:pPr>
                  <w:r>
                    <w:rPr>
                      <w:rFonts w:hint="default" w:ascii="Times New Roman" w:hAnsi="Times New Roman" w:cs="Times New Roman"/>
                      <w:color w:val="auto"/>
                      <w:spacing w:val="0"/>
                      <w:w w:val="100"/>
                      <w:kern w:val="0"/>
                      <w:position w:val="0"/>
                      <w:highlight w:val="none"/>
                      <w:lang w:val="en-US" w:eastAsia="zh-CN"/>
                    </w:rPr>
                    <w:t>颗粒物</w:t>
                  </w:r>
                </w:p>
              </w:tc>
              <w:tc>
                <w:tcPr>
                  <w:tcW w:w="665" w:type="pct"/>
                  <w:noWrap/>
                  <w:vAlign w:val="center"/>
                </w:tcPr>
                <w:p w14:paraId="6C1AFF08">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val="en-US" w:eastAsia="zh-CN"/>
                    </w:rPr>
                  </w:pPr>
                  <w:r>
                    <w:rPr>
                      <w:rFonts w:hint="default" w:ascii="Times New Roman" w:hAnsi="Times New Roman" w:eastAsia="宋体" w:cs="Times New Roman"/>
                      <w:color w:val="auto"/>
                      <w:spacing w:val="0"/>
                      <w:w w:val="100"/>
                      <w:kern w:val="0"/>
                      <w:position w:val="0"/>
                      <w:highlight w:val="none"/>
                      <w:lang w:val="en-US" w:eastAsia="zh-CN"/>
                    </w:rPr>
                    <w:t>130.723658</w:t>
                  </w:r>
                </w:p>
              </w:tc>
              <w:tc>
                <w:tcPr>
                  <w:tcW w:w="634" w:type="pct"/>
                  <w:noWrap/>
                  <w:vAlign w:val="center"/>
                </w:tcPr>
                <w:p w14:paraId="0BF25E46">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val="en-US" w:eastAsia="zh-CN"/>
                    </w:rPr>
                  </w:pPr>
                  <w:r>
                    <w:rPr>
                      <w:rFonts w:hint="default" w:ascii="Times New Roman" w:hAnsi="Times New Roman" w:eastAsia="宋体" w:cs="Times New Roman"/>
                      <w:color w:val="auto"/>
                      <w:spacing w:val="0"/>
                      <w:w w:val="100"/>
                      <w:kern w:val="0"/>
                      <w:position w:val="0"/>
                      <w:highlight w:val="none"/>
                      <w:lang w:val="en-US" w:eastAsia="zh-CN"/>
                    </w:rPr>
                    <w:t>47.000158</w:t>
                  </w:r>
                </w:p>
              </w:tc>
              <w:tc>
                <w:tcPr>
                  <w:tcW w:w="393" w:type="pct"/>
                  <w:shd w:val="clear" w:color="auto" w:fill="auto"/>
                  <w:noWrap/>
                  <w:vAlign w:val="center"/>
                </w:tcPr>
                <w:p w14:paraId="0CACED57">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sz w:val="21"/>
                      <w:szCs w:val="24"/>
                      <w:highlight w:val="none"/>
                      <w:lang w:val="en-US" w:eastAsia="zh-CN" w:bidi="ar-SA"/>
                    </w:rPr>
                  </w:pPr>
                  <w:r>
                    <w:rPr>
                      <w:rFonts w:hint="default" w:ascii="Times New Roman" w:hAnsi="Times New Roman" w:cs="Times New Roman"/>
                      <w:color w:val="auto"/>
                      <w:spacing w:val="0"/>
                      <w:w w:val="100"/>
                      <w:kern w:val="0"/>
                      <w:position w:val="0"/>
                      <w:sz w:val="21"/>
                      <w:szCs w:val="24"/>
                      <w:highlight w:val="none"/>
                      <w:lang w:val="en-US" w:eastAsia="zh-CN" w:bidi="ar-SA"/>
                    </w:rPr>
                    <w:t>15</w:t>
                  </w:r>
                </w:p>
              </w:tc>
              <w:tc>
                <w:tcPr>
                  <w:tcW w:w="434" w:type="pct"/>
                  <w:shd w:val="clear" w:color="auto" w:fill="auto"/>
                  <w:noWrap/>
                  <w:vAlign w:val="center"/>
                </w:tcPr>
                <w:p w14:paraId="3F99E6F4">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sz w:val="21"/>
                      <w:szCs w:val="24"/>
                      <w:highlight w:val="none"/>
                      <w:lang w:val="en-US" w:eastAsia="zh-CN" w:bidi="ar-SA"/>
                    </w:rPr>
                  </w:pPr>
                  <w:r>
                    <w:rPr>
                      <w:rFonts w:hint="default" w:ascii="Times New Roman" w:hAnsi="Times New Roman" w:eastAsia="宋体" w:cs="Times New Roman"/>
                      <w:color w:val="auto"/>
                      <w:spacing w:val="0"/>
                      <w:w w:val="100"/>
                      <w:kern w:val="0"/>
                      <w:position w:val="0"/>
                      <w:highlight w:val="none"/>
                      <w:lang w:val="en-US" w:eastAsia="zh-CN"/>
                    </w:rPr>
                    <w:t>0.6</w:t>
                  </w:r>
                </w:p>
              </w:tc>
              <w:tc>
                <w:tcPr>
                  <w:tcW w:w="432" w:type="pct"/>
                  <w:shd w:val="clear" w:color="auto" w:fill="auto"/>
                  <w:noWrap/>
                  <w:vAlign w:val="center"/>
                </w:tcPr>
                <w:p w14:paraId="5A9D48DC">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sz w:val="21"/>
                      <w:szCs w:val="24"/>
                      <w:highlight w:val="none"/>
                      <w:lang w:val="en-US" w:eastAsia="zh-CN" w:bidi="ar-SA"/>
                    </w:rPr>
                  </w:pPr>
                  <w:r>
                    <w:rPr>
                      <w:rFonts w:hint="default" w:ascii="Times New Roman" w:hAnsi="Times New Roman" w:eastAsia="宋体" w:cs="Times New Roman"/>
                      <w:color w:val="auto"/>
                      <w:spacing w:val="0"/>
                      <w:w w:val="100"/>
                      <w:kern w:val="0"/>
                      <w:position w:val="0"/>
                      <w:highlight w:val="none"/>
                      <w:lang w:eastAsia="zh-CN"/>
                    </w:rPr>
                    <w:t>20</w:t>
                  </w:r>
                </w:p>
              </w:tc>
            </w:tr>
            <w:tr w14:paraId="54A135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73" w:hRule="atLeast"/>
                <w:jc w:val="center"/>
              </w:trPr>
              <w:tc>
                <w:tcPr>
                  <w:tcW w:w="444" w:type="pct"/>
                  <w:noWrap/>
                  <w:vAlign w:val="center"/>
                </w:tcPr>
                <w:p w14:paraId="2C5F45A0">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val="en-US" w:eastAsia="zh-CN"/>
                    </w:rPr>
                  </w:pPr>
                  <w:r>
                    <w:rPr>
                      <w:rFonts w:hint="default" w:ascii="Times New Roman" w:hAnsi="Times New Roman" w:cs="Times New Roman"/>
                      <w:color w:val="auto"/>
                      <w:spacing w:val="0"/>
                      <w:w w:val="100"/>
                      <w:kern w:val="0"/>
                      <w:position w:val="0"/>
                      <w:highlight w:val="none"/>
                      <w:lang w:val="en-US" w:eastAsia="zh-CN"/>
                    </w:rPr>
                    <w:t>浸出车间</w:t>
                  </w:r>
                </w:p>
              </w:tc>
              <w:tc>
                <w:tcPr>
                  <w:tcW w:w="431" w:type="pct"/>
                  <w:noWrap/>
                  <w:vAlign w:val="center"/>
                </w:tcPr>
                <w:p w14:paraId="71D137FE">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cs="Times New Roman"/>
                      <w:color w:val="auto"/>
                      <w:spacing w:val="0"/>
                      <w:w w:val="100"/>
                      <w:kern w:val="0"/>
                      <w:position w:val="0"/>
                      <w:highlight w:val="none"/>
                      <w:lang w:val="en-US" w:eastAsia="zh-CN"/>
                    </w:rPr>
                  </w:pPr>
                  <w:r>
                    <w:rPr>
                      <w:rFonts w:hint="default" w:ascii="Times New Roman" w:hAnsi="Times New Roman" w:cs="Times New Roman"/>
                      <w:color w:val="auto"/>
                      <w:spacing w:val="0"/>
                      <w:w w:val="100"/>
                      <w:kern w:val="0"/>
                      <w:position w:val="0"/>
                      <w:highlight w:val="none"/>
                      <w:lang w:val="en-US" w:eastAsia="zh-CN"/>
                    </w:rPr>
                    <w:t>DA002</w:t>
                  </w:r>
                </w:p>
              </w:tc>
              <w:tc>
                <w:tcPr>
                  <w:tcW w:w="512" w:type="pct"/>
                  <w:noWrap/>
                  <w:vAlign w:val="center"/>
                </w:tcPr>
                <w:p w14:paraId="293A8A4B">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r>
                    <w:rPr>
                      <w:rFonts w:hint="default" w:ascii="Times New Roman" w:hAnsi="Times New Roman" w:cs="Times New Roman"/>
                      <w:color w:val="auto"/>
                      <w:spacing w:val="0"/>
                      <w:w w:val="100"/>
                      <w:kern w:val="0"/>
                      <w:position w:val="0"/>
                      <w:highlight w:val="none"/>
                      <w:lang w:val="en-US" w:eastAsia="zh-CN"/>
                    </w:rPr>
                    <w:t>浸出车间排气筒</w:t>
                  </w:r>
                </w:p>
              </w:tc>
              <w:tc>
                <w:tcPr>
                  <w:tcW w:w="398" w:type="pct"/>
                  <w:noWrap/>
                  <w:vAlign w:val="center"/>
                </w:tcPr>
                <w:p w14:paraId="49597C2E">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r>
                    <w:rPr>
                      <w:rFonts w:hint="default" w:ascii="Times New Roman" w:hAnsi="Times New Roman" w:eastAsia="宋体" w:cs="Times New Roman"/>
                      <w:color w:val="auto"/>
                      <w:spacing w:val="0"/>
                      <w:w w:val="100"/>
                      <w:kern w:val="0"/>
                      <w:position w:val="0"/>
                      <w:highlight w:val="none"/>
                      <w:lang w:eastAsia="zh-CN"/>
                    </w:rPr>
                    <w:t>一般排放口</w:t>
                  </w:r>
                </w:p>
              </w:tc>
              <w:tc>
                <w:tcPr>
                  <w:tcW w:w="652" w:type="pct"/>
                  <w:noWrap/>
                  <w:vAlign w:val="center"/>
                </w:tcPr>
                <w:p w14:paraId="75BD40E9">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r>
                    <w:rPr>
                      <w:rFonts w:hint="default" w:ascii="Times New Roman" w:hAnsi="Times New Roman" w:eastAsia="宋体" w:cs="Times New Roman"/>
                      <w:color w:val="auto"/>
                      <w:spacing w:val="0"/>
                      <w:w w:val="100"/>
                      <w:kern w:val="0"/>
                      <w:position w:val="0"/>
                      <w:highlight w:val="none"/>
                      <w:lang w:eastAsia="zh-CN"/>
                    </w:rPr>
                    <w:t>非甲烷总烃</w:t>
                  </w:r>
                </w:p>
              </w:tc>
              <w:tc>
                <w:tcPr>
                  <w:tcW w:w="665" w:type="pct"/>
                  <w:noWrap/>
                  <w:vAlign w:val="center"/>
                </w:tcPr>
                <w:p w14:paraId="2E664CD0">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val="en-US" w:eastAsia="zh-CN"/>
                    </w:rPr>
                  </w:pPr>
                  <w:r>
                    <w:rPr>
                      <w:rFonts w:hint="default" w:ascii="Times New Roman" w:hAnsi="Times New Roman" w:eastAsia="宋体" w:cs="Times New Roman"/>
                      <w:color w:val="auto"/>
                      <w:spacing w:val="0"/>
                      <w:w w:val="100"/>
                      <w:kern w:val="0"/>
                      <w:position w:val="0"/>
                      <w:highlight w:val="none"/>
                      <w:lang w:val="en-US" w:eastAsia="zh-CN"/>
                    </w:rPr>
                    <w:t>130.724237</w:t>
                  </w:r>
                </w:p>
              </w:tc>
              <w:tc>
                <w:tcPr>
                  <w:tcW w:w="634" w:type="pct"/>
                  <w:noWrap/>
                  <w:vAlign w:val="center"/>
                </w:tcPr>
                <w:p w14:paraId="6DFC8A1B">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val="en-US" w:eastAsia="zh-CN"/>
                    </w:rPr>
                  </w:pPr>
                  <w:r>
                    <w:rPr>
                      <w:rFonts w:hint="default" w:ascii="Times New Roman" w:hAnsi="Times New Roman" w:eastAsia="宋体" w:cs="Times New Roman"/>
                      <w:color w:val="auto"/>
                      <w:spacing w:val="0"/>
                      <w:w w:val="100"/>
                      <w:kern w:val="0"/>
                      <w:position w:val="0"/>
                      <w:highlight w:val="none"/>
                      <w:lang w:val="en-US" w:eastAsia="zh-CN"/>
                    </w:rPr>
                    <w:t>47.000246</w:t>
                  </w:r>
                </w:p>
              </w:tc>
              <w:tc>
                <w:tcPr>
                  <w:tcW w:w="393" w:type="pct"/>
                  <w:noWrap/>
                  <w:vAlign w:val="center"/>
                </w:tcPr>
                <w:p w14:paraId="1BB17AE4">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val="en-US" w:eastAsia="zh-CN"/>
                    </w:rPr>
                  </w:pPr>
                  <w:r>
                    <w:rPr>
                      <w:rFonts w:hint="default" w:ascii="Times New Roman" w:hAnsi="Times New Roman" w:cs="Times New Roman"/>
                      <w:color w:val="auto"/>
                      <w:spacing w:val="0"/>
                      <w:w w:val="100"/>
                      <w:kern w:val="0"/>
                      <w:position w:val="0"/>
                      <w:highlight w:val="none"/>
                      <w:lang w:val="en-US" w:eastAsia="zh-CN"/>
                    </w:rPr>
                    <w:t>15</w:t>
                  </w:r>
                </w:p>
              </w:tc>
              <w:tc>
                <w:tcPr>
                  <w:tcW w:w="434" w:type="pct"/>
                  <w:noWrap/>
                  <w:vAlign w:val="center"/>
                </w:tcPr>
                <w:p w14:paraId="4BDB5E0F">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val="en-US" w:eastAsia="zh-CN"/>
                    </w:rPr>
                  </w:pPr>
                  <w:r>
                    <w:rPr>
                      <w:rFonts w:hint="default" w:ascii="Times New Roman" w:hAnsi="Times New Roman" w:eastAsia="宋体" w:cs="Times New Roman"/>
                      <w:color w:val="auto"/>
                      <w:spacing w:val="0"/>
                      <w:w w:val="100"/>
                      <w:kern w:val="0"/>
                      <w:position w:val="0"/>
                      <w:highlight w:val="none"/>
                      <w:lang w:val="en-US" w:eastAsia="zh-CN"/>
                    </w:rPr>
                    <w:t>0.6</w:t>
                  </w:r>
                </w:p>
              </w:tc>
              <w:tc>
                <w:tcPr>
                  <w:tcW w:w="432" w:type="pct"/>
                  <w:noWrap/>
                  <w:vAlign w:val="center"/>
                </w:tcPr>
                <w:p w14:paraId="19FDE52B">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r>
                    <w:rPr>
                      <w:rFonts w:hint="default" w:ascii="Times New Roman" w:hAnsi="Times New Roman" w:eastAsia="宋体" w:cs="Times New Roman"/>
                      <w:color w:val="auto"/>
                      <w:spacing w:val="0"/>
                      <w:w w:val="100"/>
                      <w:kern w:val="0"/>
                      <w:position w:val="0"/>
                      <w:highlight w:val="none"/>
                      <w:lang w:eastAsia="zh-CN"/>
                    </w:rPr>
                    <w:t>20</w:t>
                  </w:r>
                </w:p>
              </w:tc>
            </w:tr>
            <w:tr w14:paraId="6EB0EA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73" w:hRule="atLeast"/>
                <w:jc w:val="center"/>
              </w:trPr>
              <w:tc>
                <w:tcPr>
                  <w:tcW w:w="444" w:type="pct"/>
                  <w:noWrap/>
                  <w:vAlign w:val="center"/>
                </w:tcPr>
                <w:p w14:paraId="1356ECE7">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val="en-US" w:eastAsia="zh-CN"/>
                    </w:rPr>
                  </w:pPr>
                  <w:r>
                    <w:rPr>
                      <w:rFonts w:hint="default" w:ascii="Times New Roman" w:hAnsi="Times New Roman" w:cs="Times New Roman"/>
                      <w:color w:val="auto"/>
                      <w:spacing w:val="0"/>
                      <w:w w:val="100"/>
                      <w:kern w:val="0"/>
                      <w:position w:val="0"/>
                      <w:highlight w:val="none"/>
                      <w:lang w:val="en-US" w:eastAsia="zh-CN"/>
                    </w:rPr>
                    <w:t>精炼车间</w:t>
                  </w:r>
                </w:p>
              </w:tc>
              <w:tc>
                <w:tcPr>
                  <w:tcW w:w="431" w:type="pct"/>
                  <w:noWrap/>
                  <w:vAlign w:val="center"/>
                </w:tcPr>
                <w:p w14:paraId="3DF04A50">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cs="Times New Roman"/>
                      <w:color w:val="auto"/>
                      <w:spacing w:val="0"/>
                      <w:w w:val="100"/>
                      <w:kern w:val="0"/>
                      <w:position w:val="0"/>
                      <w:highlight w:val="none"/>
                      <w:lang w:val="en-US" w:eastAsia="zh-CN"/>
                    </w:rPr>
                  </w:pPr>
                  <w:r>
                    <w:rPr>
                      <w:rFonts w:hint="default" w:ascii="Times New Roman" w:hAnsi="Times New Roman" w:cs="Times New Roman"/>
                      <w:color w:val="auto"/>
                      <w:spacing w:val="0"/>
                      <w:w w:val="100"/>
                      <w:kern w:val="0"/>
                      <w:position w:val="0"/>
                      <w:highlight w:val="none"/>
                      <w:lang w:val="en-US" w:eastAsia="zh-CN"/>
                    </w:rPr>
                    <w:t>DA003</w:t>
                  </w:r>
                </w:p>
              </w:tc>
              <w:tc>
                <w:tcPr>
                  <w:tcW w:w="512" w:type="pct"/>
                  <w:noWrap/>
                  <w:vAlign w:val="center"/>
                </w:tcPr>
                <w:p w14:paraId="0C64BF57">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r>
                    <w:rPr>
                      <w:rFonts w:hint="default" w:ascii="Times New Roman" w:hAnsi="Times New Roman" w:cs="Times New Roman"/>
                      <w:color w:val="auto"/>
                      <w:spacing w:val="0"/>
                      <w:w w:val="100"/>
                      <w:kern w:val="0"/>
                      <w:position w:val="0"/>
                      <w:highlight w:val="none"/>
                      <w:lang w:val="en-US" w:eastAsia="zh-CN"/>
                    </w:rPr>
                    <w:t>精炼车间排气筒</w:t>
                  </w:r>
                </w:p>
              </w:tc>
              <w:tc>
                <w:tcPr>
                  <w:tcW w:w="398" w:type="pct"/>
                  <w:noWrap/>
                  <w:vAlign w:val="center"/>
                </w:tcPr>
                <w:p w14:paraId="734BEC99">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r>
                    <w:rPr>
                      <w:rFonts w:hint="default" w:ascii="Times New Roman" w:hAnsi="Times New Roman" w:eastAsia="宋体" w:cs="Times New Roman"/>
                      <w:color w:val="auto"/>
                      <w:spacing w:val="0"/>
                      <w:w w:val="100"/>
                      <w:kern w:val="0"/>
                      <w:position w:val="0"/>
                      <w:highlight w:val="none"/>
                      <w:lang w:eastAsia="zh-CN"/>
                    </w:rPr>
                    <w:t>一般排放口</w:t>
                  </w:r>
                </w:p>
              </w:tc>
              <w:tc>
                <w:tcPr>
                  <w:tcW w:w="652" w:type="pct"/>
                  <w:noWrap/>
                  <w:vAlign w:val="center"/>
                </w:tcPr>
                <w:p w14:paraId="1C31A606">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r>
                    <w:rPr>
                      <w:rFonts w:hint="default" w:ascii="Times New Roman" w:hAnsi="Times New Roman" w:eastAsia="宋体" w:cs="Times New Roman"/>
                      <w:color w:val="auto"/>
                      <w:spacing w:val="0"/>
                      <w:w w:val="100"/>
                      <w:kern w:val="0"/>
                      <w:position w:val="0"/>
                      <w:highlight w:val="none"/>
                      <w:lang w:eastAsia="zh-CN"/>
                    </w:rPr>
                    <w:t>非甲烷总烃</w:t>
                  </w:r>
                </w:p>
              </w:tc>
              <w:tc>
                <w:tcPr>
                  <w:tcW w:w="665" w:type="pct"/>
                  <w:noWrap/>
                  <w:vAlign w:val="center"/>
                </w:tcPr>
                <w:p w14:paraId="52F25749">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val="en-US" w:eastAsia="zh-CN"/>
                    </w:rPr>
                  </w:pPr>
                  <w:r>
                    <w:rPr>
                      <w:rFonts w:hint="default" w:ascii="Times New Roman" w:hAnsi="Times New Roman" w:eastAsia="宋体" w:cs="Times New Roman"/>
                      <w:color w:val="auto"/>
                      <w:spacing w:val="0"/>
                      <w:w w:val="100"/>
                      <w:kern w:val="0"/>
                      <w:position w:val="0"/>
                      <w:highlight w:val="none"/>
                      <w:lang w:val="en-US" w:eastAsia="zh-CN"/>
                    </w:rPr>
                    <w:t>130.723706</w:t>
                  </w:r>
                </w:p>
              </w:tc>
              <w:tc>
                <w:tcPr>
                  <w:tcW w:w="634" w:type="pct"/>
                  <w:noWrap/>
                  <w:vAlign w:val="center"/>
                </w:tcPr>
                <w:p w14:paraId="643B78D9">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val="en-US" w:eastAsia="zh-CN"/>
                    </w:rPr>
                  </w:pPr>
                  <w:r>
                    <w:rPr>
                      <w:rFonts w:hint="default" w:ascii="Times New Roman" w:hAnsi="Times New Roman" w:eastAsia="宋体" w:cs="Times New Roman"/>
                      <w:color w:val="auto"/>
                      <w:spacing w:val="0"/>
                      <w:w w:val="100"/>
                      <w:kern w:val="0"/>
                      <w:position w:val="0"/>
                      <w:highlight w:val="none"/>
                      <w:lang w:val="en-US" w:eastAsia="zh-CN"/>
                    </w:rPr>
                    <w:t>46.999796</w:t>
                  </w:r>
                </w:p>
              </w:tc>
              <w:tc>
                <w:tcPr>
                  <w:tcW w:w="393" w:type="pct"/>
                  <w:noWrap/>
                  <w:vAlign w:val="center"/>
                </w:tcPr>
                <w:p w14:paraId="1503D3D9">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val="en-US" w:eastAsia="zh-CN"/>
                    </w:rPr>
                  </w:pPr>
                  <w:r>
                    <w:rPr>
                      <w:rFonts w:hint="default" w:ascii="Times New Roman" w:hAnsi="Times New Roman" w:cs="Times New Roman"/>
                      <w:color w:val="auto"/>
                      <w:spacing w:val="0"/>
                      <w:w w:val="100"/>
                      <w:kern w:val="0"/>
                      <w:position w:val="0"/>
                      <w:highlight w:val="none"/>
                      <w:lang w:val="en-US" w:eastAsia="zh-CN"/>
                    </w:rPr>
                    <w:t>15</w:t>
                  </w:r>
                </w:p>
              </w:tc>
              <w:tc>
                <w:tcPr>
                  <w:tcW w:w="434" w:type="pct"/>
                  <w:noWrap/>
                  <w:vAlign w:val="center"/>
                </w:tcPr>
                <w:p w14:paraId="7C6760B4">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val="en-US" w:eastAsia="zh-CN"/>
                    </w:rPr>
                  </w:pPr>
                  <w:r>
                    <w:rPr>
                      <w:rFonts w:hint="default" w:ascii="Times New Roman" w:hAnsi="Times New Roman" w:eastAsia="宋体" w:cs="Times New Roman"/>
                      <w:color w:val="auto"/>
                      <w:spacing w:val="0"/>
                      <w:w w:val="100"/>
                      <w:kern w:val="0"/>
                      <w:position w:val="0"/>
                      <w:highlight w:val="none"/>
                      <w:lang w:val="en-US" w:eastAsia="zh-CN"/>
                    </w:rPr>
                    <w:t>0.4</w:t>
                  </w:r>
                </w:p>
              </w:tc>
              <w:tc>
                <w:tcPr>
                  <w:tcW w:w="432" w:type="pct"/>
                  <w:noWrap/>
                  <w:vAlign w:val="center"/>
                </w:tcPr>
                <w:p w14:paraId="764E2CD4">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r>
                    <w:rPr>
                      <w:rFonts w:hint="default" w:ascii="Times New Roman" w:hAnsi="Times New Roman" w:eastAsia="宋体" w:cs="Times New Roman"/>
                      <w:color w:val="auto"/>
                      <w:spacing w:val="0"/>
                      <w:w w:val="100"/>
                      <w:kern w:val="0"/>
                      <w:position w:val="0"/>
                      <w:highlight w:val="none"/>
                      <w:lang w:eastAsia="zh-CN"/>
                    </w:rPr>
                    <w:t>20</w:t>
                  </w:r>
                </w:p>
              </w:tc>
            </w:tr>
            <w:tr w14:paraId="7FC109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73" w:hRule="atLeast"/>
                <w:jc w:val="center"/>
              </w:trPr>
              <w:tc>
                <w:tcPr>
                  <w:tcW w:w="444" w:type="pct"/>
                  <w:noWrap/>
                  <w:vAlign w:val="center"/>
                </w:tcPr>
                <w:p w14:paraId="09544B30">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val="en-US" w:eastAsia="zh-CN"/>
                    </w:rPr>
                  </w:pPr>
                  <w:r>
                    <w:rPr>
                      <w:rFonts w:hint="default" w:ascii="Times New Roman" w:hAnsi="Times New Roman" w:cs="Times New Roman"/>
                      <w:color w:val="auto"/>
                      <w:spacing w:val="0"/>
                      <w:w w:val="100"/>
                      <w:kern w:val="0"/>
                      <w:position w:val="0"/>
                      <w:highlight w:val="none"/>
                      <w:lang w:val="en-US" w:eastAsia="zh-CN"/>
                    </w:rPr>
                    <w:t>生物质锅炉</w:t>
                  </w:r>
                </w:p>
              </w:tc>
              <w:tc>
                <w:tcPr>
                  <w:tcW w:w="431" w:type="pct"/>
                  <w:noWrap/>
                  <w:vAlign w:val="center"/>
                </w:tcPr>
                <w:p w14:paraId="6322C57C">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cs="Times New Roman"/>
                      <w:color w:val="auto"/>
                      <w:spacing w:val="0"/>
                      <w:w w:val="100"/>
                      <w:kern w:val="0"/>
                      <w:position w:val="0"/>
                      <w:highlight w:val="none"/>
                      <w:lang w:val="en-US" w:eastAsia="zh-CN"/>
                    </w:rPr>
                  </w:pPr>
                  <w:r>
                    <w:rPr>
                      <w:rFonts w:hint="default" w:ascii="Times New Roman" w:hAnsi="Times New Roman" w:cs="Times New Roman"/>
                      <w:color w:val="auto"/>
                      <w:spacing w:val="0"/>
                      <w:w w:val="100"/>
                      <w:kern w:val="0"/>
                      <w:position w:val="0"/>
                      <w:highlight w:val="none"/>
                      <w:lang w:val="en-US" w:eastAsia="zh-CN"/>
                    </w:rPr>
                    <w:t>DA004</w:t>
                  </w:r>
                </w:p>
              </w:tc>
              <w:tc>
                <w:tcPr>
                  <w:tcW w:w="512" w:type="pct"/>
                  <w:noWrap/>
                  <w:vAlign w:val="center"/>
                </w:tcPr>
                <w:p w14:paraId="4844546A">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r>
                    <w:rPr>
                      <w:rFonts w:hint="default" w:ascii="Times New Roman" w:hAnsi="Times New Roman" w:cs="Times New Roman"/>
                      <w:color w:val="auto"/>
                      <w:spacing w:val="0"/>
                      <w:w w:val="100"/>
                      <w:kern w:val="0"/>
                      <w:position w:val="0"/>
                      <w:highlight w:val="none"/>
                      <w:lang w:val="en-US" w:eastAsia="zh-CN"/>
                    </w:rPr>
                    <w:t>生物质锅炉烟囱</w:t>
                  </w:r>
                </w:p>
              </w:tc>
              <w:tc>
                <w:tcPr>
                  <w:tcW w:w="398" w:type="pct"/>
                  <w:noWrap/>
                  <w:vAlign w:val="center"/>
                </w:tcPr>
                <w:p w14:paraId="60FA940C">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r>
                    <w:rPr>
                      <w:rFonts w:hint="default" w:ascii="Times New Roman" w:hAnsi="Times New Roman" w:eastAsia="宋体" w:cs="Times New Roman"/>
                      <w:color w:val="auto"/>
                      <w:spacing w:val="0"/>
                      <w:w w:val="100"/>
                      <w:kern w:val="0"/>
                      <w:position w:val="0"/>
                      <w:highlight w:val="none"/>
                      <w:lang w:eastAsia="zh-CN"/>
                    </w:rPr>
                    <w:t>一般排放口</w:t>
                  </w:r>
                </w:p>
              </w:tc>
              <w:tc>
                <w:tcPr>
                  <w:tcW w:w="652" w:type="pct"/>
                  <w:noWrap/>
                  <w:vAlign w:val="center"/>
                </w:tcPr>
                <w:p w14:paraId="6174C228">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val="en-US" w:eastAsia="zh-CN"/>
                    </w:rPr>
                  </w:pPr>
                  <w:r>
                    <w:rPr>
                      <w:rFonts w:hint="default" w:ascii="Times New Roman" w:hAnsi="Times New Roman" w:eastAsia="宋体" w:cs="Times New Roman"/>
                      <w:color w:val="auto"/>
                      <w:spacing w:val="0"/>
                      <w:w w:val="100"/>
                      <w:kern w:val="0"/>
                      <w:position w:val="0"/>
                      <w:highlight w:val="none"/>
                      <w:lang w:val="en-US" w:eastAsia="zh-CN"/>
                    </w:rPr>
                    <w:t>颗粒物、二氧化硫、氮氧化物</w:t>
                  </w:r>
                </w:p>
              </w:tc>
              <w:tc>
                <w:tcPr>
                  <w:tcW w:w="665" w:type="pct"/>
                  <w:noWrap/>
                  <w:vAlign w:val="center"/>
                </w:tcPr>
                <w:p w14:paraId="48259374">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val="en-US" w:eastAsia="zh-CN"/>
                    </w:rPr>
                  </w:pPr>
                  <w:r>
                    <w:rPr>
                      <w:rFonts w:hint="default" w:ascii="Times New Roman" w:hAnsi="Times New Roman" w:eastAsia="宋体" w:cs="Times New Roman"/>
                      <w:color w:val="auto"/>
                      <w:spacing w:val="0"/>
                      <w:w w:val="100"/>
                      <w:kern w:val="0"/>
                      <w:position w:val="0"/>
                      <w:highlight w:val="none"/>
                      <w:lang w:val="en-US" w:eastAsia="zh-CN"/>
                    </w:rPr>
                    <w:t>130.723647</w:t>
                  </w:r>
                </w:p>
              </w:tc>
              <w:tc>
                <w:tcPr>
                  <w:tcW w:w="634" w:type="pct"/>
                  <w:noWrap/>
                  <w:vAlign w:val="center"/>
                </w:tcPr>
                <w:p w14:paraId="207F97FB">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val="en-US" w:eastAsia="zh-CN"/>
                    </w:rPr>
                  </w:pPr>
                  <w:r>
                    <w:rPr>
                      <w:rFonts w:hint="default" w:ascii="Times New Roman" w:hAnsi="Times New Roman" w:eastAsia="宋体" w:cs="Times New Roman"/>
                      <w:color w:val="auto"/>
                      <w:spacing w:val="0"/>
                      <w:w w:val="100"/>
                      <w:kern w:val="0"/>
                      <w:position w:val="0"/>
                      <w:highlight w:val="none"/>
                      <w:lang w:val="en-US" w:eastAsia="zh-CN"/>
                    </w:rPr>
                    <w:t>46.999562</w:t>
                  </w:r>
                </w:p>
              </w:tc>
              <w:tc>
                <w:tcPr>
                  <w:tcW w:w="393" w:type="pct"/>
                  <w:noWrap/>
                  <w:vAlign w:val="center"/>
                </w:tcPr>
                <w:p w14:paraId="5FBD7881">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val="en-US" w:eastAsia="zh-CN"/>
                    </w:rPr>
                  </w:pPr>
                  <w:r>
                    <w:rPr>
                      <w:rFonts w:hint="default" w:ascii="Times New Roman" w:hAnsi="Times New Roman" w:eastAsia="宋体" w:cs="Times New Roman"/>
                      <w:color w:val="auto"/>
                      <w:spacing w:val="0"/>
                      <w:w w:val="100"/>
                      <w:kern w:val="0"/>
                      <w:position w:val="0"/>
                      <w:highlight w:val="none"/>
                      <w:lang w:val="en-US" w:eastAsia="zh-CN"/>
                    </w:rPr>
                    <w:t>40</w:t>
                  </w:r>
                </w:p>
              </w:tc>
              <w:tc>
                <w:tcPr>
                  <w:tcW w:w="434" w:type="pct"/>
                  <w:noWrap/>
                  <w:vAlign w:val="center"/>
                </w:tcPr>
                <w:p w14:paraId="51116AE4">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val="en-US" w:eastAsia="zh-CN"/>
                    </w:rPr>
                  </w:pPr>
                  <w:r>
                    <w:rPr>
                      <w:rFonts w:hint="default" w:ascii="Times New Roman" w:hAnsi="Times New Roman" w:eastAsia="宋体" w:cs="Times New Roman"/>
                      <w:color w:val="auto"/>
                      <w:spacing w:val="0"/>
                      <w:w w:val="100"/>
                      <w:kern w:val="0"/>
                      <w:position w:val="0"/>
                      <w:highlight w:val="none"/>
                      <w:lang w:val="en-US" w:eastAsia="zh-CN"/>
                    </w:rPr>
                    <w:t>1</w:t>
                  </w:r>
                </w:p>
              </w:tc>
              <w:tc>
                <w:tcPr>
                  <w:tcW w:w="432" w:type="pct"/>
                  <w:noWrap/>
                  <w:vAlign w:val="center"/>
                </w:tcPr>
                <w:p w14:paraId="6BC34697">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highlight w:val="none"/>
                      <w:lang w:eastAsia="zh-CN"/>
                    </w:rPr>
                  </w:pPr>
                  <w:r>
                    <w:rPr>
                      <w:rFonts w:hint="default" w:ascii="Times New Roman" w:hAnsi="Times New Roman" w:eastAsia="宋体" w:cs="Times New Roman"/>
                      <w:color w:val="auto"/>
                      <w:spacing w:val="0"/>
                      <w:w w:val="100"/>
                      <w:kern w:val="0"/>
                      <w:position w:val="0"/>
                      <w:highlight w:val="none"/>
                      <w:lang w:val="en-US" w:eastAsia="zh-CN"/>
                    </w:rPr>
                    <w:t>1</w:t>
                  </w:r>
                  <w:r>
                    <w:rPr>
                      <w:rFonts w:hint="default" w:ascii="Times New Roman" w:hAnsi="Times New Roman" w:eastAsia="宋体" w:cs="Times New Roman"/>
                      <w:color w:val="auto"/>
                      <w:spacing w:val="0"/>
                      <w:w w:val="100"/>
                      <w:kern w:val="0"/>
                      <w:position w:val="0"/>
                      <w:highlight w:val="none"/>
                      <w:lang w:eastAsia="zh-CN"/>
                    </w:rPr>
                    <w:t>20</w:t>
                  </w:r>
                </w:p>
              </w:tc>
            </w:tr>
            <w:tr w14:paraId="113356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73" w:hRule="atLeast"/>
                <w:jc w:val="center"/>
              </w:trPr>
              <w:tc>
                <w:tcPr>
                  <w:tcW w:w="444" w:type="pct"/>
                  <w:noWrap/>
                  <w:vAlign w:val="center"/>
                </w:tcPr>
                <w:p w14:paraId="1143D980">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cs="Times New Roman"/>
                      <w:color w:val="auto"/>
                      <w:spacing w:val="0"/>
                      <w:w w:val="100"/>
                      <w:kern w:val="0"/>
                      <w:position w:val="0"/>
                      <w:highlight w:val="none"/>
                      <w:lang w:val="en-US" w:eastAsia="zh-CN"/>
                    </w:rPr>
                  </w:pPr>
                  <w:r>
                    <w:rPr>
                      <w:rFonts w:hint="default" w:ascii="Times New Roman" w:hAnsi="Times New Roman" w:cs="Times New Roman"/>
                      <w:color w:val="auto"/>
                      <w:spacing w:val="0"/>
                      <w:w w:val="100"/>
                      <w:kern w:val="0"/>
                      <w:position w:val="0"/>
                      <w:highlight w:val="none"/>
                      <w:lang w:val="en-US" w:eastAsia="zh-CN"/>
                    </w:rPr>
                    <w:t>污水处理站</w:t>
                  </w:r>
                </w:p>
              </w:tc>
              <w:tc>
                <w:tcPr>
                  <w:tcW w:w="431" w:type="pct"/>
                  <w:noWrap/>
                  <w:vAlign w:val="center"/>
                </w:tcPr>
                <w:p w14:paraId="25577D2A">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cs="Times New Roman"/>
                      <w:color w:val="auto"/>
                      <w:spacing w:val="0"/>
                      <w:w w:val="100"/>
                      <w:kern w:val="0"/>
                      <w:position w:val="0"/>
                      <w:highlight w:val="none"/>
                      <w:lang w:val="en-US" w:eastAsia="zh-CN"/>
                    </w:rPr>
                  </w:pPr>
                  <w:r>
                    <w:rPr>
                      <w:rFonts w:hint="default" w:ascii="Times New Roman" w:hAnsi="Times New Roman" w:cs="Times New Roman"/>
                      <w:color w:val="auto"/>
                      <w:spacing w:val="0"/>
                      <w:w w:val="100"/>
                      <w:kern w:val="0"/>
                      <w:position w:val="0"/>
                      <w:highlight w:val="none"/>
                      <w:lang w:val="en-US" w:eastAsia="zh-CN"/>
                    </w:rPr>
                    <w:t>DA005</w:t>
                  </w:r>
                </w:p>
              </w:tc>
              <w:tc>
                <w:tcPr>
                  <w:tcW w:w="512" w:type="pct"/>
                  <w:shd w:val="clear" w:color="auto" w:fill="auto"/>
                  <w:noWrap/>
                  <w:vAlign w:val="center"/>
                </w:tcPr>
                <w:p w14:paraId="5A62EF1F">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sz w:val="21"/>
                      <w:szCs w:val="24"/>
                      <w:highlight w:val="none"/>
                      <w:lang w:val="en-US" w:eastAsia="zh-CN" w:bidi="ar-SA"/>
                    </w:rPr>
                  </w:pPr>
                  <w:r>
                    <w:rPr>
                      <w:rFonts w:hint="default" w:ascii="Times New Roman" w:hAnsi="Times New Roman" w:cs="Times New Roman"/>
                      <w:color w:val="auto"/>
                      <w:spacing w:val="0"/>
                      <w:w w:val="100"/>
                      <w:kern w:val="0"/>
                      <w:position w:val="0"/>
                      <w:highlight w:val="none"/>
                      <w:lang w:val="en-US" w:eastAsia="zh-CN"/>
                    </w:rPr>
                    <w:t>污水处理站排气筒</w:t>
                  </w:r>
                </w:p>
              </w:tc>
              <w:tc>
                <w:tcPr>
                  <w:tcW w:w="398" w:type="pct"/>
                  <w:shd w:val="clear" w:color="auto" w:fill="auto"/>
                  <w:noWrap/>
                  <w:vAlign w:val="center"/>
                </w:tcPr>
                <w:p w14:paraId="7E0E1D15">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sz w:val="21"/>
                      <w:szCs w:val="24"/>
                      <w:highlight w:val="none"/>
                      <w:lang w:val="en-US" w:eastAsia="zh-CN" w:bidi="ar-SA"/>
                    </w:rPr>
                  </w:pPr>
                  <w:r>
                    <w:rPr>
                      <w:rFonts w:hint="default" w:ascii="Times New Roman" w:hAnsi="Times New Roman" w:eastAsia="宋体" w:cs="Times New Roman"/>
                      <w:color w:val="auto"/>
                      <w:spacing w:val="0"/>
                      <w:w w:val="100"/>
                      <w:kern w:val="0"/>
                      <w:position w:val="0"/>
                      <w:highlight w:val="none"/>
                      <w:lang w:eastAsia="zh-CN"/>
                    </w:rPr>
                    <w:t>一般排放口</w:t>
                  </w:r>
                </w:p>
              </w:tc>
              <w:tc>
                <w:tcPr>
                  <w:tcW w:w="652" w:type="pct"/>
                  <w:shd w:val="clear" w:color="auto" w:fill="auto"/>
                  <w:noWrap/>
                  <w:vAlign w:val="center"/>
                </w:tcPr>
                <w:p w14:paraId="1828A556">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sz w:val="21"/>
                      <w:szCs w:val="24"/>
                      <w:highlight w:val="none"/>
                      <w:lang w:val="en-US" w:eastAsia="zh-CN" w:bidi="ar-SA"/>
                    </w:rPr>
                  </w:pPr>
                  <w:r>
                    <w:rPr>
                      <w:rFonts w:hint="default" w:ascii="Times New Roman" w:hAnsi="Times New Roman" w:eastAsia="宋体" w:cs="Times New Roman"/>
                      <w:color w:val="auto"/>
                      <w:spacing w:val="0"/>
                      <w:w w:val="100"/>
                      <w:kern w:val="0"/>
                      <w:position w:val="0"/>
                      <w:highlight w:val="none"/>
                      <w:lang w:val="en-US" w:eastAsia="zh-CN"/>
                    </w:rPr>
                    <w:t>氨、硫化氢、臭气浓度</w:t>
                  </w:r>
                </w:p>
              </w:tc>
              <w:tc>
                <w:tcPr>
                  <w:tcW w:w="665" w:type="pct"/>
                  <w:shd w:val="clear" w:color="auto" w:fill="auto"/>
                  <w:noWrap/>
                  <w:vAlign w:val="center"/>
                </w:tcPr>
                <w:p w14:paraId="3009BDA4">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sz w:val="21"/>
                      <w:szCs w:val="24"/>
                      <w:highlight w:val="none"/>
                      <w:lang w:val="en-US" w:eastAsia="zh-CN" w:bidi="ar-SA"/>
                    </w:rPr>
                  </w:pPr>
                  <w:r>
                    <w:rPr>
                      <w:rFonts w:hint="default" w:ascii="Times New Roman" w:hAnsi="Times New Roman" w:eastAsia="宋体" w:cs="Times New Roman"/>
                      <w:color w:val="auto"/>
                      <w:spacing w:val="0"/>
                      <w:w w:val="100"/>
                      <w:kern w:val="0"/>
                      <w:position w:val="0"/>
                      <w:sz w:val="21"/>
                      <w:szCs w:val="24"/>
                      <w:highlight w:val="none"/>
                      <w:lang w:val="en-US" w:eastAsia="zh-CN" w:bidi="ar-SA"/>
                    </w:rPr>
                    <w:t>130.723996</w:t>
                  </w:r>
                </w:p>
              </w:tc>
              <w:tc>
                <w:tcPr>
                  <w:tcW w:w="634" w:type="pct"/>
                  <w:shd w:val="clear" w:color="auto" w:fill="auto"/>
                  <w:noWrap/>
                  <w:vAlign w:val="center"/>
                </w:tcPr>
                <w:p w14:paraId="1207FE22">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sz w:val="21"/>
                      <w:szCs w:val="24"/>
                      <w:highlight w:val="none"/>
                      <w:lang w:val="en-US" w:eastAsia="zh-CN" w:bidi="ar-SA"/>
                    </w:rPr>
                  </w:pPr>
                  <w:r>
                    <w:rPr>
                      <w:rFonts w:hint="default" w:ascii="Times New Roman" w:hAnsi="Times New Roman" w:eastAsia="宋体" w:cs="Times New Roman"/>
                      <w:color w:val="auto"/>
                      <w:spacing w:val="0"/>
                      <w:w w:val="100"/>
                      <w:kern w:val="0"/>
                      <w:position w:val="0"/>
                      <w:sz w:val="21"/>
                      <w:szCs w:val="24"/>
                      <w:highlight w:val="none"/>
                      <w:lang w:val="en-US" w:eastAsia="zh-CN" w:bidi="ar-SA"/>
                    </w:rPr>
                    <w:t>46.999727</w:t>
                  </w:r>
                </w:p>
              </w:tc>
              <w:tc>
                <w:tcPr>
                  <w:tcW w:w="393" w:type="pct"/>
                  <w:shd w:val="clear" w:color="auto" w:fill="auto"/>
                  <w:noWrap/>
                  <w:vAlign w:val="center"/>
                </w:tcPr>
                <w:p w14:paraId="379E8259">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sz w:val="21"/>
                      <w:szCs w:val="24"/>
                      <w:highlight w:val="none"/>
                      <w:lang w:val="en-US" w:eastAsia="zh-CN" w:bidi="ar-SA"/>
                    </w:rPr>
                  </w:pPr>
                  <w:r>
                    <w:rPr>
                      <w:rFonts w:hint="default" w:ascii="Times New Roman" w:hAnsi="Times New Roman" w:eastAsia="宋体" w:cs="Times New Roman"/>
                      <w:color w:val="auto"/>
                      <w:spacing w:val="0"/>
                      <w:w w:val="100"/>
                      <w:kern w:val="0"/>
                      <w:position w:val="0"/>
                      <w:highlight w:val="none"/>
                      <w:lang w:val="en-US" w:eastAsia="zh-CN"/>
                    </w:rPr>
                    <w:t>15</w:t>
                  </w:r>
                </w:p>
              </w:tc>
              <w:tc>
                <w:tcPr>
                  <w:tcW w:w="434" w:type="pct"/>
                  <w:shd w:val="clear" w:color="auto" w:fill="auto"/>
                  <w:noWrap/>
                  <w:vAlign w:val="center"/>
                </w:tcPr>
                <w:p w14:paraId="3D23C8AC">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sz w:val="21"/>
                      <w:szCs w:val="24"/>
                      <w:highlight w:val="none"/>
                      <w:lang w:val="en-US" w:eastAsia="zh-CN" w:bidi="ar-SA"/>
                    </w:rPr>
                  </w:pPr>
                  <w:r>
                    <w:rPr>
                      <w:rFonts w:hint="default" w:ascii="Times New Roman" w:hAnsi="Times New Roman" w:eastAsia="宋体" w:cs="Times New Roman"/>
                      <w:color w:val="auto"/>
                      <w:spacing w:val="0"/>
                      <w:w w:val="100"/>
                      <w:kern w:val="0"/>
                      <w:position w:val="0"/>
                      <w:highlight w:val="none"/>
                      <w:lang w:val="en-US" w:eastAsia="zh-CN"/>
                    </w:rPr>
                    <w:t>0.4</w:t>
                  </w:r>
                </w:p>
              </w:tc>
              <w:tc>
                <w:tcPr>
                  <w:tcW w:w="432" w:type="pct"/>
                  <w:shd w:val="clear" w:color="auto" w:fill="auto"/>
                  <w:noWrap/>
                  <w:vAlign w:val="center"/>
                </w:tcPr>
                <w:p w14:paraId="5EDA6517">
                  <w:pPr>
                    <w:keepLines w:val="0"/>
                    <w:pageBreakBefore w:val="0"/>
                    <w:widowControl w:val="0"/>
                    <w:wordWrap/>
                    <w:overflowPunct w:val="0"/>
                    <w:topLinePunct w:val="0"/>
                    <w:autoSpaceDE/>
                    <w:autoSpaceDN/>
                    <w:bidi w:val="0"/>
                    <w:adjustRightInd w:val="0"/>
                    <w:snapToGrid w:val="0"/>
                    <w:jc w:val="center"/>
                    <w:outlineLvl w:val="9"/>
                    <w:rPr>
                      <w:rFonts w:hint="default" w:ascii="Times New Roman" w:hAnsi="Times New Roman" w:eastAsia="宋体" w:cs="Times New Roman"/>
                      <w:color w:val="auto"/>
                      <w:spacing w:val="0"/>
                      <w:w w:val="100"/>
                      <w:kern w:val="0"/>
                      <w:position w:val="0"/>
                      <w:sz w:val="21"/>
                      <w:szCs w:val="24"/>
                      <w:highlight w:val="none"/>
                      <w:lang w:val="en-US" w:eastAsia="zh-CN" w:bidi="ar-SA"/>
                    </w:rPr>
                  </w:pPr>
                  <w:r>
                    <w:rPr>
                      <w:rFonts w:hint="default" w:ascii="Times New Roman" w:hAnsi="Times New Roman" w:eastAsia="宋体" w:cs="Times New Roman"/>
                      <w:color w:val="auto"/>
                      <w:spacing w:val="0"/>
                      <w:w w:val="100"/>
                      <w:kern w:val="0"/>
                      <w:position w:val="0"/>
                      <w:highlight w:val="none"/>
                      <w:lang w:eastAsia="zh-CN"/>
                    </w:rPr>
                    <w:t>20</w:t>
                  </w:r>
                </w:p>
              </w:tc>
            </w:tr>
          </w:tbl>
          <w:p w14:paraId="03883B60">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eastAsia="zh-CN"/>
              </w:rPr>
            </w:pP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1</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排气筒达标</w:t>
            </w:r>
            <w:r>
              <w:rPr>
                <w:rFonts w:hint="default" w:ascii="Times New Roman" w:hAnsi="Times New Roman" w:cs="Times New Roman"/>
                <w:color w:val="auto"/>
                <w:spacing w:val="0"/>
                <w:position w:val="0"/>
                <w:sz w:val="24"/>
                <w:szCs w:val="24"/>
                <w:highlight w:val="none"/>
                <w:lang w:val="en-US" w:eastAsia="zh-CN"/>
              </w:rPr>
              <w:t>高度符合性分析</w:t>
            </w:r>
          </w:p>
          <w:p w14:paraId="0A9C9677">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①</w:t>
            </w:r>
            <w:r>
              <w:rPr>
                <w:rFonts w:hint="default" w:ascii="Times New Roman" w:hAnsi="Times New Roman" w:eastAsia="宋体" w:cs="Times New Roman"/>
                <w:color w:val="auto"/>
                <w:spacing w:val="0"/>
                <w:position w:val="0"/>
                <w:sz w:val="24"/>
                <w:szCs w:val="24"/>
                <w:highlight w:val="none"/>
              </w:rPr>
              <w:t>本项目运营期生产过程中产生的有组织颗粒物、非甲烷总烃排放浓度及速率执行《大气污染物综合排放标准》（GB16297-1996）表2中二级标准，根据标准中</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7.1排气筒高度除须遵守表列排放速率标准值外，还应高出周围200m半径范围内的建筑5m以上，不能达到该要求的排气筒，应按其高度对应的表列排放速率标准严格执行50%</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。本项目预处理车间排气筒（DA001）高度</w:t>
            </w:r>
            <w:r>
              <w:rPr>
                <w:rFonts w:hint="default" w:ascii="Times New Roman" w:hAnsi="Times New Roman" w:cs="Times New Roman"/>
                <w:color w:val="auto"/>
                <w:spacing w:val="0"/>
                <w:position w:val="0"/>
                <w:sz w:val="24"/>
                <w:szCs w:val="24"/>
                <w:highlight w:val="none"/>
                <w:lang w:val="en-US" w:eastAsia="zh-CN"/>
              </w:rPr>
              <w:t>15</w:t>
            </w:r>
            <w:r>
              <w:rPr>
                <w:rFonts w:hint="default" w:ascii="Times New Roman" w:hAnsi="Times New Roman" w:eastAsia="宋体" w:cs="Times New Roman"/>
                <w:color w:val="auto"/>
                <w:spacing w:val="0"/>
                <w:position w:val="0"/>
                <w:sz w:val="24"/>
                <w:szCs w:val="24"/>
                <w:highlight w:val="none"/>
              </w:rPr>
              <w:t>m，</w:t>
            </w:r>
            <w:r>
              <w:rPr>
                <w:rFonts w:hint="default" w:ascii="Times New Roman" w:hAnsi="Times New Roman" w:cs="Times New Roman"/>
                <w:color w:val="auto"/>
                <w:spacing w:val="0"/>
                <w:position w:val="0"/>
                <w:sz w:val="24"/>
                <w:szCs w:val="24"/>
                <w:highlight w:val="none"/>
                <w:lang w:val="en-US" w:eastAsia="zh-CN"/>
              </w:rPr>
              <w:t>浸出车间</w:t>
            </w:r>
            <w:r>
              <w:rPr>
                <w:rFonts w:hint="default" w:ascii="Times New Roman" w:hAnsi="Times New Roman" w:eastAsia="宋体" w:cs="Times New Roman"/>
                <w:color w:val="auto"/>
                <w:spacing w:val="0"/>
                <w:position w:val="0"/>
                <w:sz w:val="24"/>
                <w:szCs w:val="24"/>
                <w:highlight w:val="none"/>
              </w:rPr>
              <w:t>排气筒（DA00</w:t>
            </w:r>
            <w:r>
              <w:rPr>
                <w:rFonts w:hint="default" w:ascii="Times New Roman" w:hAnsi="Times New Roman" w:cs="Times New Roman"/>
                <w:color w:val="auto"/>
                <w:spacing w:val="0"/>
                <w:position w:val="0"/>
                <w:sz w:val="24"/>
                <w:szCs w:val="24"/>
                <w:highlight w:val="none"/>
                <w:lang w:val="en-US" w:eastAsia="zh-CN"/>
              </w:rPr>
              <w:t>2</w:t>
            </w:r>
            <w:r>
              <w:rPr>
                <w:rFonts w:hint="default" w:ascii="Times New Roman" w:hAnsi="Times New Roman" w:eastAsia="宋体" w:cs="Times New Roman"/>
                <w:color w:val="auto"/>
                <w:spacing w:val="0"/>
                <w:position w:val="0"/>
                <w:sz w:val="24"/>
                <w:szCs w:val="24"/>
                <w:highlight w:val="none"/>
              </w:rPr>
              <w:t>）高度</w:t>
            </w:r>
            <w:r>
              <w:rPr>
                <w:rFonts w:hint="default" w:ascii="Times New Roman" w:hAnsi="Times New Roman" w:cs="Times New Roman"/>
                <w:color w:val="auto"/>
                <w:spacing w:val="0"/>
                <w:position w:val="0"/>
                <w:sz w:val="24"/>
                <w:szCs w:val="24"/>
                <w:highlight w:val="none"/>
                <w:lang w:val="en-US" w:eastAsia="zh-CN"/>
              </w:rPr>
              <w:t>15</w:t>
            </w:r>
            <w:r>
              <w:rPr>
                <w:rFonts w:hint="default" w:ascii="Times New Roman" w:hAnsi="Times New Roman" w:eastAsia="宋体" w:cs="Times New Roman"/>
                <w:color w:val="auto"/>
                <w:spacing w:val="0"/>
                <w:position w:val="0"/>
                <w:sz w:val="24"/>
                <w:szCs w:val="24"/>
                <w:highlight w:val="none"/>
              </w:rPr>
              <w:t>m，精炼车间排气筒（DA00</w:t>
            </w:r>
            <w:r>
              <w:rPr>
                <w:rFonts w:hint="default" w:ascii="Times New Roman" w:hAnsi="Times New Roman" w:cs="Times New Roman"/>
                <w:color w:val="auto"/>
                <w:spacing w:val="0"/>
                <w:position w:val="0"/>
                <w:sz w:val="24"/>
                <w:szCs w:val="24"/>
                <w:highlight w:val="none"/>
                <w:lang w:val="en-US" w:eastAsia="zh-CN"/>
              </w:rPr>
              <w:t>3</w:t>
            </w:r>
            <w:r>
              <w:rPr>
                <w:rFonts w:hint="default" w:ascii="Times New Roman" w:hAnsi="Times New Roman" w:eastAsia="宋体" w:cs="Times New Roman"/>
                <w:color w:val="auto"/>
                <w:spacing w:val="0"/>
                <w:position w:val="0"/>
                <w:sz w:val="24"/>
                <w:szCs w:val="24"/>
                <w:highlight w:val="none"/>
              </w:rPr>
              <w:t>）高度</w:t>
            </w:r>
            <w:r>
              <w:rPr>
                <w:rFonts w:hint="default" w:ascii="Times New Roman" w:hAnsi="Times New Roman" w:cs="Times New Roman"/>
                <w:color w:val="auto"/>
                <w:spacing w:val="0"/>
                <w:position w:val="0"/>
                <w:sz w:val="24"/>
                <w:szCs w:val="24"/>
                <w:highlight w:val="none"/>
                <w:lang w:val="en-US" w:eastAsia="zh-CN"/>
              </w:rPr>
              <w:t>15</w:t>
            </w:r>
            <w:r>
              <w:rPr>
                <w:rFonts w:hint="default" w:ascii="Times New Roman" w:hAnsi="Times New Roman" w:eastAsia="宋体" w:cs="Times New Roman"/>
                <w:color w:val="auto"/>
                <w:spacing w:val="0"/>
                <w:position w:val="0"/>
                <w:sz w:val="24"/>
                <w:szCs w:val="24"/>
                <w:highlight w:val="none"/>
              </w:rPr>
              <w:t>m，</w:t>
            </w:r>
            <w:r>
              <w:rPr>
                <w:rFonts w:hint="default" w:ascii="Times New Roman" w:hAnsi="Times New Roman" w:cs="Times New Roman"/>
                <w:color w:val="auto"/>
                <w:spacing w:val="0"/>
                <w:position w:val="0"/>
                <w:sz w:val="24"/>
                <w:szCs w:val="24"/>
                <w:highlight w:val="none"/>
                <w:lang w:val="en-US" w:eastAsia="zh-CN"/>
              </w:rPr>
              <w:t>未能高出</w:t>
            </w:r>
            <w:r>
              <w:rPr>
                <w:rFonts w:hint="default" w:ascii="Times New Roman" w:hAnsi="Times New Roman" w:eastAsia="宋体" w:cs="Times New Roman"/>
                <w:color w:val="auto"/>
                <w:spacing w:val="0"/>
                <w:position w:val="0"/>
                <w:sz w:val="24"/>
                <w:szCs w:val="24"/>
                <w:highlight w:val="none"/>
              </w:rPr>
              <w:t>本项目周围200m半径范围内的最高建筑（</w:t>
            </w:r>
            <w:r>
              <w:rPr>
                <w:rFonts w:hint="default" w:ascii="Times New Roman" w:hAnsi="Times New Roman" w:cs="Times New Roman"/>
                <w:color w:val="auto"/>
                <w:spacing w:val="0"/>
                <w:position w:val="0"/>
                <w:sz w:val="24"/>
                <w:szCs w:val="24"/>
                <w:highlight w:val="none"/>
                <w:lang w:val="en-US" w:eastAsia="zh-CN"/>
              </w:rPr>
              <w:t>锅炉房</w:t>
            </w:r>
            <w:r>
              <w:rPr>
                <w:rFonts w:hint="default" w:ascii="Times New Roman" w:hAnsi="Times New Roman" w:eastAsia="宋体" w:cs="Times New Roman"/>
                <w:color w:val="auto"/>
                <w:spacing w:val="0"/>
                <w:position w:val="0"/>
                <w:sz w:val="24"/>
                <w:szCs w:val="24"/>
                <w:highlight w:val="none"/>
              </w:rPr>
              <w:t>，高度</w:t>
            </w:r>
            <w:r>
              <w:rPr>
                <w:rFonts w:hint="default" w:ascii="Times New Roman" w:hAnsi="Times New Roman" w:cs="Times New Roman"/>
                <w:color w:val="auto"/>
                <w:spacing w:val="0"/>
                <w:position w:val="0"/>
                <w:sz w:val="24"/>
                <w:szCs w:val="24"/>
                <w:highlight w:val="none"/>
                <w:lang w:val="en-US" w:eastAsia="zh-CN"/>
              </w:rPr>
              <w:t>22</w:t>
            </w:r>
            <w:r>
              <w:rPr>
                <w:rFonts w:hint="default" w:ascii="Times New Roman" w:hAnsi="Times New Roman" w:eastAsia="宋体" w:cs="Times New Roman"/>
                <w:color w:val="auto"/>
                <w:spacing w:val="0"/>
                <w:position w:val="0"/>
                <w:sz w:val="24"/>
                <w:szCs w:val="24"/>
                <w:highlight w:val="none"/>
              </w:rPr>
              <w:t>m）5m以上，因此本项目</w:t>
            </w:r>
            <w:r>
              <w:rPr>
                <w:rFonts w:hint="default" w:ascii="Times New Roman" w:hAnsi="Times New Roman" w:cs="Times New Roman"/>
                <w:color w:val="auto"/>
                <w:spacing w:val="0"/>
                <w:position w:val="0"/>
                <w:sz w:val="24"/>
                <w:szCs w:val="24"/>
                <w:highlight w:val="none"/>
                <w:lang w:val="en-US" w:eastAsia="zh-CN"/>
              </w:rPr>
              <w:t>预处理车间、浸出车间、精炼车间排气筒废气排放速率按</w:t>
            </w:r>
            <w:r>
              <w:rPr>
                <w:rFonts w:hint="default" w:ascii="Times New Roman" w:hAnsi="Times New Roman" w:eastAsia="宋体" w:cs="Times New Roman"/>
                <w:color w:val="auto"/>
                <w:spacing w:val="0"/>
                <w:position w:val="0"/>
                <w:sz w:val="24"/>
                <w:szCs w:val="24"/>
                <w:highlight w:val="none"/>
              </w:rPr>
              <w:t>标准值严格50%执行，确定最高允许排放速率值。</w:t>
            </w:r>
          </w:p>
          <w:p w14:paraId="1E7C63A8">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②本项目运营期锅炉废气执行《锅炉大气污染物排放标准》（GB13271-2014）中表2燃煤锅炉标准，本项目锅炉烟囱（DA004）高40m，烟囱高度满足《锅炉大气污染物排放标准》（GB13271-2014）燃煤锅炉房烟囱最低允许高度及“新建锅炉房烟囱高出200米范围内最高建筑物3米”要求。本项目锅炉房烟囱周围半径200米范围内最高建筑为锅炉房，高度22m，满足高出最高建筑物3m以上要求。</w:t>
            </w:r>
          </w:p>
          <w:p w14:paraId="531BF038">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③本项目运营期污水处理站废气执行</w:t>
            </w:r>
            <w:r>
              <w:rPr>
                <w:rFonts w:hint="default" w:ascii="Times New Roman" w:hAnsi="Times New Roman" w:eastAsia="宋体" w:cs="Times New Roman"/>
                <w:color w:val="auto"/>
                <w:spacing w:val="0"/>
                <w:position w:val="0"/>
                <w:sz w:val="24"/>
                <w:szCs w:val="24"/>
                <w:highlight w:val="none"/>
              </w:rPr>
              <w:t>《恶臭污染物排放标准》（GB14554-1993）中</w:t>
            </w:r>
            <w:r>
              <w:rPr>
                <w:rFonts w:hint="default" w:ascii="Times New Roman" w:hAnsi="Times New Roman" w:eastAsia="宋体" w:cs="Times New Roman"/>
                <w:color w:val="auto"/>
                <w:spacing w:val="0"/>
                <w:position w:val="0"/>
                <w:sz w:val="24"/>
                <w:szCs w:val="24"/>
                <w:highlight w:val="none"/>
                <w:lang w:val="en-US" w:eastAsia="zh-CN"/>
              </w:rPr>
              <w:t>二级排放标准</w:t>
            </w:r>
            <w:r>
              <w:rPr>
                <w:rFonts w:hint="default" w:ascii="Times New Roman" w:hAnsi="Times New Roman" w:eastAsia="宋体" w:cs="Times New Roman"/>
                <w:color w:val="auto"/>
                <w:spacing w:val="0"/>
                <w:position w:val="0"/>
                <w:sz w:val="24"/>
                <w:szCs w:val="24"/>
                <w:highlight w:val="none"/>
              </w:rPr>
              <w:t>限值</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根据《恶臭污染物排放标准》（GB14554-1993）6.1.1要求：排气筒的最低高度不得低于15m。本项目污水处理站排气筒高度15m，满足标准要求。</w:t>
            </w:r>
          </w:p>
          <w:p w14:paraId="2C52FACD">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（2）污染物达标分析</w:t>
            </w:r>
          </w:p>
          <w:p w14:paraId="512A2E15">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①预处理工序</w:t>
            </w:r>
            <w:r>
              <w:rPr>
                <w:rFonts w:hint="default" w:ascii="Times New Roman" w:hAnsi="Times New Roman" w:eastAsia="宋体" w:cs="Times New Roman"/>
                <w:color w:val="auto"/>
                <w:spacing w:val="0"/>
                <w:position w:val="0"/>
                <w:sz w:val="24"/>
                <w:szCs w:val="24"/>
                <w:highlight w:val="none"/>
              </w:rPr>
              <w:t>生产时间24h/d，年工作时间以</w:t>
            </w:r>
            <w:r>
              <w:rPr>
                <w:rFonts w:hint="default" w:ascii="Times New Roman" w:hAnsi="Times New Roman" w:cs="Times New Roman"/>
                <w:color w:val="auto"/>
                <w:spacing w:val="0"/>
                <w:position w:val="0"/>
                <w:sz w:val="24"/>
                <w:szCs w:val="24"/>
                <w:highlight w:val="none"/>
                <w:lang w:val="en-US" w:eastAsia="zh-CN"/>
              </w:rPr>
              <w:t>84</w:t>
            </w:r>
            <w:r>
              <w:rPr>
                <w:rFonts w:hint="default" w:ascii="Times New Roman" w:hAnsi="Times New Roman" w:eastAsia="宋体" w:cs="Times New Roman"/>
                <w:color w:val="auto"/>
                <w:spacing w:val="0"/>
                <w:position w:val="0"/>
                <w:sz w:val="24"/>
                <w:szCs w:val="24"/>
                <w:highlight w:val="none"/>
              </w:rPr>
              <w:t>00h/a计，依据上述计算结果，</w:t>
            </w:r>
            <w:r>
              <w:rPr>
                <w:rFonts w:hint="default" w:ascii="Times New Roman" w:hAnsi="Times New Roman" w:cs="Times New Roman"/>
                <w:color w:val="auto"/>
                <w:spacing w:val="0"/>
                <w:position w:val="0"/>
                <w:sz w:val="24"/>
                <w:szCs w:val="24"/>
                <w:highlight w:val="none"/>
                <w:lang w:val="en-US" w:eastAsia="zh-CN"/>
              </w:rPr>
              <w:t>预处理</w:t>
            </w:r>
            <w:r>
              <w:rPr>
                <w:rFonts w:hint="default" w:ascii="Times New Roman" w:hAnsi="Times New Roman" w:eastAsia="宋体" w:cs="Times New Roman"/>
                <w:color w:val="auto"/>
                <w:spacing w:val="0"/>
                <w:position w:val="0"/>
                <w:sz w:val="24"/>
                <w:szCs w:val="24"/>
                <w:highlight w:val="none"/>
              </w:rPr>
              <w:t>废气（颗粒物）经布袋除尘器处理后有组织排放</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排放浓度2.464mg/m</w:t>
            </w:r>
            <w:r>
              <w:rPr>
                <w:rFonts w:hint="default" w:ascii="Times New Roman" w:hAnsi="Times New Roman" w:cs="Times New Roman"/>
                <w:color w:val="auto"/>
                <w:spacing w:val="0"/>
                <w:position w:val="0"/>
                <w:sz w:val="24"/>
                <w:szCs w:val="24"/>
                <w:highlight w:val="none"/>
                <w:vertAlign w:val="superscript"/>
                <w:lang w:val="en-US" w:eastAsia="zh-CN"/>
              </w:rPr>
              <w:t>3</w:t>
            </w:r>
            <w:r>
              <w:rPr>
                <w:rFonts w:hint="default" w:ascii="Times New Roman" w:hAnsi="Times New Roman" w:cs="Times New Roman"/>
                <w:color w:val="auto"/>
                <w:spacing w:val="0"/>
                <w:position w:val="0"/>
                <w:sz w:val="24"/>
                <w:szCs w:val="24"/>
                <w:highlight w:val="none"/>
                <w:lang w:val="en-US" w:eastAsia="zh-CN"/>
              </w:rPr>
              <w:t>、排放速率0.025kg/h</w:t>
            </w:r>
            <w:r>
              <w:rPr>
                <w:rFonts w:hint="default" w:ascii="Times New Roman" w:hAnsi="Times New Roman" w:eastAsia="宋体" w:cs="Times New Roman"/>
                <w:color w:val="auto"/>
                <w:spacing w:val="0"/>
                <w:position w:val="0"/>
                <w:sz w:val="24"/>
                <w:szCs w:val="24"/>
                <w:highlight w:val="none"/>
              </w:rPr>
              <w:t>。有组织废气排放浓度能够满足《大气污染物综合排放标准》（GB16297-1996）表2中的二级标准要求</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120mg/m</w:t>
            </w:r>
            <w:r>
              <w:rPr>
                <w:rFonts w:hint="default" w:ascii="Times New Roman" w:hAnsi="Times New Roman" w:cs="Times New Roman"/>
                <w:color w:val="auto"/>
                <w:spacing w:val="0"/>
                <w:position w:val="0"/>
                <w:sz w:val="24"/>
                <w:szCs w:val="24"/>
                <w:highlight w:val="none"/>
                <w:vertAlign w:val="superscript"/>
                <w:lang w:val="en-US" w:eastAsia="zh-CN"/>
              </w:rPr>
              <w:t>3</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，有组织废气排放速率能够满足《大气污染物综合排放标准》（GB16297-1996）表2中的二级标准要求的50%（</w:t>
            </w:r>
            <w:r>
              <w:rPr>
                <w:rFonts w:hint="default" w:ascii="Times New Roman" w:hAnsi="Times New Roman" w:cs="Times New Roman"/>
                <w:color w:val="auto"/>
                <w:spacing w:val="0"/>
                <w:position w:val="0"/>
                <w:sz w:val="24"/>
                <w:szCs w:val="24"/>
                <w:highlight w:val="none"/>
                <w:lang w:val="en-US" w:eastAsia="zh-CN"/>
              </w:rPr>
              <w:t>15</w:t>
            </w:r>
            <w:r>
              <w:rPr>
                <w:rFonts w:hint="default" w:ascii="Times New Roman" w:hAnsi="Times New Roman" w:eastAsia="宋体" w:cs="Times New Roman"/>
                <w:color w:val="auto"/>
                <w:spacing w:val="0"/>
                <w:position w:val="0"/>
                <w:sz w:val="24"/>
                <w:szCs w:val="24"/>
                <w:highlight w:val="none"/>
              </w:rPr>
              <w:t>m高排气筒颗粒物折半排放速率</w:t>
            </w:r>
            <w:r>
              <w:rPr>
                <w:rFonts w:hint="default" w:ascii="Times New Roman" w:hAnsi="Times New Roman" w:cs="Times New Roman"/>
                <w:color w:val="auto"/>
                <w:spacing w:val="0"/>
                <w:position w:val="0"/>
                <w:sz w:val="24"/>
                <w:szCs w:val="24"/>
                <w:highlight w:val="none"/>
                <w:lang w:val="en-US" w:eastAsia="zh-CN"/>
              </w:rPr>
              <w:t>1.75</w:t>
            </w:r>
            <w:r>
              <w:rPr>
                <w:rFonts w:hint="default" w:ascii="Times New Roman" w:hAnsi="Times New Roman" w:eastAsia="宋体" w:cs="Times New Roman"/>
                <w:color w:val="auto"/>
                <w:spacing w:val="0"/>
                <w:position w:val="0"/>
                <w:sz w:val="24"/>
                <w:szCs w:val="24"/>
                <w:highlight w:val="none"/>
              </w:rPr>
              <w:t>kg/h）。</w:t>
            </w:r>
          </w:p>
          <w:p w14:paraId="50DCBC25">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②浸出</w:t>
            </w:r>
            <w:r>
              <w:rPr>
                <w:rFonts w:hint="default" w:ascii="Times New Roman" w:hAnsi="Times New Roman" w:eastAsia="宋体" w:cs="Times New Roman"/>
                <w:color w:val="auto"/>
                <w:spacing w:val="0"/>
                <w:position w:val="0"/>
                <w:sz w:val="24"/>
                <w:szCs w:val="24"/>
                <w:highlight w:val="none"/>
              </w:rPr>
              <w:t>工序生产时间24h/d，年工作时间以7200h/a计，依据上述计算结果，废气（非甲烷总烃）经</w:t>
            </w:r>
            <w:r>
              <w:rPr>
                <w:rFonts w:hint="default" w:ascii="Times New Roman" w:hAnsi="Times New Roman" w:cs="Times New Roman"/>
                <w:color w:val="auto"/>
                <w:spacing w:val="0"/>
                <w:position w:val="0"/>
                <w:sz w:val="24"/>
                <w:szCs w:val="24"/>
                <w:highlight w:val="none"/>
                <w:lang w:val="en-US" w:eastAsia="zh-CN"/>
              </w:rPr>
              <w:t>冷凝+</w:t>
            </w:r>
            <w:r>
              <w:rPr>
                <w:rFonts w:hint="default" w:ascii="Times New Roman" w:hAnsi="Times New Roman" w:eastAsia="宋体" w:cs="Times New Roman"/>
                <w:color w:val="auto"/>
                <w:spacing w:val="0"/>
                <w:position w:val="0"/>
                <w:sz w:val="24"/>
                <w:szCs w:val="24"/>
                <w:highlight w:val="none"/>
              </w:rPr>
              <w:t>石蜡油吸收后有组织排放</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排放浓度1.464mg/m</w:t>
            </w:r>
            <w:r>
              <w:rPr>
                <w:rFonts w:hint="default" w:ascii="Times New Roman" w:hAnsi="Times New Roman" w:cs="Times New Roman"/>
                <w:color w:val="auto"/>
                <w:spacing w:val="0"/>
                <w:position w:val="0"/>
                <w:sz w:val="24"/>
                <w:szCs w:val="24"/>
                <w:highlight w:val="none"/>
                <w:vertAlign w:val="superscript"/>
                <w:lang w:val="en-US" w:eastAsia="zh-CN"/>
              </w:rPr>
              <w:t>3</w:t>
            </w:r>
            <w:r>
              <w:rPr>
                <w:rFonts w:hint="default" w:ascii="Times New Roman" w:hAnsi="Times New Roman" w:cs="Times New Roman"/>
                <w:color w:val="auto"/>
                <w:spacing w:val="0"/>
                <w:position w:val="0"/>
                <w:sz w:val="24"/>
                <w:szCs w:val="24"/>
                <w:highlight w:val="none"/>
                <w:lang w:val="en-US" w:eastAsia="zh-CN"/>
              </w:rPr>
              <w:t>、排放速率0.015kg/h</w:t>
            </w:r>
            <w:r>
              <w:rPr>
                <w:rFonts w:hint="default" w:ascii="Times New Roman" w:hAnsi="Times New Roman" w:eastAsia="宋体" w:cs="Times New Roman"/>
                <w:color w:val="auto"/>
                <w:spacing w:val="0"/>
                <w:position w:val="0"/>
                <w:sz w:val="24"/>
                <w:szCs w:val="24"/>
                <w:highlight w:val="none"/>
              </w:rPr>
              <w:t>。有组织废气</w:t>
            </w:r>
            <w:r>
              <w:rPr>
                <w:rFonts w:hint="default" w:ascii="Times New Roman" w:hAnsi="Times New Roman" w:cs="Times New Roman"/>
                <w:color w:val="auto"/>
                <w:spacing w:val="0"/>
                <w:position w:val="0"/>
                <w:sz w:val="24"/>
                <w:szCs w:val="24"/>
                <w:highlight w:val="none"/>
                <w:lang w:val="en-US" w:eastAsia="zh-CN"/>
              </w:rPr>
              <w:t>排放浓度</w:t>
            </w:r>
            <w:r>
              <w:rPr>
                <w:rFonts w:hint="default" w:ascii="Times New Roman" w:hAnsi="Times New Roman" w:eastAsia="宋体" w:cs="Times New Roman"/>
                <w:color w:val="auto"/>
                <w:spacing w:val="0"/>
                <w:position w:val="0"/>
                <w:sz w:val="24"/>
                <w:szCs w:val="24"/>
                <w:highlight w:val="none"/>
              </w:rPr>
              <w:t>能够满足《大气污染物综合排放标准》（GB16297-1996）表2中的二级标准要求</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120mg/m</w:t>
            </w:r>
            <w:r>
              <w:rPr>
                <w:rFonts w:hint="default" w:ascii="Times New Roman" w:hAnsi="Times New Roman" w:cs="Times New Roman"/>
                <w:color w:val="auto"/>
                <w:spacing w:val="0"/>
                <w:position w:val="0"/>
                <w:sz w:val="24"/>
                <w:szCs w:val="24"/>
                <w:highlight w:val="none"/>
                <w:vertAlign w:val="superscript"/>
                <w:lang w:val="en-US" w:eastAsia="zh-CN"/>
              </w:rPr>
              <w:t>3</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，有组织废气排放速率能够满足《大气污染物综合排放标准》（GB16297-1996）表2中的二级标准要求的50%（1</w:t>
            </w:r>
            <w:r>
              <w:rPr>
                <w:rFonts w:hint="default" w:ascii="Times New Roman" w:hAnsi="Times New Roman" w:cs="Times New Roman"/>
                <w:color w:val="auto"/>
                <w:spacing w:val="0"/>
                <w:position w:val="0"/>
                <w:sz w:val="24"/>
                <w:szCs w:val="24"/>
                <w:highlight w:val="none"/>
                <w:lang w:val="en-US" w:eastAsia="zh-CN"/>
              </w:rPr>
              <w:t>5</w:t>
            </w:r>
            <w:r>
              <w:rPr>
                <w:rFonts w:hint="default" w:ascii="Times New Roman" w:hAnsi="Times New Roman" w:eastAsia="宋体" w:cs="Times New Roman"/>
                <w:color w:val="auto"/>
                <w:spacing w:val="0"/>
                <w:position w:val="0"/>
                <w:sz w:val="24"/>
                <w:szCs w:val="24"/>
                <w:highlight w:val="none"/>
              </w:rPr>
              <w:t>m高排气筒非甲烷总烃折半排放速率</w:t>
            </w:r>
            <w:r>
              <w:rPr>
                <w:rFonts w:hint="default" w:ascii="Times New Roman" w:hAnsi="Times New Roman" w:cs="Times New Roman"/>
                <w:color w:val="auto"/>
                <w:spacing w:val="0"/>
                <w:position w:val="0"/>
                <w:sz w:val="24"/>
                <w:szCs w:val="24"/>
                <w:highlight w:val="none"/>
                <w:lang w:val="en-US" w:eastAsia="zh-CN"/>
              </w:rPr>
              <w:t>5</w:t>
            </w:r>
            <w:r>
              <w:rPr>
                <w:rFonts w:hint="default" w:ascii="Times New Roman" w:hAnsi="Times New Roman" w:eastAsia="宋体" w:cs="Times New Roman"/>
                <w:color w:val="auto"/>
                <w:spacing w:val="0"/>
                <w:position w:val="0"/>
                <w:sz w:val="24"/>
                <w:szCs w:val="24"/>
                <w:highlight w:val="none"/>
              </w:rPr>
              <w:t>kg/h）。</w:t>
            </w:r>
          </w:p>
          <w:p w14:paraId="104BAF13">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③</w:t>
            </w:r>
            <w:r>
              <w:rPr>
                <w:rFonts w:hint="default" w:ascii="Times New Roman" w:hAnsi="Times New Roman" w:eastAsia="宋体" w:cs="Times New Roman"/>
                <w:color w:val="auto"/>
                <w:spacing w:val="0"/>
                <w:position w:val="0"/>
                <w:sz w:val="24"/>
                <w:szCs w:val="24"/>
                <w:highlight w:val="none"/>
              </w:rPr>
              <w:t>精炼工序生产时间24h/d，年工作时间以</w:t>
            </w:r>
            <w:r>
              <w:rPr>
                <w:rFonts w:hint="default" w:ascii="Times New Roman" w:hAnsi="Times New Roman" w:cs="Times New Roman"/>
                <w:color w:val="auto"/>
                <w:spacing w:val="0"/>
                <w:position w:val="0"/>
                <w:sz w:val="24"/>
                <w:szCs w:val="24"/>
                <w:highlight w:val="none"/>
                <w:lang w:val="en-US" w:eastAsia="zh-CN"/>
              </w:rPr>
              <w:t>84</w:t>
            </w:r>
            <w:r>
              <w:rPr>
                <w:rFonts w:hint="default" w:ascii="Times New Roman" w:hAnsi="Times New Roman" w:eastAsia="宋体" w:cs="Times New Roman"/>
                <w:color w:val="auto"/>
                <w:spacing w:val="0"/>
                <w:position w:val="0"/>
                <w:sz w:val="24"/>
                <w:szCs w:val="24"/>
                <w:highlight w:val="none"/>
              </w:rPr>
              <w:t>00h/a计，依据上述计算结果，废气（非甲烷总烃）经活性炭吸附</w:t>
            </w:r>
            <w:r>
              <w:rPr>
                <w:rFonts w:hint="default" w:ascii="Times New Roman" w:hAnsi="Times New Roman" w:cs="Times New Roman"/>
                <w:color w:val="auto"/>
                <w:spacing w:val="0"/>
                <w:position w:val="0"/>
                <w:sz w:val="24"/>
                <w:szCs w:val="24"/>
                <w:highlight w:val="none"/>
                <w:lang w:val="en-US" w:eastAsia="zh-CN"/>
              </w:rPr>
              <w:t>+石蜡油吸收</w:t>
            </w:r>
            <w:r>
              <w:rPr>
                <w:rFonts w:hint="default" w:ascii="Times New Roman" w:hAnsi="Times New Roman" w:eastAsia="宋体" w:cs="Times New Roman"/>
                <w:color w:val="auto"/>
                <w:spacing w:val="0"/>
                <w:position w:val="0"/>
                <w:sz w:val="24"/>
                <w:szCs w:val="24"/>
                <w:highlight w:val="none"/>
              </w:rPr>
              <w:t>处理后有组织排放</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排放浓度0.107mg/m</w:t>
            </w:r>
            <w:r>
              <w:rPr>
                <w:rFonts w:hint="default" w:ascii="Times New Roman" w:hAnsi="Times New Roman" w:cs="Times New Roman"/>
                <w:color w:val="auto"/>
                <w:spacing w:val="0"/>
                <w:position w:val="0"/>
                <w:sz w:val="24"/>
                <w:szCs w:val="24"/>
                <w:highlight w:val="none"/>
                <w:vertAlign w:val="superscript"/>
                <w:lang w:val="en-US" w:eastAsia="zh-CN"/>
              </w:rPr>
              <w:t>3</w:t>
            </w:r>
            <w:r>
              <w:rPr>
                <w:rFonts w:hint="default" w:ascii="Times New Roman" w:hAnsi="Times New Roman" w:cs="Times New Roman"/>
                <w:color w:val="auto"/>
                <w:spacing w:val="0"/>
                <w:position w:val="0"/>
                <w:sz w:val="24"/>
                <w:szCs w:val="24"/>
                <w:highlight w:val="none"/>
                <w:lang w:val="en-US" w:eastAsia="zh-CN"/>
              </w:rPr>
              <w:t>、排放速率0.0002kg/h</w:t>
            </w:r>
            <w:r>
              <w:rPr>
                <w:rFonts w:hint="default" w:ascii="Times New Roman" w:hAnsi="Times New Roman" w:eastAsia="宋体" w:cs="Times New Roman"/>
                <w:color w:val="auto"/>
                <w:spacing w:val="0"/>
                <w:position w:val="0"/>
                <w:sz w:val="24"/>
                <w:szCs w:val="24"/>
                <w:highlight w:val="none"/>
              </w:rPr>
              <w:t>。有组织废气</w:t>
            </w:r>
            <w:r>
              <w:rPr>
                <w:rFonts w:hint="default" w:ascii="Times New Roman" w:hAnsi="Times New Roman" w:cs="Times New Roman"/>
                <w:color w:val="auto"/>
                <w:spacing w:val="0"/>
                <w:position w:val="0"/>
                <w:sz w:val="24"/>
                <w:szCs w:val="24"/>
                <w:highlight w:val="none"/>
                <w:lang w:val="en-US" w:eastAsia="zh-CN"/>
              </w:rPr>
              <w:t>排放浓度</w:t>
            </w:r>
            <w:r>
              <w:rPr>
                <w:rFonts w:hint="default" w:ascii="Times New Roman" w:hAnsi="Times New Roman" w:eastAsia="宋体" w:cs="Times New Roman"/>
                <w:color w:val="auto"/>
                <w:spacing w:val="0"/>
                <w:position w:val="0"/>
                <w:sz w:val="24"/>
                <w:szCs w:val="24"/>
                <w:highlight w:val="none"/>
              </w:rPr>
              <w:t>能够满足《大气污染物综合排放标准》（GB16297-1996）表2中的二级标准要求</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120mg/m</w:t>
            </w:r>
            <w:r>
              <w:rPr>
                <w:rFonts w:hint="default" w:ascii="Times New Roman" w:hAnsi="Times New Roman" w:cs="Times New Roman"/>
                <w:color w:val="auto"/>
                <w:spacing w:val="0"/>
                <w:position w:val="0"/>
                <w:sz w:val="24"/>
                <w:szCs w:val="24"/>
                <w:highlight w:val="none"/>
                <w:vertAlign w:val="superscript"/>
                <w:lang w:val="en-US" w:eastAsia="zh-CN"/>
              </w:rPr>
              <w:t>3</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，有组织废气排放速率能够满足《大气污染物综合排放标准》（GB16297-1996）表2中的二级标准要求的50%（1</w:t>
            </w:r>
            <w:r>
              <w:rPr>
                <w:rFonts w:hint="default" w:ascii="Times New Roman" w:hAnsi="Times New Roman" w:cs="Times New Roman"/>
                <w:color w:val="auto"/>
                <w:spacing w:val="0"/>
                <w:position w:val="0"/>
                <w:sz w:val="24"/>
                <w:szCs w:val="24"/>
                <w:highlight w:val="none"/>
                <w:lang w:val="en-US" w:eastAsia="zh-CN"/>
              </w:rPr>
              <w:t>5</w:t>
            </w:r>
            <w:r>
              <w:rPr>
                <w:rFonts w:hint="default" w:ascii="Times New Roman" w:hAnsi="Times New Roman" w:eastAsia="宋体" w:cs="Times New Roman"/>
                <w:color w:val="auto"/>
                <w:spacing w:val="0"/>
                <w:position w:val="0"/>
                <w:sz w:val="24"/>
                <w:szCs w:val="24"/>
                <w:highlight w:val="none"/>
              </w:rPr>
              <w:t>m高排气筒非甲烷总烃折半排放速率</w:t>
            </w:r>
            <w:r>
              <w:rPr>
                <w:rFonts w:hint="default" w:ascii="Times New Roman" w:hAnsi="Times New Roman" w:cs="Times New Roman"/>
                <w:color w:val="auto"/>
                <w:spacing w:val="0"/>
                <w:position w:val="0"/>
                <w:sz w:val="24"/>
                <w:szCs w:val="24"/>
                <w:highlight w:val="none"/>
                <w:lang w:val="en-US" w:eastAsia="zh-CN"/>
              </w:rPr>
              <w:t>5</w:t>
            </w:r>
            <w:r>
              <w:rPr>
                <w:rFonts w:hint="default" w:ascii="Times New Roman" w:hAnsi="Times New Roman" w:eastAsia="宋体" w:cs="Times New Roman"/>
                <w:color w:val="auto"/>
                <w:spacing w:val="0"/>
                <w:position w:val="0"/>
                <w:sz w:val="24"/>
                <w:szCs w:val="24"/>
                <w:highlight w:val="none"/>
              </w:rPr>
              <w:t>kg/h）。</w:t>
            </w:r>
          </w:p>
          <w:p w14:paraId="385BD084">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rPr>
              <w:t>废气（非甲烷总烃）经活性炭吸附</w:t>
            </w:r>
            <w:r>
              <w:rPr>
                <w:rFonts w:hint="default" w:ascii="Times New Roman" w:hAnsi="Times New Roman" w:cs="Times New Roman"/>
                <w:color w:val="auto"/>
                <w:spacing w:val="0"/>
                <w:position w:val="0"/>
                <w:sz w:val="24"/>
                <w:szCs w:val="24"/>
                <w:highlight w:val="none"/>
                <w:lang w:val="en-US" w:eastAsia="zh-CN"/>
              </w:rPr>
              <w:t>+石蜡油吸收</w:t>
            </w:r>
            <w:r>
              <w:rPr>
                <w:rFonts w:hint="default" w:ascii="Times New Roman" w:hAnsi="Times New Roman" w:eastAsia="宋体" w:cs="Times New Roman"/>
                <w:color w:val="auto"/>
                <w:spacing w:val="0"/>
                <w:position w:val="0"/>
                <w:sz w:val="24"/>
                <w:szCs w:val="24"/>
                <w:highlight w:val="none"/>
              </w:rPr>
              <w:t>处理后有组织排放</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臭气浓度排放可满足《恶臭污染物排放标准》（GB14554-93）表2中恶臭污染物排放标准值要求。</w:t>
            </w:r>
          </w:p>
          <w:p w14:paraId="0A6AD4DC">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④锅炉</w:t>
            </w:r>
            <w:r>
              <w:rPr>
                <w:rFonts w:hint="default" w:ascii="Times New Roman" w:hAnsi="Times New Roman" w:eastAsia="宋体" w:cs="Times New Roman"/>
                <w:color w:val="auto"/>
                <w:spacing w:val="0"/>
                <w:position w:val="0"/>
                <w:sz w:val="24"/>
                <w:szCs w:val="24"/>
                <w:highlight w:val="none"/>
              </w:rPr>
              <w:t>生产时间24h/d，年工作时间以</w:t>
            </w:r>
            <w:r>
              <w:rPr>
                <w:rFonts w:hint="default" w:ascii="Times New Roman" w:hAnsi="Times New Roman" w:cs="Times New Roman"/>
                <w:color w:val="auto"/>
                <w:spacing w:val="0"/>
                <w:position w:val="0"/>
                <w:sz w:val="24"/>
                <w:szCs w:val="24"/>
                <w:highlight w:val="none"/>
                <w:lang w:val="en-US" w:eastAsia="zh-CN"/>
              </w:rPr>
              <w:t>84</w:t>
            </w:r>
            <w:r>
              <w:rPr>
                <w:rFonts w:hint="default" w:ascii="Times New Roman" w:hAnsi="Times New Roman" w:eastAsia="宋体" w:cs="Times New Roman"/>
                <w:color w:val="auto"/>
                <w:spacing w:val="0"/>
                <w:position w:val="0"/>
                <w:sz w:val="24"/>
                <w:szCs w:val="24"/>
                <w:highlight w:val="none"/>
              </w:rPr>
              <w:t>00h/a计，依据上述计算结果，</w:t>
            </w:r>
            <w:r>
              <w:rPr>
                <w:rFonts w:hint="default" w:ascii="Times New Roman" w:hAnsi="Times New Roman" w:eastAsia="宋体" w:cs="Times New Roman"/>
                <w:color w:val="auto"/>
                <w:spacing w:val="0"/>
                <w:position w:val="0"/>
                <w:sz w:val="24"/>
                <w:szCs w:val="24"/>
                <w:highlight w:val="none"/>
                <w:lang w:val="en-US" w:eastAsia="zh-CN"/>
              </w:rPr>
              <w:t>锅炉废气经旋风+布袋除尘器处理后有组织排放，颗粒物排放浓度45.533mg/m</w:t>
            </w:r>
            <w:r>
              <w:rPr>
                <w:rFonts w:hint="default" w:ascii="Times New Roman" w:hAnsi="Times New Roman" w:eastAsia="宋体" w:cs="Times New Roman"/>
                <w:color w:val="auto"/>
                <w:spacing w:val="0"/>
                <w:position w:val="0"/>
                <w:sz w:val="24"/>
                <w:szCs w:val="24"/>
                <w:highlight w:val="none"/>
                <w:vertAlign w:val="superscript"/>
                <w:lang w:val="en-US" w:eastAsia="zh-CN"/>
              </w:rPr>
              <w:t>3</w:t>
            </w:r>
            <w:r>
              <w:rPr>
                <w:rFonts w:hint="default" w:ascii="Times New Roman" w:hAnsi="Times New Roman" w:eastAsia="宋体" w:cs="Times New Roman"/>
                <w:color w:val="auto"/>
                <w:spacing w:val="0"/>
                <w:position w:val="0"/>
                <w:sz w:val="24"/>
                <w:szCs w:val="24"/>
                <w:highlight w:val="none"/>
                <w:lang w:val="en-US" w:eastAsia="zh-CN"/>
              </w:rPr>
              <w:t>，二氧化硫排放浓度85.374mg/m</w:t>
            </w:r>
            <w:r>
              <w:rPr>
                <w:rFonts w:hint="default" w:ascii="Times New Roman" w:hAnsi="Times New Roman" w:eastAsia="宋体" w:cs="Times New Roman"/>
                <w:color w:val="auto"/>
                <w:spacing w:val="0"/>
                <w:position w:val="0"/>
                <w:sz w:val="24"/>
                <w:szCs w:val="24"/>
                <w:highlight w:val="none"/>
                <w:vertAlign w:val="superscript"/>
                <w:lang w:val="en-US" w:eastAsia="zh-CN"/>
              </w:rPr>
              <w:t>3</w:t>
            </w:r>
            <w:r>
              <w:rPr>
                <w:rFonts w:hint="default" w:ascii="Times New Roman" w:hAnsi="Times New Roman" w:eastAsia="宋体" w:cs="Times New Roman"/>
                <w:color w:val="auto"/>
                <w:spacing w:val="0"/>
                <w:position w:val="0"/>
                <w:sz w:val="24"/>
                <w:szCs w:val="24"/>
                <w:highlight w:val="none"/>
                <w:lang w:val="en-US" w:eastAsia="zh-CN"/>
              </w:rPr>
              <w:t>，氮氧化物排放浓度200mg/m</w:t>
            </w:r>
            <w:r>
              <w:rPr>
                <w:rFonts w:hint="default" w:ascii="Times New Roman" w:hAnsi="Times New Roman" w:eastAsia="宋体" w:cs="Times New Roman"/>
                <w:color w:val="auto"/>
                <w:spacing w:val="0"/>
                <w:position w:val="0"/>
                <w:sz w:val="24"/>
                <w:szCs w:val="24"/>
                <w:highlight w:val="none"/>
                <w:vertAlign w:val="superscript"/>
                <w:lang w:val="en-US" w:eastAsia="zh-CN"/>
              </w:rPr>
              <w:t>3</w:t>
            </w:r>
            <w:r>
              <w:rPr>
                <w:rFonts w:hint="default" w:ascii="Times New Roman" w:hAnsi="Times New Roman" w:eastAsia="宋体" w:cs="Times New Roman"/>
                <w:color w:val="auto"/>
                <w:spacing w:val="0"/>
                <w:position w:val="0"/>
                <w:sz w:val="24"/>
                <w:szCs w:val="24"/>
                <w:highlight w:val="none"/>
                <w:lang w:val="en-US" w:eastAsia="zh-CN"/>
              </w:rPr>
              <w:t>。锅炉废气排放浓度能够满足</w:t>
            </w:r>
            <w:r>
              <w:rPr>
                <w:rFonts w:hint="default" w:ascii="Times New Roman" w:hAnsi="Times New Roman" w:eastAsia="宋体" w:cs="Times New Roman"/>
                <w:color w:val="auto"/>
                <w:spacing w:val="0"/>
                <w:position w:val="0"/>
                <w:sz w:val="24"/>
                <w:szCs w:val="24"/>
                <w:highlight w:val="none"/>
              </w:rPr>
              <w:t>《</w:t>
            </w:r>
            <w:r>
              <w:rPr>
                <w:rFonts w:hint="default" w:ascii="Times New Roman" w:hAnsi="Times New Roman" w:eastAsia="宋体" w:cs="Times New Roman"/>
                <w:color w:val="auto"/>
                <w:spacing w:val="0"/>
                <w:position w:val="0"/>
                <w:sz w:val="24"/>
                <w:szCs w:val="24"/>
                <w:highlight w:val="none"/>
                <w:lang w:val="en-US" w:eastAsia="zh-CN"/>
              </w:rPr>
              <w:t>锅炉大气</w:t>
            </w:r>
            <w:r>
              <w:rPr>
                <w:rFonts w:hint="default" w:ascii="Times New Roman" w:hAnsi="Times New Roman" w:eastAsia="宋体" w:cs="Times New Roman"/>
                <w:color w:val="auto"/>
                <w:spacing w:val="0"/>
                <w:position w:val="0"/>
                <w:sz w:val="24"/>
                <w:szCs w:val="24"/>
                <w:highlight w:val="none"/>
              </w:rPr>
              <w:t>污染物排放标准》（GB</w:t>
            </w:r>
            <w:r>
              <w:rPr>
                <w:rFonts w:hint="default" w:ascii="Times New Roman" w:hAnsi="Times New Roman" w:eastAsia="宋体" w:cs="Times New Roman"/>
                <w:color w:val="auto"/>
                <w:spacing w:val="0"/>
                <w:position w:val="0"/>
                <w:sz w:val="24"/>
                <w:szCs w:val="24"/>
                <w:highlight w:val="none"/>
                <w:lang w:val="en-US" w:eastAsia="zh-CN"/>
              </w:rPr>
              <w:t>13271-2014</w:t>
            </w:r>
            <w:r>
              <w:rPr>
                <w:rFonts w:hint="default" w:ascii="Times New Roman" w:hAnsi="Times New Roman" w:eastAsia="宋体" w:cs="Times New Roman"/>
                <w:color w:val="auto"/>
                <w:spacing w:val="0"/>
                <w:position w:val="0"/>
                <w:sz w:val="24"/>
                <w:szCs w:val="24"/>
                <w:highlight w:val="none"/>
              </w:rPr>
              <w:t>）</w:t>
            </w:r>
            <w:r>
              <w:rPr>
                <w:rFonts w:hint="default" w:ascii="Times New Roman" w:hAnsi="Times New Roman" w:eastAsia="宋体" w:cs="Times New Roman"/>
                <w:color w:val="auto"/>
                <w:spacing w:val="0"/>
                <w:position w:val="0"/>
                <w:sz w:val="24"/>
                <w:szCs w:val="24"/>
                <w:highlight w:val="none"/>
                <w:lang w:val="en-US" w:eastAsia="zh-CN"/>
              </w:rPr>
              <w:t>表2</w:t>
            </w:r>
            <w:r>
              <w:rPr>
                <w:rFonts w:hint="default" w:ascii="Times New Roman" w:hAnsi="Times New Roman" w:eastAsia="宋体" w:cs="Times New Roman"/>
                <w:color w:val="auto"/>
                <w:spacing w:val="0"/>
                <w:position w:val="0"/>
                <w:sz w:val="24"/>
                <w:szCs w:val="24"/>
                <w:highlight w:val="none"/>
              </w:rPr>
              <w:t>中</w:t>
            </w:r>
            <w:r>
              <w:rPr>
                <w:rFonts w:hint="default" w:ascii="Times New Roman" w:hAnsi="Times New Roman" w:eastAsia="宋体" w:cs="Times New Roman"/>
                <w:color w:val="auto"/>
                <w:spacing w:val="0"/>
                <w:position w:val="0"/>
                <w:sz w:val="24"/>
                <w:szCs w:val="24"/>
                <w:highlight w:val="none"/>
                <w:lang w:val="en-US" w:eastAsia="zh-CN"/>
              </w:rPr>
              <w:t>燃煤锅炉标准</w:t>
            </w:r>
            <w:r>
              <w:rPr>
                <w:rFonts w:hint="default" w:ascii="Times New Roman" w:hAnsi="Times New Roman" w:eastAsia="宋体" w:cs="Times New Roman"/>
                <w:color w:val="auto"/>
                <w:spacing w:val="0"/>
                <w:position w:val="0"/>
                <w:sz w:val="24"/>
                <w:szCs w:val="24"/>
                <w:highlight w:val="none"/>
              </w:rPr>
              <w:t>限值</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lang w:val="en-US" w:eastAsia="zh-CN"/>
              </w:rPr>
              <w:t>颗粒物：</w:t>
            </w:r>
            <w:r>
              <w:rPr>
                <w:rFonts w:hint="default" w:ascii="Times New Roman" w:hAnsi="Times New Roman" w:cs="Times New Roman"/>
                <w:color w:val="auto"/>
                <w:spacing w:val="0"/>
                <w:kern w:val="2"/>
                <w:position w:val="0"/>
                <w:sz w:val="24"/>
                <w:szCs w:val="24"/>
                <w:highlight w:val="none"/>
                <w:lang w:val="en-US" w:eastAsia="zh-CN"/>
              </w:rPr>
              <w:t>50mg/m</w:t>
            </w:r>
            <w:r>
              <w:rPr>
                <w:rFonts w:hint="default" w:ascii="Times New Roman" w:hAnsi="Times New Roman" w:cs="Times New Roman"/>
                <w:color w:val="auto"/>
                <w:spacing w:val="0"/>
                <w:kern w:val="2"/>
                <w:position w:val="0"/>
                <w:sz w:val="24"/>
                <w:szCs w:val="24"/>
                <w:highlight w:val="none"/>
                <w:vertAlign w:val="superscript"/>
                <w:lang w:val="en-US" w:eastAsia="zh-CN"/>
              </w:rPr>
              <w:t>3</w:t>
            </w:r>
            <w:r>
              <w:rPr>
                <w:rFonts w:hint="default" w:ascii="Times New Roman" w:hAnsi="Times New Roman" w:cs="Times New Roman"/>
                <w:color w:val="auto"/>
                <w:spacing w:val="0"/>
                <w:kern w:val="2"/>
                <w:position w:val="0"/>
                <w:sz w:val="24"/>
                <w:szCs w:val="24"/>
                <w:highlight w:val="none"/>
                <w:lang w:val="en-US" w:eastAsia="zh-CN"/>
              </w:rPr>
              <w:t>，</w:t>
            </w:r>
            <w:r>
              <w:rPr>
                <w:rFonts w:hint="default" w:ascii="Times New Roman" w:hAnsi="Times New Roman" w:cs="Times New Roman"/>
                <w:color w:val="auto"/>
                <w:spacing w:val="0"/>
                <w:position w:val="0"/>
                <w:sz w:val="24"/>
                <w:szCs w:val="24"/>
                <w:highlight w:val="none"/>
                <w:lang w:val="en-US" w:eastAsia="zh-CN"/>
              </w:rPr>
              <w:t>二氧化硫</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kern w:val="2"/>
                <w:position w:val="0"/>
                <w:sz w:val="24"/>
                <w:szCs w:val="24"/>
                <w:highlight w:val="none"/>
                <w:lang w:val="en-US" w:eastAsia="zh-CN"/>
              </w:rPr>
              <w:t>300mg/m</w:t>
            </w:r>
            <w:r>
              <w:rPr>
                <w:rFonts w:hint="default" w:ascii="Times New Roman" w:hAnsi="Times New Roman" w:cs="Times New Roman"/>
                <w:color w:val="auto"/>
                <w:spacing w:val="0"/>
                <w:kern w:val="2"/>
                <w:position w:val="0"/>
                <w:sz w:val="24"/>
                <w:szCs w:val="24"/>
                <w:highlight w:val="none"/>
                <w:vertAlign w:val="superscript"/>
                <w:lang w:val="en-US" w:eastAsia="zh-CN"/>
              </w:rPr>
              <w:t>3</w:t>
            </w:r>
            <w:r>
              <w:rPr>
                <w:rFonts w:hint="default" w:ascii="Times New Roman" w:hAnsi="Times New Roman" w:cs="Times New Roman"/>
                <w:color w:val="auto"/>
                <w:spacing w:val="0"/>
                <w:kern w:val="2"/>
                <w:position w:val="0"/>
                <w:sz w:val="24"/>
                <w:szCs w:val="24"/>
                <w:highlight w:val="none"/>
                <w:lang w:val="en-US" w:eastAsia="zh-CN"/>
              </w:rPr>
              <w:t>，氮氧化物：300mg/m</w:t>
            </w:r>
            <w:r>
              <w:rPr>
                <w:rFonts w:hint="default" w:ascii="Times New Roman" w:hAnsi="Times New Roman" w:cs="Times New Roman"/>
                <w:color w:val="auto"/>
                <w:spacing w:val="0"/>
                <w:kern w:val="2"/>
                <w:position w:val="0"/>
                <w:sz w:val="24"/>
                <w:szCs w:val="24"/>
                <w:highlight w:val="none"/>
                <w:vertAlign w:val="superscript"/>
                <w:lang w:val="en-US" w:eastAsia="zh-CN"/>
              </w:rPr>
              <w:t>3</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要求。</w:t>
            </w:r>
          </w:p>
          <w:p w14:paraId="53941C7E">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⑤</w:t>
            </w:r>
            <w:r>
              <w:rPr>
                <w:rFonts w:hint="default" w:ascii="Times New Roman" w:hAnsi="Times New Roman" w:eastAsia="宋体" w:cs="Times New Roman"/>
                <w:color w:val="auto"/>
                <w:spacing w:val="0"/>
                <w:position w:val="0"/>
                <w:sz w:val="24"/>
                <w:szCs w:val="24"/>
                <w:highlight w:val="none"/>
              </w:rPr>
              <w:t>污水处理站生产时间24h/d，年工作时间以7200h/a计，依据上述计算结果，废气（氨、硫化氢）经活性炭吸附处理后有组织排放</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氨排放速率0.00077kg/h、硫化氢排放速率0.00003kg/h</w:t>
            </w:r>
            <w:r>
              <w:rPr>
                <w:rFonts w:hint="default" w:ascii="Times New Roman" w:hAnsi="Times New Roman" w:eastAsia="宋体" w:cs="Times New Roman"/>
                <w:color w:val="auto"/>
                <w:spacing w:val="0"/>
                <w:position w:val="0"/>
                <w:sz w:val="24"/>
                <w:szCs w:val="24"/>
                <w:highlight w:val="none"/>
              </w:rPr>
              <w:t>。污水处理站废气满足《恶臭污染物排放标准》（GB14554-1993）中</w:t>
            </w:r>
            <w:r>
              <w:rPr>
                <w:rFonts w:hint="default" w:ascii="Times New Roman" w:hAnsi="Times New Roman" w:eastAsia="宋体" w:cs="Times New Roman"/>
                <w:color w:val="auto"/>
                <w:spacing w:val="0"/>
                <w:position w:val="0"/>
                <w:sz w:val="24"/>
                <w:szCs w:val="24"/>
                <w:highlight w:val="none"/>
                <w:lang w:val="en-US" w:eastAsia="zh-CN"/>
              </w:rPr>
              <w:t>二级排放标准</w:t>
            </w:r>
            <w:r>
              <w:rPr>
                <w:rFonts w:hint="default" w:ascii="Times New Roman" w:hAnsi="Times New Roman" w:eastAsia="宋体" w:cs="Times New Roman"/>
                <w:color w:val="auto"/>
                <w:spacing w:val="0"/>
                <w:position w:val="0"/>
                <w:sz w:val="24"/>
                <w:szCs w:val="24"/>
                <w:highlight w:val="none"/>
              </w:rPr>
              <w:t>限值</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rPr>
              <w:t>NH</w:t>
            </w:r>
            <w:r>
              <w:rPr>
                <w:rFonts w:hint="default" w:ascii="Times New Roman" w:hAnsi="Times New Roman" w:cs="Times New Roman"/>
                <w:color w:val="auto"/>
                <w:spacing w:val="0"/>
                <w:position w:val="0"/>
                <w:sz w:val="24"/>
                <w:szCs w:val="24"/>
                <w:highlight w:val="none"/>
                <w:vertAlign w:val="subscript"/>
              </w:rPr>
              <w:t>3</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kern w:val="2"/>
                <w:position w:val="0"/>
                <w:sz w:val="24"/>
                <w:szCs w:val="24"/>
                <w:highlight w:val="none"/>
                <w:lang w:val="en-US" w:eastAsia="zh-CN"/>
              </w:rPr>
              <w:t>4.9kg/h，</w:t>
            </w:r>
            <w:r>
              <w:rPr>
                <w:rFonts w:hint="default" w:ascii="Times New Roman" w:hAnsi="Times New Roman" w:cs="Times New Roman"/>
                <w:color w:val="auto"/>
                <w:spacing w:val="0"/>
                <w:position w:val="0"/>
                <w:sz w:val="24"/>
                <w:szCs w:val="24"/>
                <w:highlight w:val="none"/>
              </w:rPr>
              <w:t>H</w:t>
            </w:r>
            <w:r>
              <w:rPr>
                <w:rFonts w:hint="default" w:ascii="Times New Roman" w:hAnsi="Times New Roman" w:cs="Times New Roman"/>
                <w:color w:val="auto"/>
                <w:spacing w:val="0"/>
                <w:position w:val="0"/>
                <w:sz w:val="24"/>
                <w:szCs w:val="24"/>
                <w:highlight w:val="none"/>
                <w:vertAlign w:val="subscript"/>
              </w:rPr>
              <w:t>2</w:t>
            </w:r>
            <w:r>
              <w:rPr>
                <w:rFonts w:hint="default" w:ascii="Times New Roman" w:hAnsi="Times New Roman" w:cs="Times New Roman"/>
                <w:color w:val="auto"/>
                <w:spacing w:val="0"/>
                <w:position w:val="0"/>
                <w:sz w:val="24"/>
                <w:szCs w:val="24"/>
                <w:highlight w:val="none"/>
              </w:rPr>
              <w:t>S</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kern w:val="2"/>
                <w:position w:val="0"/>
                <w:sz w:val="24"/>
                <w:szCs w:val="24"/>
                <w:highlight w:val="none"/>
                <w:lang w:val="en-US" w:eastAsia="zh-CN"/>
              </w:rPr>
              <w:t>0.33kg/h，臭气浓度：2000无量纲</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要求。</w:t>
            </w:r>
          </w:p>
          <w:p w14:paraId="1185ECF1">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5、环保措施可行性分析</w:t>
            </w:r>
          </w:p>
          <w:p w14:paraId="605D12A7">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（1）有组织废气排放控制措施</w:t>
            </w:r>
          </w:p>
          <w:p w14:paraId="56A8E94A">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cs="Times New Roman"/>
                <w:color w:val="auto"/>
                <w:spacing w:val="0"/>
                <w:position w:val="0"/>
                <w:sz w:val="24"/>
                <w:szCs w:val="24"/>
                <w:highlight w:val="none"/>
                <w:lang w:eastAsia="zh-CN"/>
              </w:rPr>
            </w:pPr>
            <w:r>
              <w:rPr>
                <w:rFonts w:hint="default" w:ascii="Times New Roman" w:hAnsi="Times New Roman" w:eastAsia="宋体" w:cs="Times New Roman"/>
                <w:color w:val="auto"/>
                <w:spacing w:val="0"/>
                <w:position w:val="0"/>
                <w:sz w:val="24"/>
                <w:szCs w:val="24"/>
                <w:highlight w:val="none"/>
              </w:rPr>
              <w:t>本项目</w:t>
            </w:r>
            <w:r>
              <w:rPr>
                <w:rFonts w:hint="default" w:ascii="Times New Roman" w:hAnsi="Times New Roman" w:cs="Times New Roman"/>
                <w:color w:val="auto"/>
                <w:spacing w:val="0"/>
                <w:position w:val="0"/>
                <w:sz w:val="24"/>
                <w:szCs w:val="24"/>
                <w:highlight w:val="none"/>
                <w:lang w:val="en-US" w:eastAsia="zh-CN"/>
              </w:rPr>
              <w:t>预处理车间</w:t>
            </w:r>
            <w:r>
              <w:rPr>
                <w:rFonts w:hint="default" w:ascii="Times New Roman" w:hAnsi="Times New Roman" w:eastAsia="宋体" w:cs="Times New Roman"/>
                <w:color w:val="auto"/>
                <w:spacing w:val="0"/>
                <w:position w:val="0"/>
                <w:sz w:val="24"/>
                <w:szCs w:val="24"/>
                <w:highlight w:val="none"/>
              </w:rPr>
              <w:t>产生废气</w:t>
            </w:r>
            <w:r>
              <w:rPr>
                <w:rFonts w:hint="default" w:ascii="Times New Roman" w:hAnsi="Times New Roman" w:cs="Times New Roman"/>
                <w:color w:val="auto"/>
                <w:spacing w:val="0"/>
                <w:position w:val="0"/>
                <w:sz w:val="24"/>
                <w:szCs w:val="24"/>
                <w:highlight w:val="none"/>
                <w:lang w:val="en-US" w:eastAsia="zh-CN"/>
              </w:rPr>
              <w:t>经集气装置收集后</w:t>
            </w:r>
            <w:r>
              <w:rPr>
                <w:rFonts w:hint="default" w:ascii="Times New Roman" w:hAnsi="Times New Roman" w:eastAsia="宋体" w:cs="Times New Roman"/>
                <w:color w:val="auto"/>
                <w:spacing w:val="0"/>
                <w:position w:val="0"/>
                <w:sz w:val="24"/>
                <w:szCs w:val="24"/>
                <w:highlight w:val="none"/>
              </w:rPr>
              <w:t>采用布袋除尘器进行治理，根据《排污许可证申请与核发技术规范农副食品加工工业—饲料加工、植物油加工工业》（HJ1110-2020）附录C，袋式除尘为可行技术</w:t>
            </w:r>
            <w:r>
              <w:rPr>
                <w:rFonts w:hint="default" w:ascii="Times New Roman" w:hAnsi="Times New Roman" w:cs="Times New Roman"/>
                <w:color w:val="auto"/>
                <w:spacing w:val="0"/>
                <w:position w:val="0"/>
                <w:sz w:val="24"/>
                <w:szCs w:val="24"/>
                <w:highlight w:val="none"/>
                <w:lang w:eastAsia="zh-CN"/>
              </w:rPr>
              <w:t>。</w:t>
            </w:r>
          </w:p>
          <w:p w14:paraId="50140308">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本项目浸出</w:t>
            </w:r>
            <w:r>
              <w:rPr>
                <w:rFonts w:hint="default" w:ascii="Times New Roman" w:hAnsi="Times New Roman" w:cs="Times New Roman"/>
                <w:color w:val="auto"/>
                <w:spacing w:val="0"/>
                <w:position w:val="0"/>
                <w:sz w:val="24"/>
                <w:szCs w:val="24"/>
                <w:highlight w:val="none"/>
                <w:lang w:val="en-US" w:eastAsia="zh-CN"/>
              </w:rPr>
              <w:t>车间</w:t>
            </w:r>
            <w:r>
              <w:rPr>
                <w:rFonts w:hint="default" w:ascii="Times New Roman" w:hAnsi="Times New Roman" w:eastAsia="宋体" w:cs="Times New Roman"/>
                <w:color w:val="auto"/>
                <w:spacing w:val="0"/>
                <w:position w:val="0"/>
                <w:sz w:val="24"/>
                <w:szCs w:val="24"/>
                <w:highlight w:val="none"/>
              </w:rPr>
              <w:t>产生的废气采用</w:t>
            </w:r>
            <w:r>
              <w:rPr>
                <w:rFonts w:hint="default" w:ascii="Times New Roman" w:hAnsi="Times New Roman" w:cs="Times New Roman"/>
                <w:color w:val="auto"/>
                <w:spacing w:val="0"/>
                <w:position w:val="0"/>
                <w:sz w:val="24"/>
                <w:szCs w:val="24"/>
                <w:highlight w:val="none"/>
                <w:lang w:val="en-US" w:eastAsia="zh-CN"/>
              </w:rPr>
              <w:t>冷凝+</w:t>
            </w:r>
            <w:r>
              <w:rPr>
                <w:rFonts w:hint="default" w:ascii="Times New Roman" w:hAnsi="Times New Roman" w:eastAsia="宋体" w:cs="Times New Roman"/>
                <w:color w:val="auto"/>
                <w:spacing w:val="0"/>
                <w:position w:val="0"/>
                <w:sz w:val="24"/>
                <w:szCs w:val="24"/>
                <w:highlight w:val="none"/>
              </w:rPr>
              <w:t>石蜡油吸附治理，根据《排污许可证申请与核发技术规范农副食品加工工业—饲料加工、植物油加工工业》（HJ1110-2020）附录C，石蜡油吸附为可行技术。</w:t>
            </w:r>
          </w:p>
          <w:p w14:paraId="76C50577">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本项目精炼车间产生的废气经石蜡油吸附+活性炭吸附治理，</w:t>
            </w:r>
            <w:r>
              <w:rPr>
                <w:rFonts w:hint="default" w:ascii="Times New Roman" w:hAnsi="Times New Roman" w:eastAsia="宋体" w:cs="Times New Roman"/>
                <w:color w:val="auto"/>
                <w:spacing w:val="0"/>
                <w:position w:val="0"/>
                <w:sz w:val="24"/>
                <w:szCs w:val="24"/>
                <w:highlight w:val="none"/>
              </w:rPr>
              <w:t>根据《排污许可证申请与核发技术规范农副食品加工工业—饲料加工、植物油加工工业》（HJ1110-2020）附录C，石蜡油吸附</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lang w:val="en-US" w:eastAsia="zh-CN"/>
              </w:rPr>
              <w:t>活性炭吸附</w:t>
            </w:r>
            <w:r>
              <w:rPr>
                <w:rFonts w:hint="default" w:ascii="Times New Roman" w:hAnsi="Times New Roman" w:eastAsia="宋体" w:cs="Times New Roman"/>
                <w:color w:val="auto"/>
                <w:spacing w:val="0"/>
                <w:position w:val="0"/>
                <w:sz w:val="24"/>
                <w:szCs w:val="24"/>
                <w:highlight w:val="none"/>
              </w:rPr>
              <w:t>为可行技术。</w:t>
            </w:r>
          </w:p>
          <w:p w14:paraId="36562E57">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本项目锅炉产生的废气经旋风+布袋除尘器治理，</w:t>
            </w:r>
            <w:r>
              <w:rPr>
                <w:rFonts w:hint="default" w:ascii="Times New Roman" w:hAnsi="Times New Roman" w:eastAsia="宋体" w:cs="Times New Roman"/>
                <w:color w:val="auto"/>
                <w:spacing w:val="0"/>
                <w:position w:val="0"/>
                <w:sz w:val="24"/>
                <w:szCs w:val="24"/>
                <w:highlight w:val="none"/>
              </w:rPr>
              <w:t>根据《排污许可证申请与核发技术规范 锅炉》（HJ953-2018）中</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表7 锅炉烟气污染防治可行技术</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本项目选取的</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多管旋风除尘器+布袋除尘器</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是其</w:t>
            </w:r>
            <w:r>
              <w:rPr>
                <w:rFonts w:hint="default" w:ascii="Times New Roman" w:hAnsi="Times New Roman" w:cs="Times New Roman"/>
                <w:color w:val="auto"/>
                <w:spacing w:val="0"/>
                <w:position w:val="0"/>
                <w:sz w:val="24"/>
                <w:szCs w:val="24"/>
                <w:highlight w:val="none"/>
                <w:lang w:val="en-US" w:eastAsia="zh-CN"/>
              </w:rPr>
              <w:t>推荐</w:t>
            </w:r>
            <w:r>
              <w:rPr>
                <w:rFonts w:hint="default" w:ascii="Times New Roman" w:hAnsi="Times New Roman" w:eastAsia="宋体" w:cs="Times New Roman"/>
                <w:color w:val="auto"/>
                <w:spacing w:val="0"/>
                <w:position w:val="0"/>
                <w:sz w:val="24"/>
                <w:szCs w:val="24"/>
                <w:highlight w:val="none"/>
              </w:rPr>
              <w:t>的可行技术。</w:t>
            </w:r>
          </w:p>
          <w:p w14:paraId="030D5082">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本项目污水处理站产生的废气经活性炭吸附治理，</w:t>
            </w:r>
            <w:r>
              <w:rPr>
                <w:rFonts w:hint="default" w:ascii="Times New Roman" w:hAnsi="Times New Roman" w:eastAsia="宋体" w:cs="Times New Roman"/>
                <w:color w:val="auto"/>
                <w:spacing w:val="0"/>
                <w:position w:val="0"/>
                <w:sz w:val="24"/>
                <w:szCs w:val="24"/>
                <w:highlight w:val="none"/>
              </w:rPr>
              <w:t>活性炭是一种主要由含碳材料制成的外观呈黑色，内部</w:t>
            </w:r>
            <w:r>
              <w:rPr>
                <w:rFonts w:hint="eastAsia" w:cs="Times New Roman"/>
                <w:color w:val="auto"/>
                <w:spacing w:val="0"/>
                <w:position w:val="0"/>
                <w:sz w:val="24"/>
                <w:szCs w:val="24"/>
                <w:highlight w:val="none"/>
                <w:lang w:eastAsia="zh-CN"/>
              </w:rPr>
              <w:t>孔隙</w:t>
            </w:r>
            <w:r>
              <w:rPr>
                <w:rFonts w:hint="default" w:ascii="Times New Roman" w:hAnsi="Times New Roman" w:eastAsia="宋体" w:cs="Times New Roman"/>
                <w:color w:val="auto"/>
                <w:spacing w:val="0"/>
                <w:position w:val="0"/>
                <w:sz w:val="24"/>
                <w:szCs w:val="24"/>
                <w:highlight w:val="none"/>
              </w:rPr>
              <w:t>结构发达、比表面积大、吸附能力强的一类微晶质炭素颗粒材料。活性炭材料中存在大量肉眼不可见的微孔，1g活性炭材料中的微孔在展开后表面积可高达800~1000平方米，这些高度发达，如人体毛细血管般的孔隙结构，使活性炭拥有了优良的吸附性能</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本项目采用活性炭吸附</w:t>
            </w:r>
            <w:r>
              <w:rPr>
                <w:rFonts w:hint="default" w:ascii="Times New Roman" w:hAnsi="Times New Roman" w:cs="Times New Roman"/>
                <w:color w:val="auto"/>
                <w:spacing w:val="0"/>
                <w:position w:val="0"/>
                <w:sz w:val="24"/>
                <w:szCs w:val="24"/>
                <w:highlight w:val="none"/>
                <w:lang w:val="en-US" w:eastAsia="zh-CN"/>
              </w:rPr>
              <w:t>是可行的</w:t>
            </w:r>
            <w:r>
              <w:rPr>
                <w:rFonts w:hint="default" w:ascii="Times New Roman" w:hAnsi="Times New Roman" w:eastAsia="宋体" w:cs="Times New Roman"/>
                <w:color w:val="auto"/>
                <w:spacing w:val="0"/>
                <w:position w:val="0"/>
                <w:sz w:val="24"/>
                <w:szCs w:val="24"/>
                <w:highlight w:val="none"/>
              </w:rPr>
              <w:t>。</w:t>
            </w:r>
          </w:p>
          <w:p w14:paraId="3E1B48CD">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综上，建设单位在做到本项目提出的废气治理措施的基础上，严格遵守活性炭装置的运行及维护手册中的内容，定期对设备进行点检。在做到本环评提出的监管措施后，项目采取多级活性炭吸附的废气治理措施能够做到稳定运行，排放的废气可满足相关标准达标排放，对周围环境影响较小。</w:t>
            </w:r>
          </w:p>
          <w:p w14:paraId="1E3B12CE">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（2）无组织废气排放控制措施</w:t>
            </w:r>
          </w:p>
          <w:p w14:paraId="0A5EF303">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 xml:space="preserve">根据《排污许可证申请与核发技术规范 农副食品加工工业-饲料加工、植物油加工工业》（HJ1110-2020）中6.3.2.2 无组织排放控制要求：加强装卸料、输运设备的密封或密闭，或者收集送除尘装置处理后排放。 植物油加工工业排污单位应加强蒸炒、焙炒环节的通风，安装排风扇；或者集中收集经水封或处理后经排气筒排放；植物油加工工业排污单位应注意有机溶剂须储存于密闭存储装置中，并置于专用场地，并保持非取用状态密闭。 </w:t>
            </w:r>
          </w:p>
          <w:p w14:paraId="1958C327">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预处理车间、浸出车间均为密闭车间，车间内安装排风扇，本项目浸出工艺系统设置负压吸风系统；正己烷储罐采用地埋式；采用原装进口的填料和密封垫片，经常巡检泵、管件阀门、进料口等并及时处理，最大限度</w:t>
            </w:r>
            <w:r>
              <w:rPr>
                <w:rFonts w:hint="default" w:ascii="Times New Roman" w:hAnsi="Times New Roman" w:cs="Times New Roman"/>
                <w:color w:val="auto"/>
                <w:spacing w:val="0"/>
                <w:position w:val="0"/>
                <w:sz w:val="24"/>
                <w:szCs w:val="24"/>
                <w:highlight w:val="none"/>
                <w:lang w:eastAsia="zh-CN"/>
              </w:rPr>
              <w:t>地</w:t>
            </w:r>
            <w:r>
              <w:rPr>
                <w:rFonts w:hint="default" w:ascii="Times New Roman" w:hAnsi="Times New Roman" w:eastAsia="宋体" w:cs="Times New Roman"/>
                <w:color w:val="auto"/>
                <w:spacing w:val="0"/>
                <w:position w:val="0"/>
                <w:sz w:val="24"/>
                <w:szCs w:val="24"/>
                <w:highlight w:val="none"/>
              </w:rPr>
              <w:t>降低溶剂蒸汽泄漏，溶剂（</w:t>
            </w:r>
            <w:r>
              <w:rPr>
                <w:rFonts w:hint="default" w:ascii="Times New Roman" w:hAnsi="Times New Roman" w:cs="Times New Roman"/>
                <w:color w:val="auto"/>
                <w:spacing w:val="0"/>
                <w:position w:val="0"/>
                <w:sz w:val="24"/>
                <w:szCs w:val="24"/>
                <w:highlight w:val="none"/>
                <w:lang w:eastAsia="zh-CN"/>
              </w:rPr>
              <w:t>正己烷</w:t>
            </w:r>
            <w:r>
              <w:rPr>
                <w:rFonts w:hint="default" w:ascii="Times New Roman" w:hAnsi="Times New Roman" w:eastAsia="宋体" w:cs="Times New Roman"/>
                <w:color w:val="auto"/>
                <w:spacing w:val="0"/>
                <w:position w:val="0"/>
                <w:sz w:val="24"/>
                <w:szCs w:val="24"/>
                <w:highlight w:val="none"/>
              </w:rPr>
              <w:t>）在各个生产过程中设备及管线及投料口等的无组织泄漏。满足《排污许可证申请与核发技术规范 农副食品加工工业-饲料加工、植物油加工工业》（HJ1110-2020）中6.3.2.2 无组织排放控制要求。本项目设置生物质燃料及灰渣间1处，用于存储生物质燃料</w:t>
            </w:r>
            <w:r>
              <w:rPr>
                <w:rFonts w:hint="default" w:ascii="Times New Roman" w:hAnsi="Times New Roman" w:cs="Times New Roman"/>
                <w:color w:val="auto"/>
                <w:spacing w:val="0"/>
                <w:position w:val="0"/>
                <w:sz w:val="24"/>
                <w:szCs w:val="24"/>
                <w:highlight w:val="none"/>
                <w:lang w:eastAsia="zh-CN"/>
              </w:rPr>
              <w:t>，以</w:t>
            </w:r>
            <w:r>
              <w:rPr>
                <w:rFonts w:hint="default" w:ascii="Times New Roman" w:hAnsi="Times New Roman" w:eastAsia="宋体" w:cs="Times New Roman"/>
                <w:color w:val="auto"/>
                <w:spacing w:val="0"/>
                <w:position w:val="0"/>
                <w:sz w:val="24"/>
                <w:szCs w:val="24"/>
                <w:highlight w:val="none"/>
              </w:rPr>
              <w:t>及燃料燃烧产生的炉渣和布袋除尘器收集的除尘灰，存储车间密闭，厂区裸露地面采取地面硬化措施。无组织排放控制要求符合《排污许可证申请与核发技术规范 锅炉》（HJ953-2018）“表 8 锅炉排污单位无组织排放控制要求”。</w:t>
            </w:r>
          </w:p>
          <w:p w14:paraId="491E2EE2">
            <w:pPr>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通过上述措施，本工程厂区内车间外、储罐外及危险废物贮存库外无组织非甲烷总烃排放浓度满足《挥发性有机物无组织排放控制标准》（GB37822-2019）附录A表A.1中无组织排放监控浓度限值要求；厂界处非甲烷总烃满足《大气污染物综合排放标准》（GB16297-1996）表2无组织限值排放标准，臭气浓度满足《恶臭污染物排放标准》（GB14554-93）中二级厂界标准限值要求。</w:t>
            </w:r>
          </w:p>
          <w:p w14:paraId="3373E647">
            <w:pPr>
              <w:pStyle w:val="92"/>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6</w:t>
            </w:r>
            <w:r>
              <w:rPr>
                <w:rFonts w:hint="default" w:ascii="Times New Roman" w:hAnsi="Times New Roman" w:eastAsia="宋体" w:cs="Times New Roman"/>
                <w:color w:val="auto"/>
                <w:spacing w:val="0"/>
                <w:position w:val="0"/>
                <w:sz w:val="24"/>
                <w:szCs w:val="24"/>
                <w:highlight w:val="none"/>
              </w:rPr>
              <w:t>、监测计划</w:t>
            </w:r>
          </w:p>
          <w:p w14:paraId="0FFB0D37">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bCs w:val="0"/>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本项目污染源监测计划</w:t>
            </w:r>
            <w:r>
              <w:rPr>
                <w:rFonts w:hint="default" w:ascii="Times New Roman" w:hAnsi="Times New Roman" w:cs="Times New Roman"/>
                <w:color w:val="auto"/>
                <w:spacing w:val="0"/>
                <w:position w:val="0"/>
                <w:sz w:val="24"/>
                <w:szCs w:val="24"/>
                <w:highlight w:val="none"/>
                <w:lang w:eastAsia="zh-CN"/>
              </w:rPr>
              <w:t>参照</w:t>
            </w:r>
            <w:r>
              <w:rPr>
                <w:rFonts w:hint="default" w:ascii="Times New Roman" w:hAnsi="Times New Roman" w:eastAsia="宋体" w:cs="Times New Roman"/>
                <w:color w:val="auto"/>
                <w:spacing w:val="0"/>
                <w:position w:val="0"/>
                <w:sz w:val="24"/>
                <w:szCs w:val="24"/>
                <w:highlight w:val="none"/>
              </w:rPr>
              <w:t>《排污单位自行监测技术指南 总则》（HJ 819-2017）、《排污单位自行监测技术指南 农副食品加工业》（HJ986-2018）、《排污单位自行监测技术指南 火力发电及锅炉》</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HJ820-2017</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制定。企业委托有资质的监测机构代其开展自行监测，并将信息记录和信息报告存档，全过程应符合《排污单位自行监测技术指南 农副食品加工业》（HJ986-2018）、《排污单位自行监测技术指南 火力发电及锅炉》</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HJ820-2017</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要求。排污单位应掌握本单位的污染排放状况及其对周边环境质量的影响，对污染物排放、周边环境质量影响进行监测要求，确定本项目大气污染源监测计划见表4-</w:t>
            </w:r>
            <w:r>
              <w:rPr>
                <w:rFonts w:hint="default" w:ascii="Times New Roman" w:hAnsi="Times New Roman" w:cs="Times New Roman"/>
                <w:color w:val="auto"/>
                <w:spacing w:val="0"/>
                <w:position w:val="0"/>
                <w:sz w:val="24"/>
                <w:szCs w:val="24"/>
                <w:highlight w:val="none"/>
                <w:lang w:val="en-US" w:eastAsia="zh-CN"/>
              </w:rPr>
              <w:t>4</w:t>
            </w:r>
            <w:r>
              <w:rPr>
                <w:rFonts w:hint="default" w:ascii="Times New Roman" w:hAnsi="Times New Roman" w:eastAsia="宋体" w:cs="Times New Roman"/>
                <w:color w:val="auto"/>
                <w:spacing w:val="0"/>
                <w:position w:val="0"/>
                <w:sz w:val="24"/>
                <w:szCs w:val="24"/>
                <w:highlight w:val="none"/>
              </w:rPr>
              <w:t>。</w:t>
            </w:r>
          </w:p>
          <w:p w14:paraId="69A3344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baseline"/>
              <w:rPr>
                <w:rFonts w:hint="default" w:ascii="Times New Roman" w:hAnsi="Times New Roman" w:eastAsia="宋体" w:cs="Times New Roman"/>
                <w:b/>
                <w:color w:val="auto"/>
                <w:spacing w:val="0"/>
                <w:position w:val="0"/>
                <w:sz w:val="24"/>
                <w:szCs w:val="24"/>
                <w:highlight w:val="none"/>
              </w:rPr>
            </w:pPr>
          </w:p>
          <w:p w14:paraId="2910A88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baseline"/>
              <w:rPr>
                <w:rFonts w:hint="default" w:ascii="Times New Roman" w:hAnsi="Times New Roman" w:eastAsia="宋体" w:cs="Times New Roman"/>
                <w:b/>
                <w:color w:val="auto"/>
                <w:spacing w:val="0"/>
                <w:position w:val="0"/>
                <w:sz w:val="24"/>
                <w:szCs w:val="24"/>
                <w:highlight w:val="none"/>
              </w:rPr>
            </w:pPr>
          </w:p>
          <w:p w14:paraId="65F65BF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baseline"/>
              <w:rPr>
                <w:rFonts w:hint="default" w:ascii="Times New Roman" w:hAnsi="Times New Roman" w:eastAsia="宋体" w:cs="Times New Roman"/>
                <w:b/>
                <w:color w:val="auto"/>
                <w:spacing w:val="0"/>
                <w:position w:val="0"/>
                <w:sz w:val="24"/>
                <w:szCs w:val="24"/>
                <w:highlight w:val="none"/>
              </w:rPr>
            </w:pPr>
          </w:p>
          <w:p w14:paraId="714A8C3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baseline"/>
              <w:rPr>
                <w:rFonts w:hint="default" w:ascii="Times New Roman" w:hAnsi="Times New Roman" w:eastAsia="宋体" w:cs="Times New Roman"/>
                <w:b/>
                <w:color w:val="auto"/>
                <w:spacing w:val="0"/>
                <w:position w:val="0"/>
                <w:sz w:val="24"/>
                <w:szCs w:val="24"/>
                <w:highlight w:val="none"/>
              </w:rPr>
            </w:pPr>
            <w:r>
              <w:rPr>
                <w:rFonts w:hint="default" w:ascii="Times New Roman" w:hAnsi="Times New Roman" w:eastAsia="宋体" w:cs="Times New Roman"/>
                <w:b/>
                <w:color w:val="auto"/>
                <w:spacing w:val="0"/>
                <w:position w:val="0"/>
                <w:sz w:val="24"/>
                <w:szCs w:val="24"/>
                <w:highlight w:val="none"/>
              </w:rPr>
              <w:t>表4-</w:t>
            </w:r>
            <w:r>
              <w:rPr>
                <w:rFonts w:hint="default" w:ascii="Times New Roman" w:hAnsi="Times New Roman" w:cs="Times New Roman"/>
                <w:b/>
                <w:color w:val="auto"/>
                <w:spacing w:val="0"/>
                <w:position w:val="0"/>
                <w:sz w:val="24"/>
                <w:szCs w:val="24"/>
                <w:highlight w:val="none"/>
                <w:lang w:val="en-US" w:eastAsia="zh-CN"/>
              </w:rPr>
              <w:t>4</w:t>
            </w:r>
            <w:r>
              <w:rPr>
                <w:rFonts w:hint="default" w:ascii="Times New Roman" w:hAnsi="Times New Roman" w:eastAsia="宋体" w:cs="Times New Roman"/>
                <w:b/>
                <w:color w:val="auto"/>
                <w:spacing w:val="0"/>
                <w:position w:val="0"/>
                <w:sz w:val="24"/>
                <w:szCs w:val="24"/>
                <w:highlight w:val="none"/>
              </w:rPr>
              <w:t xml:space="preserve"> 环境监测计划</w:t>
            </w:r>
          </w:p>
          <w:tbl>
            <w:tblPr>
              <w:tblStyle w:val="29"/>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9"/>
              <w:gridCol w:w="888"/>
              <w:gridCol w:w="1110"/>
              <w:gridCol w:w="1143"/>
              <w:gridCol w:w="1096"/>
              <w:gridCol w:w="1084"/>
              <w:gridCol w:w="1911"/>
              <w:gridCol w:w="676"/>
            </w:tblGrid>
            <w:tr w14:paraId="7C848A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57" w:type="pct"/>
                  <w:noWrap w:val="0"/>
                  <w:vAlign w:val="center"/>
                </w:tcPr>
                <w:p w14:paraId="4F6EDEA5">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项目</w:t>
                  </w:r>
                </w:p>
              </w:tc>
              <w:tc>
                <w:tcPr>
                  <w:tcW w:w="532" w:type="pct"/>
                  <w:noWrap w:val="0"/>
                  <w:vAlign w:val="center"/>
                </w:tcPr>
                <w:p w14:paraId="3C614B30">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污染源</w:t>
                  </w:r>
                </w:p>
              </w:tc>
              <w:tc>
                <w:tcPr>
                  <w:tcW w:w="665" w:type="pct"/>
                  <w:noWrap w:val="0"/>
                  <w:vAlign w:val="center"/>
                </w:tcPr>
                <w:p w14:paraId="28EA48FE">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监测指标</w:t>
                  </w:r>
                </w:p>
              </w:tc>
              <w:tc>
                <w:tcPr>
                  <w:tcW w:w="685" w:type="pct"/>
                  <w:noWrap w:val="0"/>
                  <w:vAlign w:val="center"/>
                </w:tcPr>
                <w:p w14:paraId="347CEAFA">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环境保护措施</w:t>
                  </w:r>
                </w:p>
              </w:tc>
              <w:tc>
                <w:tcPr>
                  <w:tcW w:w="657" w:type="pct"/>
                  <w:noWrap w:val="0"/>
                  <w:vAlign w:val="center"/>
                </w:tcPr>
                <w:p w14:paraId="745B49B3">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监测点位</w:t>
                  </w:r>
                </w:p>
              </w:tc>
              <w:tc>
                <w:tcPr>
                  <w:tcW w:w="650" w:type="pct"/>
                  <w:noWrap w:val="0"/>
                  <w:vAlign w:val="center"/>
                </w:tcPr>
                <w:p w14:paraId="4E1803D7">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监测频次</w:t>
                  </w:r>
                </w:p>
              </w:tc>
              <w:tc>
                <w:tcPr>
                  <w:tcW w:w="1146" w:type="pct"/>
                  <w:noWrap w:val="0"/>
                  <w:vAlign w:val="center"/>
                </w:tcPr>
                <w:p w14:paraId="37E45688">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执行标准</w:t>
                  </w:r>
                </w:p>
              </w:tc>
              <w:tc>
                <w:tcPr>
                  <w:tcW w:w="405" w:type="pct"/>
                  <w:noWrap w:val="0"/>
                  <w:vAlign w:val="center"/>
                </w:tcPr>
                <w:p w14:paraId="53C681D0">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监测方式</w:t>
                  </w:r>
                </w:p>
              </w:tc>
            </w:tr>
            <w:tr w14:paraId="092929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57" w:type="pct"/>
                  <w:vMerge w:val="restart"/>
                  <w:noWrap w:val="0"/>
                  <w:vAlign w:val="center"/>
                </w:tcPr>
                <w:p w14:paraId="2899581E">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有组织废气</w:t>
                  </w:r>
                </w:p>
              </w:tc>
              <w:tc>
                <w:tcPr>
                  <w:tcW w:w="532" w:type="pct"/>
                  <w:shd w:val="clear" w:color="auto" w:fill="auto"/>
                  <w:noWrap w:val="0"/>
                  <w:vAlign w:val="center"/>
                </w:tcPr>
                <w:p w14:paraId="0D607574">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预处理车间排气筒</w:t>
                  </w:r>
                </w:p>
              </w:tc>
              <w:tc>
                <w:tcPr>
                  <w:tcW w:w="665" w:type="pct"/>
                  <w:shd w:val="clear" w:color="auto" w:fill="auto"/>
                  <w:noWrap w:val="0"/>
                  <w:vAlign w:val="center"/>
                </w:tcPr>
                <w:p w14:paraId="6DB04E07">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颗粒物</w:t>
                  </w:r>
                </w:p>
              </w:tc>
              <w:tc>
                <w:tcPr>
                  <w:tcW w:w="685" w:type="pct"/>
                  <w:shd w:val="clear" w:color="auto" w:fill="auto"/>
                  <w:noWrap w:val="0"/>
                  <w:vAlign w:val="center"/>
                </w:tcPr>
                <w:p w14:paraId="469293B9">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lang w:eastAsia="zh-CN"/>
                    </w:rPr>
                    <w:t>集气装置</w:t>
                  </w:r>
                  <w:r>
                    <w:rPr>
                      <w:rFonts w:hint="default" w:ascii="Times New Roman" w:hAnsi="Times New Roman" w:eastAsia="宋体" w:cs="Times New Roman"/>
                      <w:color w:val="auto"/>
                      <w:spacing w:val="0"/>
                      <w:position w:val="0"/>
                      <w:szCs w:val="21"/>
                      <w:highlight w:val="none"/>
                    </w:rPr>
                    <w:t>+袋式除尘器</w:t>
                  </w:r>
                </w:p>
              </w:tc>
              <w:tc>
                <w:tcPr>
                  <w:tcW w:w="657" w:type="pct"/>
                  <w:shd w:val="clear" w:color="auto" w:fill="auto"/>
                  <w:noWrap w:val="0"/>
                  <w:vAlign w:val="center"/>
                </w:tcPr>
                <w:p w14:paraId="5D80CF43">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排气筒</w:t>
                  </w:r>
                </w:p>
                <w:p w14:paraId="4BF3EB00">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出口</w:t>
                  </w:r>
                </w:p>
              </w:tc>
              <w:tc>
                <w:tcPr>
                  <w:tcW w:w="650" w:type="pct"/>
                  <w:shd w:val="clear" w:color="auto" w:fill="auto"/>
                  <w:noWrap w:val="0"/>
                  <w:vAlign w:val="center"/>
                </w:tcPr>
                <w:p w14:paraId="50F602D4">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1次/半年</w:t>
                  </w:r>
                </w:p>
                <w:p w14:paraId="500740CE">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p>
              </w:tc>
              <w:tc>
                <w:tcPr>
                  <w:tcW w:w="1146" w:type="pct"/>
                  <w:shd w:val="clear" w:color="auto" w:fill="auto"/>
                  <w:noWrap w:val="0"/>
                  <w:vAlign w:val="center"/>
                </w:tcPr>
                <w:p w14:paraId="0FC210A2">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《大气污染物综合排放标准》（GB16297-1996）表2要求</w:t>
                  </w:r>
                </w:p>
              </w:tc>
              <w:tc>
                <w:tcPr>
                  <w:tcW w:w="405" w:type="pct"/>
                  <w:vMerge w:val="restart"/>
                  <w:noWrap w:val="0"/>
                  <w:vAlign w:val="center"/>
                </w:tcPr>
                <w:p w14:paraId="09E54F72">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委托检测</w:t>
                  </w:r>
                </w:p>
              </w:tc>
            </w:tr>
            <w:tr w14:paraId="56FA15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57" w:type="pct"/>
                  <w:vMerge w:val="continue"/>
                  <w:noWrap w:val="0"/>
                  <w:vAlign w:val="center"/>
                </w:tcPr>
                <w:p w14:paraId="2E2E7BF6">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532" w:type="pct"/>
                  <w:shd w:val="clear" w:color="auto" w:fill="auto"/>
                  <w:noWrap w:val="0"/>
                  <w:vAlign w:val="center"/>
                </w:tcPr>
                <w:p w14:paraId="6ED06525">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浸出车间排气筒</w:t>
                  </w:r>
                </w:p>
              </w:tc>
              <w:tc>
                <w:tcPr>
                  <w:tcW w:w="665" w:type="pct"/>
                  <w:shd w:val="clear" w:color="auto" w:fill="auto"/>
                  <w:noWrap w:val="0"/>
                  <w:vAlign w:val="center"/>
                </w:tcPr>
                <w:p w14:paraId="254595CB">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非甲烷总烃</w:t>
                  </w:r>
                </w:p>
              </w:tc>
              <w:tc>
                <w:tcPr>
                  <w:tcW w:w="685" w:type="pct"/>
                  <w:shd w:val="clear" w:color="auto" w:fill="auto"/>
                  <w:noWrap w:val="0"/>
                  <w:vAlign w:val="center"/>
                </w:tcPr>
                <w:p w14:paraId="1088B58A">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highlight w:val="none"/>
                    </w:rPr>
                    <w:t>多级冷凝+石蜡吸收工艺</w:t>
                  </w:r>
                </w:p>
              </w:tc>
              <w:tc>
                <w:tcPr>
                  <w:tcW w:w="657" w:type="pct"/>
                  <w:shd w:val="clear" w:color="auto" w:fill="auto"/>
                  <w:noWrap w:val="0"/>
                  <w:vAlign w:val="center"/>
                </w:tcPr>
                <w:p w14:paraId="22E8C0DC">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排气筒</w:t>
                  </w:r>
                </w:p>
                <w:p w14:paraId="0F6C7808">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出口</w:t>
                  </w:r>
                </w:p>
              </w:tc>
              <w:tc>
                <w:tcPr>
                  <w:tcW w:w="650" w:type="pct"/>
                  <w:shd w:val="clear" w:color="auto" w:fill="auto"/>
                  <w:noWrap w:val="0"/>
                  <w:vAlign w:val="center"/>
                </w:tcPr>
                <w:p w14:paraId="3DF5F505">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1次/季度</w:t>
                  </w:r>
                </w:p>
              </w:tc>
              <w:tc>
                <w:tcPr>
                  <w:tcW w:w="1146" w:type="pct"/>
                  <w:shd w:val="clear" w:color="auto" w:fill="auto"/>
                  <w:noWrap w:val="0"/>
                  <w:vAlign w:val="center"/>
                </w:tcPr>
                <w:p w14:paraId="0D4776DD">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《大气污染物综合排放标准》（GB16297-1996）表2要求</w:t>
                  </w:r>
                </w:p>
              </w:tc>
              <w:tc>
                <w:tcPr>
                  <w:tcW w:w="405" w:type="pct"/>
                  <w:vMerge w:val="continue"/>
                  <w:noWrap w:val="0"/>
                  <w:vAlign w:val="center"/>
                </w:tcPr>
                <w:p w14:paraId="71AA04EA">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r>
            <w:tr w14:paraId="4A2F30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57" w:type="pct"/>
                  <w:vMerge w:val="continue"/>
                  <w:noWrap w:val="0"/>
                  <w:vAlign w:val="center"/>
                </w:tcPr>
                <w:p w14:paraId="37E64263">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532" w:type="pct"/>
                  <w:shd w:val="clear" w:color="auto" w:fill="auto"/>
                  <w:noWrap w:val="0"/>
                  <w:vAlign w:val="center"/>
                </w:tcPr>
                <w:p w14:paraId="1E728ACB">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精炼车间排气筒</w:t>
                  </w:r>
                </w:p>
              </w:tc>
              <w:tc>
                <w:tcPr>
                  <w:tcW w:w="665" w:type="pct"/>
                  <w:shd w:val="clear" w:color="auto" w:fill="auto"/>
                  <w:noWrap w:val="0"/>
                  <w:vAlign w:val="center"/>
                </w:tcPr>
                <w:p w14:paraId="31AAEC53">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非甲烷总烃</w:t>
                  </w:r>
                  <w:r>
                    <w:rPr>
                      <w:rFonts w:hint="default" w:ascii="Times New Roman" w:hAnsi="Times New Roman" w:cs="Times New Roman"/>
                      <w:color w:val="auto"/>
                      <w:spacing w:val="0"/>
                      <w:position w:val="0"/>
                      <w:szCs w:val="21"/>
                      <w:highlight w:val="none"/>
                      <w:lang w:eastAsia="zh-CN"/>
                    </w:rPr>
                    <w:t>、</w:t>
                  </w:r>
                  <w:r>
                    <w:rPr>
                      <w:rFonts w:hint="default" w:ascii="Times New Roman" w:hAnsi="Times New Roman" w:cs="Times New Roman"/>
                      <w:color w:val="auto"/>
                      <w:spacing w:val="0"/>
                      <w:position w:val="0"/>
                      <w:szCs w:val="21"/>
                      <w:highlight w:val="none"/>
                      <w:lang w:val="en-US" w:eastAsia="zh-CN"/>
                    </w:rPr>
                    <w:t>臭气浓度</w:t>
                  </w:r>
                </w:p>
              </w:tc>
              <w:tc>
                <w:tcPr>
                  <w:tcW w:w="685" w:type="pct"/>
                  <w:shd w:val="clear" w:color="auto" w:fill="auto"/>
                  <w:noWrap w:val="0"/>
                  <w:vAlign w:val="center"/>
                </w:tcPr>
                <w:p w14:paraId="393E1022">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4"/>
                      <w:highlight w:val="none"/>
                      <w:lang w:val="en-US" w:eastAsia="zh-CN" w:bidi="ar-SA"/>
                    </w:rPr>
                  </w:pPr>
                  <w:r>
                    <w:rPr>
                      <w:rFonts w:hint="default" w:ascii="Times New Roman" w:hAnsi="Times New Roman" w:eastAsia="宋体" w:cs="Times New Roman"/>
                      <w:color w:val="auto"/>
                      <w:spacing w:val="0"/>
                      <w:kern w:val="2"/>
                      <w:position w:val="0"/>
                      <w:sz w:val="21"/>
                      <w:szCs w:val="24"/>
                      <w:highlight w:val="none"/>
                      <w:lang w:val="en-US" w:eastAsia="zh-CN" w:bidi="ar-SA"/>
                    </w:rPr>
                    <w:t>石蜡吸收+活性炭吸附</w:t>
                  </w:r>
                </w:p>
              </w:tc>
              <w:tc>
                <w:tcPr>
                  <w:tcW w:w="657" w:type="pct"/>
                  <w:shd w:val="clear" w:color="auto" w:fill="auto"/>
                  <w:noWrap w:val="0"/>
                  <w:vAlign w:val="center"/>
                </w:tcPr>
                <w:p w14:paraId="687C0F04">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kern w:val="2"/>
                      <w:position w:val="0"/>
                      <w:sz w:val="21"/>
                      <w:szCs w:val="21"/>
                      <w:highlight w:val="none"/>
                      <w:lang w:val="en-US" w:eastAsia="zh-CN" w:bidi="ar-SA"/>
                    </w:rPr>
                    <w:t>排气筒</w:t>
                  </w:r>
                </w:p>
                <w:p w14:paraId="307E1202">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kern w:val="2"/>
                      <w:position w:val="0"/>
                      <w:sz w:val="21"/>
                      <w:szCs w:val="21"/>
                      <w:highlight w:val="none"/>
                      <w:lang w:val="en-US" w:eastAsia="zh-CN" w:bidi="ar-SA"/>
                    </w:rPr>
                    <w:t>出口</w:t>
                  </w:r>
                </w:p>
              </w:tc>
              <w:tc>
                <w:tcPr>
                  <w:tcW w:w="650" w:type="pct"/>
                  <w:shd w:val="clear" w:color="auto" w:fill="auto"/>
                  <w:noWrap w:val="0"/>
                  <w:vAlign w:val="center"/>
                </w:tcPr>
                <w:p w14:paraId="08DB290C">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1次/季度</w:t>
                  </w:r>
                </w:p>
              </w:tc>
              <w:tc>
                <w:tcPr>
                  <w:tcW w:w="1146" w:type="pct"/>
                  <w:shd w:val="clear" w:color="auto" w:fill="auto"/>
                  <w:noWrap w:val="0"/>
                  <w:vAlign w:val="center"/>
                </w:tcPr>
                <w:p w14:paraId="5EB23D2F">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《大气污染物综合排放标准》（GB16297-1996）表2要求</w:t>
                  </w:r>
                </w:p>
              </w:tc>
              <w:tc>
                <w:tcPr>
                  <w:tcW w:w="405" w:type="pct"/>
                  <w:vMerge w:val="continue"/>
                  <w:noWrap w:val="0"/>
                  <w:vAlign w:val="center"/>
                </w:tcPr>
                <w:p w14:paraId="11A23D8B">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r>
            <w:tr w14:paraId="046969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57" w:type="pct"/>
                  <w:vMerge w:val="continue"/>
                  <w:noWrap w:val="0"/>
                  <w:vAlign w:val="center"/>
                </w:tcPr>
                <w:p w14:paraId="042CE083">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532" w:type="pct"/>
                  <w:shd w:val="clear" w:color="auto" w:fill="auto"/>
                  <w:noWrap w:val="0"/>
                  <w:vAlign w:val="center"/>
                </w:tcPr>
                <w:p w14:paraId="0A551986">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生物质锅炉烟囱</w:t>
                  </w:r>
                </w:p>
              </w:tc>
              <w:tc>
                <w:tcPr>
                  <w:tcW w:w="665" w:type="pct"/>
                  <w:shd w:val="clear" w:color="auto" w:fill="auto"/>
                  <w:noWrap w:val="0"/>
                  <w:vAlign w:val="center"/>
                </w:tcPr>
                <w:p w14:paraId="2C99E6C6">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颗粒物、SO</w:t>
                  </w:r>
                  <w:r>
                    <w:rPr>
                      <w:rFonts w:hint="default" w:ascii="Times New Roman" w:hAnsi="Times New Roman" w:eastAsia="宋体" w:cs="Times New Roman"/>
                      <w:color w:val="auto"/>
                      <w:spacing w:val="0"/>
                      <w:position w:val="0"/>
                      <w:szCs w:val="21"/>
                      <w:highlight w:val="none"/>
                      <w:vertAlign w:val="subscript"/>
                    </w:rPr>
                    <w:t>2</w:t>
                  </w:r>
                  <w:r>
                    <w:rPr>
                      <w:rFonts w:hint="default" w:ascii="Times New Roman" w:hAnsi="Times New Roman" w:eastAsia="宋体" w:cs="Times New Roman"/>
                      <w:color w:val="auto"/>
                      <w:spacing w:val="0"/>
                      <w:position w:val="0"/>
                      <w:szCs w:val="21"/>
                      <w:highlight w:val="none"/>
                    </w:rPr>
                    <w:t>、NO</w:t>
                  </w:r>
                  <w:r>
                    <w:rPr>
                      <w:rFonts w:hint="default" w:ascii="Times New Roman" w:hAnsi="Times New Roman" w:eastAsia="宋体" w:cs="Times New Roman"/>
                      <w:color w:val="auto"/>
                      <w:spacing w:val="0"/>
                      <w:position w:val="0"/>
                      <w:szCs w:val="21"/>
                      <w:highlight w:val="none"/>
                      <w:vertAlign w:val="subscript"/>
                    </w:rPr>
                    <w:t>X</w:t>
                  </w:r>
                  <w:r>
                    <w:rPr>
                      <w:rFonts w:hint="default" w:ascii="Times New Roman" w:hAnsi="Times New Roman" w:eastAsia="宋体" w:cs="Times New Roman"/>
                      <w:color w:val="auto"/>
                      <w:spacing w:val="0"/>
                      <w:position w:val="0"/>
                      <w:szCs w:val="21"/>
                      <w:highlight w:val="none"/>
                    </w:rPr>
                    <w:t>、</w:t>
                  </w:r>
                </w:p>
                <w:p w14:paraId="38714008">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林格曼黑度</w:t>
                  </w:r>
                </w:p>
              </w:tc>
              <w:tc>
                <w:tcPr>
                  <w:tcW w:w="685" w:type="pct"/>
                  <w:shd w:val="clear" w:color="auto" w:fill="auto"/>
                  <w:noWrap w:val="0"/>
                  <w:vAlign w:val="center"/>
                </w:tcPr>
                <w:p w14:paraId="05D5A939">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lang w:eastAsia="zh-CN"/>
                    </w:rPr>
                    <w:t>多管旋风</w:t>
                  </w:r>
                  <w:r>
                    <w:rPr>
                      <w:rFonts w:hint="default" w:ascii="Times New Roman" w:hAnsi="Times New Roman" w:eastAsia="宋体" w:cs="Times New Roman"/>
                      <w:color w:val="auto"/>
                      <w:spacing w:val="0"/>
                      <w:position w:val="0"/>
                      <w:szCs w:val="21"/>
                      <w:highlight w:val="none"/>
                    </w:rPr>
                    <w:t>除尘+布袋除尘器</w:t>
                  </w:r>
                </w:p>
              </w:tc>
              <w:tc>
                <w:tcPr>
                  <w:tcW w:w="657" w:type="pct"/>
                  <w:shd w:val="clear" w:color="auto" w:fill="auto"/>
                  <w:noWrap w:val="0"/>
                  <w:vAlign w:val="center"/>
                </w:tcPr>
                <w:p w14:paraId="3965AF01">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烟气</w:t>
                  </w:r>
                </w:p>
                <w:p w14:paraId="6E6F4372">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出口</w:t>
                  </w:r>
                </w:p>
              </w:tc>
              <w:tc>
                <w:tcPr>
                  <w:tcW w:w="650" w:type="pct"/>
                  <w:shd w:val="clear" w:color="auto" w:fill="auto"/>
                  <w:noWrap w:val="0"/>
                  <w:vAlign w:val="center"/>
                </w:tcPr>
                <w:p w14:paraId="0109AFC7">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1次/</w:t>
                  </w:r>
                  <w:r>
                    <w:rPr>
                      <w:rFonts w:hint="default" w:ascii="Times New Roman" w:hAnsi="Times New Roman" w:eastAsia="宋体" w:cs="Times New Roman"/>
                      <w:color w:val="auto"/>
                      <w:spacing w:val="0"/>
                      <w:position w:val="0"/>
                      <w:szCs w:val="21"/>
                      <w:highlight w:val="none"/>
                      <w:lang w:val="en-US" w:eastAsia="zh-CN"/>
                    </w:rPr>
                    <w:t>月</w:t>
                  </w:r>
                </w:p>
              </w:tc>
              <w:tc>
                <w:tcPr>
                  <w:tcW w:w="1146" w:type="pct"/>
                  <w:shd w:val="clear" w:color="auto" w:fill="auto"/>
                  <w:noWrap w:val="0"/>
                  <w:vAlign w:val="center"/>
                </w:tcPr>
                <w:p w14:paraId="2A25AECD">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《锅炉大气污染物排放标准》（GB13271-2014）中表2燃煤锅炉限值要求</w:t>
                  </w:r>
                </w:p>
              </w:tc>
              <w:tc>
                <w:tcPr>
                  <w:tcW w:w="405" w:type="pct"/>
                  <w:vMerge w:val="continue"/>
                  <w:noWrap w:val="0"/>
                  <w:vAlign w:val="center"/>
                </w:tcPr>
                <w:p w14:paraId="2103ADDE">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r>
            <w:tr w14:paraId="0B3409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57" w:type="pct"/>
                  <w:vMerge w:val="continue"/>
                  <w:noWrap w:val="0"/>
                  <w:vAlign w:val="center"/>
                </w:tcPr>
                <w:p w14:paraId="52209ABC">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532" w:type="pct"/>
                  <w:noWrap w:val="0"/>
                  <w:vAlign w:val="center"/>
                </w:tcPr>
                <w:p w14:paraId="7611EA87">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污水处理站排气筒</w:t>
                  </w:r>
                </w:p>
              </w:tc>
              <w:tc>
                <w:tcPr>
                  <w:tcW w:w="665" w:type="pct"/>
                  <w:noWrap w:val="0"/>
                  <w:vAlign w:val="center"/>
                </w:tcPr>
                <w:p w14:paraId="23F582F5">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eastAsia="zh-CN"/>
                    </w:rPr>
                  </w:pPr>
                  <w:r>
                    <w:rPr>
                      <w:rFonts w:hint="default" w:ascii="Times New Roman" w:hAnsi="Times New Roman" w:cs="Times New Roman"/>
                      <w:color w:val="auto"/>
                      <w:spacing w:val="0"/>
                      <w:position w:val="0"/>
                      <w:szCs w:val="21"/>
                      <w:highlight w:val="none"/>
                    </w:rPr>
                    <w:t>氨、硫化氢、臭气浓度</w:t>
                  </w:r>
                </w:p>
              </w:tc>
              <w:tc>
                <w:tcPr>
                  <w:tcW w:w="685" w:type="pct"/>
                  <w:noWrap w:val="0"/>
                  <w:vAlign w:val="center"/>
                </w:tcPr>
                <w:p w14:paraId="24BD68A2">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活性炭吸附</w:t>
                  </w:r>
                </w:p>
              </w:tc>
              <w:tc>
                <w:tcPr>
                  <w:tcW w:w="657" w:type="pct"/>
                  <w:noWrap w:val="0"/>
                  <w:vAlign w:val="center"/>
                </w:tcPr>
                <w:p w14:paraId="42C02B4D">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kern w:val="2"/>
                      <w:position w:val="0"/>
                      <w:sz w:val="21"/>
                      <w:szCs w:val="21"/>
                      <w:highlight w:val="none"/>
                      <w:lang w:val="en-US" w:eastAsia="zh-CN" w:bidi="ar-SA"/>
                    </w:rPr>
                    <w:t>排气筒</w:t>
                  </w:r>
                </w:p>
                <w:p w14:paraId="6E00EBF6">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kern w:val="2"/>
                      <w:position w:val="0"/>
                      <w:sz w:val="21"/>
                      <w:szCs w:val="21"/>
                      <w:highlight w:val="none"/>
                      <w:lang w:val="en-US" w:eastAsia="zh-CN" w:bidi="ar-SA"/>
                    </w:rPr>
                    <w:t>出口</w:t>
                  </w:r>
                </w:p>
              </w:tc>
              <w:tc>
                <w:tcPr>
                  <w:tcW w:w="650" w:type="pct"/>
                  <w:noWrap w:val="0"/>
                  <w:vAlign w:val="center"/>
                </w:tcPr>
                <w:p w14:paraId="6AC9B0FA">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cs="Times New Roman"/>
                      <w:color w:val="auto"/>
                      <w:spacing w:val="0"/>
                      <w:position w:val="0"/>
                      <w:szCs w:val="21"/>
                      <w:highlight w:val="none"/>
                    </w:rPr>
                    <w:t>1次/</w:t>
                  </w:r>
                  <w:r>
                    <w:rPr>
                      <w:rFonts w:hint="default" w:ascii="Times New Roman" w:hAnsi="Times New Roman" w:cs="Times New Roman"/>
                      <w:color w:val="auto"/>
                      <w:spacing w:val="0"/>
                      <w:position w:val="0"/>
                      <w:szCs w:val="21"/>
                      <w:highlight w:val="none"/>
                      <w:lang w:val="en-US" w:eastAsia="zh-CN"/>
                    </w:rPr>
                    <w:t>半年</w:t>
                  </w:r>
                </w:p>
              </w:tc>
              <w:tc>
                <w:tcPr>
                  <w:tcW w:w="1146" w:type="pct"/>
                  <w:noWrap w:val="0"/>
                  <w:vAlign w:val="center"/>
                </w:tcPr>
                <w:p w14:paraId="427F9322">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cs="Times New Roman"/>
                      <w:color w:val="auto"/>
                      <w:spacing w:val="0"/>
                      <w:position w:val="0"/>
                      <w:highlight w:val="none"/>
                    </w:rPr>
                    <w:t>《恶臭污染物排放标准》（GB14554-93）</w:t>
                  </w:r>
                  <w:r>
                    <w:rPr>
                      <w:rFonts w:hint="default" w:ascii="Times New Roman" w:hAnsi="Times New Roman" w:cs="Times New Roman"/>
                      <w:color w:val="auto"/>
                      <w:spacing w:val="0"/>
                      <w:position w:val="0"/>
                      <w:highlight w:val="none"/>
                      <w:lang w:val="en-US" w:eastAsia="zh-CN"/>
                    </w:rPr>
                    <w:t>表2标准限值</w:t>
                  </w:r>
                </w:p>
              </w:tc>
              <w:tc>
                <w:tcPr>
                  <w:tcW w:w="405" w:type="pct"/>
                  <w:vMerge w:val="continue"/>
                  <w:noWrap w:val="0"/>
                  <w:vAlign w:val="center"/>
                </w:tcPr>
                <w:p w14:paraId="6E3288A2">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r>
            <w:tr w14:paraId="03F9D4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257" w:type="pct"/>
                  <w:vMerge w:val="restart"/>
                  <w:noWrap w:val="0"/>
                  <w:vAlign w:val="center"/>
                </w:tcPr>
                <w:p w14:paraId="35FFFE1C">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无组织废气</w:t>
                  </w:r>
                </w:p>
              </w:tc>
              <w:tc>
                <w:tcPr>
                  <w:tcW w:w="532" w:type="pct"/>
                  <w:vMerge w:val="restart"/>
                  <w:noWrap w:val="0"/>
                  <w:vAlign w:val="center"/>
                </w:tcPr>
                <w:p w14:paraId="1206C47E">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eastAsia="zh-CN"/>
                    </w:rPr>
                  </w:pPr>
                  <w:r>
                    <w:rPr>
                      <w:rFonts w:hint="default" w:ascii="Times New Roman" w:hAnsi="Times New Roman" w:cs="Times New Roman"/>
                      <w:color w:val="auto"/>
                      <w:spacing w:val="0"/>
                      <w:position w:val="0"/>
                      <w:szCs w:val="21"/>
                      <w:highlight w:val="none"/>
                      <w:lang w:val="en-US" w:eastAsia="zh-CN"/>
                    </w:rPr>
                    <w:t>厂界</w:t>
                  </w:r>
                </w:p>
              </w:tc>
              <w:tc>
                <w:tcPr>
                  <w:tcW w:w="665" w:type="pct"/>
                  <w:noWrap w:val="0"/>
                  <w:vAlign w:val="center"/>
                </w:tcPr>
                <w:p w14:paraId="7B2C1233">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颗粒物、非甲烷总烃</w:t>
                  </w:r>
                </w:p>
              </w:tc>
              <w:tc>
                <w:tcPr>
                  <w:tcW w:w="685" w:type="pct"/>
                  <w:noWrap w:val="0"/>
                  <w:vAlign w:val="center"/>
                </w:tcPr>
                <w:p w14:paraId="0AD4ABE2">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w:t>
                  </w:r>
                </w:p>
              </w:tc>
              <w:tc>
                <w:tcPr>
                  <w:tcW w:w="657" w:type="pct"/>
                  <w:vMerge w:val="restart"/>
                  <w:noWrap w:val="0"/>
                  <w:vAlign w:val="center"/>
                </w:tcPr>
                <w:p w14:paraId="1A5E927A">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厂界</w:t>
                  </w:r>
                </w:p>
              </w:tc>
              <w:tc>
                <w:tcPr>
                  <w:tcW w:w="650" w:type="pct"/>
                  <w:noWrap w:val="0"/>
                  <w:vAlign w:val="center"/>
                </w:tcPr>
                <w:p w14:paraId="33B05D25">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zh-CN"/>
                    </w:rPr>
                  </w:pPr>
                  <w:r>
                    <w:rPr>
                      <w:rFonts w:hint="default" w:ascii="Times New Roman" w:hAnsi="Times New Roman" w:eastAsia="宋体" w:cs="Times New Roman"/>
                      <w:color w:val="auto"/>
                      <w:spacing w:val="0"/>
                      <w:position w:val="0"/>
                      <w:szCs w:val="21"/>
                      <w:highlight w:val="none"/>
                    </w:rPr>
                    <w:t>1次/半年</w:t>
                  </w:r>
                </w:p>
              </w:tc>
              <w:tc>
                <w:tcPr>
                  <w:tcW w:w="1146" w:type="pct"/>
                  <w:noWrap w:val="0"/>
                  <w:vAlign w:val="center"/>
                </w:tcPr>
                <w:p w14:paraId="0E45772A">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《大气污染物综合排放标准》（GB16297-1996）表2中规定的颗粒物无组织排放监控浓度限值要求</w:t>
                  </w:r>
                </w:p>
              </w:tc>
              <w:tc>
                <w:tcPr>
                  <w:tcW w:w="405" w:type="pct"/>
                  <w:vMerge w:val="continue"/>
                  <w:noWrap w:val="0"/>
                  <w:vAlign w:val="center"/>
                </w:tcPr>
                <w:p w14:paraId="0F384316">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r>
            <w:tr w14:paraId="11488D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257" w:type="pct"/>
                  <w:vMerge w:val="continue"/>
                  <w:noWrap w:val="0"/>
                  <w:vAlign w:val="center"/>
                </w:tcPr>
                <w:p w14:paraId="479114D5">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cs="Times New Roman"/>
                      <w:color w:val="auto"/>
                      <w:spacing w:val="0"/>
                      <w:position w:val="0"/>
                      <w:highlight w:val="none"/>
                    </w:rPr>
                  </w:pPr>
                </w:p>
              </w:tc>
              <w:tc>
                <w:tcPr>
                  <w:tcW w:w="532" w:type="pct"/>
                  <w:vMerge w:val="continue"/>
                  <w:noWrap w:val="0"/>
                  <w:vAlign w:val="center"/>
                </w:tcPr>
                <w:p w14:paraId="2C9EF6D0">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cs="Times New Roman"/>
                      <w:color w:val="auto"/>
                      <w:spacing w:val="0"/>
                      <w:position w:val="0"/>
                      <w:highlight w:val="none"/>
                    </w:rPr>
                  </w:pPr>
                </w:p>
              </w:tc>
              <w:tc>
                <w:tcPr>
                  <w:tcW w:w="665" w:type="pct"/>
                  <w:noWrap w:val="0"/>
                  <w:vAlign w:val="center"/>
                </w:tcPr>
                <w:p w14:paraId="56393DD0">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cs="Times New Roman"/>
                      <w:color w:val="auto"/>
                      <w:spacing w:val="0"/>
                      <w:position w:val="0"/>
                      <w:szCs w:val="21"/>
                      <w:highlight w:val="none"/>
                    </w:rPr>
                    <w:t>氨、硫化氢、臭气浓度</w:t>
                  </w:r>
                </w:p>
              </w:tc>
              <w:tc>
                <w:tcPr>
                  <w:tcW w:w="685" w:type="pct"/>
                  <w:noWrap w:val="0"/>
                  <w:vAlign w:val="center"/>
                </w:tcPr>
                <w:p w14:paraId="38ACC6E0">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w:t>
                  </w:r>
                </w:p>
              </w:tc>
              <w:tc>
                <w:tcPr>
                  <w:tcW w:w="657" w:type="pct"/>
                  <w:vMerge w:val="continue"/>
                  <w:noWrap w:val="0"/>
                  <w:vAlign w:val="center"/>
                </w:tcPr>
                <w:p w14:paraId="746E3B44">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650" w:type="pct"/>
                  <w:noWrap w:val="0"/>
                  <w:vAlign w:val="center"/>
                </w:tcPr>
                <w:p w14:paraId="07C3CB27">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1次/半年</w:t>
                  </w:r>
                </w:p>
              </w:tc>
              <w:tc>
                <w:tcPr>
                  <w:tcW w:w="1146" w:type="pct"/>
                  <w:noWrap w:val="0"/>
                  <w:vAlign w:val="center"/>
                </w:tcPr>
                <w:p w14:paraId="158D8E60">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cs="Times New Roman"/>
                      <w:color w:val="auto"/>
                      <w:spacing w:val="0"/>
                      <w:position w:val="0"/>
                      <w:highlight w:val="none"/>
                    </w:rPr>
                    <w:t>《恶臭污染物排放标准》（GB14554-93）</w:t>
                  </w:r>
                  <w:r>
                    <w:rPr>
                      <w:rFonts w:hint="default" w:ascii="Times New Roman" w:hAnsi="Times New Roman" w:cs="Times New Roman"/>
                      <w:color w:val="auto"/>
                      <w:spacing w:val="0"/>
                      <w:position w:val="0"/>
                      <w:highlight w:val="none"/>
                      <w:lang w:val="en-US" w:eastAsia="zh-CN"/>
                    </w:rPr>
                    <w:t>表1厂界二级标准限值</w:t>
                  </w:r>
                </w:p>
              </w:tc>
              <w:tc>
                <w:tcPr>
                  <w:tcW w:w="405" w:type="pct"/>
                  <w:vMerge w:val="continue"/>
                  <w:noWrap w:val="0"/>
                  <w:vAlign w:val="center"/>
                </w:tcPr>
                <w:p w14:paraId="7A1534D5">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r>
            <w:tr w14:paraId="45A09E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57" w:type="pct"/>
                  <w:vMerge w:val="continue"/>
                  <w:noWrap w:val="0"/>
                  <w:vAlign w:val="center"/>
                </w:tcPr>
                <w:p w14:paraId="345D7EFD">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c>
                <w:tcPr>
                  <w:tcW w:w="532" w:type="pct"/>
                  <w:noWrap w:val="0"/>
                  <w:vAlign w:val="center"/>
                </w:tcPr>
                <w:p w14:paraId="790A9151">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厂区内</w:t>
                  </w:r>
                </w:p>
              </w:tc>
              <w:tc>
                <w:tcPr>
                  <w:tcW w:w="665" w:type="pct"/>
                  <w:noWrap w:val="0"/>
                  <w:vAlign w:val="center"/>
                </w:tcPr>
                <w:p w14:paraId="611F65EE">
                  <w:pPr>
                    <w:keepNext w:val="0"/>
                    <w:keepLines w:val="0"/>
                    <w:pageBreakBefore w:val="0"/>
                    <w:kinsoku/>
                    <w:wordWrap/>
                    <w:overflowPunct/>
                    <w:topLinePunct w:val="0"/>
                    <w:bidi w:val="0"/>
                    <w:adjustRightInd w:val="0"/>
                    <w:snapToGrid w:val="0"/>
                    <w:spacing w:beforeAutospacing="0" w:afterAutospacing="0" w:line="300" w:lineRule="exact"/>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非甲烷总烃</w:t>
                  </w:r>
                </w:p>
              </w:tc>
              <w:tc>
                <w:tcPr>
                  <w:tcW w:w="685" w:type="pct"/>
                  <w:noWrap w:val="0"/>
                  <w:vAlign w:val="center"/>
                </w:tcPr>
                <w:p w14:paraId="3448E440">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w:t>
                  </w:r>
                </w:p>
              </w:tc>
              <w:tc>
                <w:tcPr>
                  <w:tcW w:w="657" w:type="pct"/>
                  <w:noWrap w:val="0"/>
                  <w:vAlign w:val="center"/>
                </w:tcPr>
                <w:p w14:paraId="319ED534">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车间、储罐外</w:t>
                  </w:r>
                </w:p>
              </w:tc>
              <w:tc>
                <w:tcPr>
                  <w:tcW w:w="650" w:type="pct"/>
                  <w:noWrap w:val="0"/>
                  <w:vAlign w:val="center"/>
                </w:tcPr>
                <w:p w14:paraId="7AAA79E9">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1次/半年</w:t>
                  </w:r>
                </w:p>
              </w:tc>
              <w:tc>
                <w:tcPr>
                  <w:tcW w:w="1146" w:type="pct"/>
                  <w:noWrap w:val="0"/>
                  <w:vAlign w:val="center"/>
                </w:tcPr>
                <w:p w14:paraId="19CCB497">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cs="Times New Roman"/>
                      <w:color w:val="auto"/>
                      <w:spacing w:val="0"/>
                      <w:position w:val="0"/>
                      <w:highlight w:val="none"/>
                    </w:rPr>
                    <w:t>《挥发性有机物无组织排放控制标准》（GB37822-2019）中的附录A中排放限值</w:t>
                  </w:r>
                </w:p>
              </w:tc>
              <w:tc>
                <w:tcPr>
                  <w:tcW w:w="405" w:type="pct"/>
                  <w:vMerge w:val="continue"/>
                  <w:noWrap w:val="0"/>
                  <w:vAlign w:val="center"/>
                </w:tcPr>
                <w:p w14:paraId="22B403AE">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r>
          </w:tbl>
          <w:p w14:paraId="53F5B0CD">
            <w:pPr>
              <w:pStyle w:val="92"/>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7</w:t>
            </w:r>
            <w:r>
              <w:rPr>
                <w:rFonts w:hint="default" w:ascii="Times New Roman" w:hAnsi="Times New Roman" w:eastAsia="宋体" w:cs="Times New Roman"/>
                <w:color w:val="auto"/>
                <w:spacing w:val="0"/>
                <w:position w:val="0"/>
                <w:sz w:val="24"/>
                <w:szCs w:val="24"/>
                <w:highlight w:val="none"/>
              </w:rPr>
              <w:t>、大气环境影响分析结论</w:t>
            </w:r>
          </w:p>
          <w:p w14:paraId="613E3971">
            <w:pPr>
              <w:pStyle w:val="92"/>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b/>
                <w:bCs/>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本项目大气污染物通过治理措施与预防措施处理后，本项目有组织废气非甲烷总烃及颗粒物排放浓度及排放速率满足《大气污染物综合排放标准》（GB16297-1996）表2中二级标准要求</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排放速率严格50%执行</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；无组织废气非甲烷总烃、颗粒物排放满足《大气污染物综合排放标准》（GB16297-1996）表2中无组织排放监控浓度限值要求</w:t>
            </w:r>
            <w:r>
              <w:rPr>
                <w:rFonts w:hint="default" w:ascii="Times New Roman" w:hAnsi="Times New Roman" w:eastAsia="宋体" w:cs="Times New Roman"/>
                <w:color w:val="auto"/>
                <w:spacing w:val="0"/>
                <w:position w:val="0"/>
                <w:sz w:val="24"/>
                <w:szCs w:val="24"/>
                <w:highlight w:val="none"/>
                <w:lang w:eastAsia="zh-CN"/>
              </w:rPr>
              <w:t>，厂界臭气浓度可满足《恶臭污染物排放标准》（</w:t>
            </w:r>
            <w:r>
              <w:rPr>
                <w:rFonts w:hint="default" w:ascii="Times New Roman" w:hAnsi="Times New Roman" w:eastAsia="宋体" w:cs="Times New Roman"/>
                <w:color w:val="auto"/>
                <w:spacing w:val="0"/>
                <w:position w:val="0"/>
                <w:sz w:val="24"/>
                <w:szCs w:val="24"/>
                <w:highlight w:val="none"/>
                <w:lang w:val="en-US" w:eastAsia="zh-CN"/>
              </w:rPr>
              <w:t>GB14544-93</w:t>
            </w:r>
            <w:r>
              <w:rPr>
                <w:rFonts w:hint="default" w:ascii="Times New Roman" w:hAnsi="Times New Roman" w:eastAsia="宋体" w:cs="Times New Roman"/>
                <w:color w:val="auto"/>
                <w:spacing w:val="0"/>
                <w:position w:val="0"/>
                <w:sz w:val="24"/>
                <w:szCs w:val="24"/>
                <w:highlight w:val="none"/>
                <w:lang w:eastAsia="zh-CN"/>
              </w:rPr>
              <w:t>）中表</w:t>
            </w:r>
            <w:r>
              <w:rPr>
                <w:rFonts w:hint="default" w:ascii="Times New Roman" w:hAnsi="Times New Roman" w:eastAsia="宋体" w:cs="Times New Roman"/>
                <w:color w:val="auto"/>
                <w:spacing w:val="0"/>
                <w:position w:val="0"/>
                <w:sz w:val="24"/>
                <w:szCs w:val="24"/>
                <w:highlight w:val="none"/>
                <w:lang w:val="en-US" w:eastAsia="zh-CN"/>
              </w:rPr>
              <w:t>1新改扩建二级标准要求</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锅炉烟气排放浓度满足《锅炉大气污染物排放标准》（GB13271-2014）表2燃煤锅炉浓度限值。综上，本项目大气污染物的排放均符合排放标准的有关规定。</w:t>
            </w:r>
          </w:p>
          <w:p w14:paraId="102E53C2">
            <w:pPr>
              <w:keepNext w:val="0"/>
              <w:keepLines w:val="0"/>
              <w:pageBreakBefore w:val="0"/>
              <w:widowControl w:val="0"/>
              <w:tabs>
                <w:tab w:val="left" w:pos="1291"/>
              </w:tabs>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（二）废水环境影响和保护措施分析</w:t>
            </w:r>
          </w:p>
          <w:p w14:paraId="625CAC85">
            <w:pPr>
              <w:keepNext w:val="0"/>
              <w:keepLines w:val="0"/>
              <w:pageBreakBefore w:val="0"/>
              <w:widowControl w:val="0"/>
              <w:kinsoku/>
              <w:wordWrap/>
              <w:overflowPunct w:val="0"/>
              <w:topLinePunct w:val="0"/>
              <w:autoSpaceDE/>
              <w:autoSpaceDN/>
              <w:bidi w:val="0"/>
              <w:adjustRightInd w:val="0"/>
              <w:snapToGrid w:val="0"/>
              <w:spacing w:line="520" w:lineRule="exact"/>
              <w:ind w:firstLine="480" w:firstLineChars="200"/>
              <w:textAlignment w:val="auto"/>
              <w:outlineLvl w:val="9"/>
              <w:rPr>
                <w:rFonts w:hint="default" w:ascii="Times New Roman" w:hAnsi="Times New Roman" w:eastAsia="宋体" w:cs="Times New Roman"/>
                <w:color w:val="auto"/>
                <w:spacing w:val="0"/>
                <w:w w:val="100"/>
                <w:kern w:val="0"/>
                <w:position w:val="0"/>
                <w:sz w:val="24"/>
                <w:szCs w:val="24"/>
                <w:highlight w:val="none"/>
                <w:lang w:val="en-US" w:eastAsia="zh-CN" w:bidi="ar-SA"/>
              </w:rPr>
            </w:pPr>
            <w:r>
              <w:rPr>
                <w:rFonts w:hint="default" w:ascii="Times New Roman" w:hAnsi="Times New Roman" w:cs="Times New Roman"/>
                <w:color w:val="auto"/>
                <w:spacing w:val="0"/>
                <w:w w:val="100"/>
                <w:kern w:val="0"/>
                <w:position w:val="0"/>
                <w:sz w:val="24"/>
                <w:szCs w:val="24"/>
                <w:highlight w:val="none"/>
                <w:lang w:val="en-US" w:eastAsia="zh-CN" w:bidi="ar-SA"/>
              </w:rPr>
              <w:t>根据前文水平衡分析，</w:t>
            </w:r>
            <w:r>
              <w:rPr>
                <w:rFonts w:hint="default" w:ascii="Times New Roman" w:hAnsi="Times New Roman" w:eastAsia="宋体" w:cs="Times New Roman"/>
                <w:color w:val="auto"/>
                <w:spacing w:val="0"/>
                <w:w w:val="100"/>
                <w:kern w:val="0"/>
                <w:position w:val="0"/>
                <w:sz w:val="24"/>
                <w:szCs w:val="24"/>
                <w:highlight w:val="none"/>
                <w:lang w:val="en-US" w:eastAsia="zh-CN" w:bidi="ar-SA"/>
              </w:rPr>
              <w:t>本项目</w:t>
            </w:r>
            <w:r>
              <w:rPr>
                <w:rFonts w:hint="default" w:ascii="Times New Roman" w:hAnsi="Times New Roman" w:cs="Times New Roman"/>
                <w:color w:val="auto"/>
                <w:spacing w:val="0"/>
                <w:w w:val="100"/>
                <w:kern w:val="0"/>
                <w:position w:val="0"/>
                <w:sz w:val="24"/>
                <w:szCs w:val="24"/>
                <w:highlight w:val="none"/>
                <w:lang w:val="en-US" w:eastAsia="zh-CN" w:bidi="ar-SA"/>
              </w:rPr>
              <w:t>所排放的</w:t>
            </w:r>
            <w:r>
              <w:rPr>
                <w:rFonts w:hint="default" w:ascii="Times New Roman" w:hAnsi="Times New Roman" w:eastAsia="宋体" w:cs="Times New Roman"/>
                <w:color w:val="auto"/>
                <w:spacing w:val="0"/>
                <w:w w:val="100"/>
                <w:kern w:val="0"/>
                <w:position w:val="0"/>
                <w:sz w:val="24"/>
                <w:szCs w:val="24"/>
                <w:highlight w:val="none"/>
                <w:lang w:val="en-US" w:eastAsia="zh-CN" w:bidi="ar-SA"/>
              </w:rPr>
              <w:t>废水</w:t>
            </w:r>
            <w:r>
              <w:rPr>
                <w:rFonts w:hint="default" w:ascii="Times New Roman" w:hAnsi="Times New Roman" w:cs="Times New Roman"/>
                <w:color w:val="auto"/>
                <w:spacing w:val="0"/>
                <w:w w:val="100"/>
                <w:kern w:val="0"/>
                <w:position w:val="0"/>
                <w:sz w:val="24"/>
                <w:szCs w:val="24"/>
                <w:highlight w:val="none"/>
                <w:lang w:val="en-US" w:eastAsia="zh-CN" w:bidi="ar-SA"/>
              </w:rPr>
              <w:t>包括</w:t>
            </w:r>
            <w:r>
              <w:rPr>
                <w:rFonts w:hint="default" w:ascii="Times New Roman" w:hAnsi="Times New Roman" w:eastAsia="宋体" w:cs="Times New Roman"/>
                <w:color w:val="auto"/>
                <w:spacing w:val="0"/>
                <w:w w:val="100"/>
                <w:kern w:val="0"/>
                <w:position w:val="0"/>
                <w:sz w:val="24"/>
                <w:szCs w:val="24"/>
                <w:highlight w:val="none"/>
                <w:lang w:val="en-US" w:eastAsia="zh-CN" w:bidi="ar-SA"/>
              </w:rPr>
              <w:t>生活污水、生产废水（浸出废水、精炼废水）、设备及地面清洗废水</w:t>
            </w:r>
            <w:r>
              <w:rPr>
                <w:rFonts w:hint="default" w:ascii="Times New Roman" w:hAnsi="Times New Roman" w:cs="Times New Roman"/>
                <w:color w:val="auto"/>
                <w:spacing w:val="0"/>
                <w:w w:val="100"/>
                <w:kern w:val="0"/>
                <w:position w:val="0"/>
                <w:sz w:val="24"/>
                <w:szCs w:val="24"/>
                <w:highlight w:val="none"/>
                <w:lang w:val="en-US" w:eastAsia="zh-CN" w:bidi="ar-SA"/>
              </w:rPr>
              <w:t>和冷却塔排污水</w:t>
            </w:r>
            <w:r>
              <w:rPr>
                <w:rFonts w:hint="default" w:ascii="Times New Roman" w:hAnsi="Times New Roman" w:eastAsia="宋体" w:cs="Times New Roman"/>
                <w:color w:val="auto"/>
                <w:spacing w:val="0"/>
                <w:w w:val="100"/>
                <w:kern w:val="0"/>
                <w:position w:val="0"/>
                <w:sz w:val="24"/>
                <w:szCs w:val="24"/>
                <w:highlight w:val="none"/>
                <w:lang w:val="en-US" w:eastAsia="zh-CN" w:bidi="ar-SA"/>
              </w:rPr>
              <w:t>。</w:t>
            </w:r>
            <w:r>
              <w:rPr>
                <w:rFonts w:hint="default" w:ascii="Times New Roman" w:hAnsi="Times New Roman" w:cs="Times New Roman"/>
                <w:color w:val="auto"/>
                <w:spacing w:val="0"/>
                <w:w w:val="100"/>
                <w:kern w:val="0"/>
                <w:position w:val="0"/>
                <w:sz w:val="24"/>
                <w:szCs w:val="24"/>
                <w:highlight w:val="none"/>
                <w:lang w:val="en-US" w:eastAsia="zh-CN" w:bidi="ar-SA"/>
              </w:rPr>
              <w:t>其中冷却塔排污水为清净下水，与污水处理站处理后的废水一同经市政管网排入桦川县污水处理厂处理，其余</w:t>
            </w:r>
            <w:r>
              <w:rPr>
                <w:rFonts w:hint="default" w:ascii="Times New Roman" w:hAnsi="Times New Roman" w:eastAsia="宋体" w:cs="Times New Roman"/>
                <w:color w:val="auto"/>
                <w:spacing w:val="0"/>
                <w:w w:val="100"/>
                <w:kern w:val="0"/>
                <w:position w:val="0"/>
                <w:sz w:val="24"/>
                <w:szCs w:val="24"/>
                <w:highlight w:val="none"/>
                <w:lang w:val="en-US" w:eastAsia="zh-CN" w:bidi="ar-SA"/>
              </w:rPr>
              <w:t>废水污染物主要为</w:t>
            </w:r>
            <w:r>
              <w:rPr>
                <w:rFonts w:hint="default" w:ascii="Times New Roman" w:hAnsi="Times New Roman" w:cs="Times New Roman"/>
                <w:color w:val="auto"/>
                <w:spacing w:val="0"/>
                <w:w w:val="100"/>
                <w:kern w:val="0"/>
                <w:position w:val="0"/>
                <w:sz w:val="24"/>
                <w:szCs w:val="24"/>
                <w:highlight w:val="none"/>
                <w:lang w:val="en-US" w:eastAsia="zh-CN" w:bidi="ar-SA"/>
              </w:rPr>
              <w:t>p</w:t>
            </w:r>
            <w:r>
              <w:rPr>
                <w:rFonts w:hint="default" w:ascii="Times New Roman" w:hAnsi="Times New Roman" w:eastAsia="宋体" w:cs="Times New Roman"/>
                <w:color w:val="auto"/>
                <w:spacing w:val="0"/>
                <w:w w:val="100"/>
                <w:kern w:val="0"/>
                <w:position w:val="0"/>
                <w:sz w:val="24"/>
                <w:szCs w:val="24"/>
                <w:highlight w:val="none"/>
                <w:lang w:val="en-US" w:eastAsia="zh-CN" w:bidi="ar-SA"/>
              </w:rPr>
              <w:t>H、COD、BOD</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5</w:t>
            </w:r>
            <w:r>
              <w:rPr>
                <w:rFonts w:hint="default" w:ascii="Times New Roman" w:hAnsi="Times New Roman" w:eastAsia="宋体" w:cs="Times New Roman"/>
                <w:color w:val="auto"/>
                <w:spacing w:val="0"/>
                <w:w w:val="100"/>
                <w:kern w:val="0"/>
                <w:position w:val="0"/>
                <w:sz w:val="24"/>
                <w:szCs w:val="24"/>
                <w:highlight w:val="none"/>
                <w:lang w:val="en-US" w:eastAsia="zh-CN" w:bidi="ar-SA"/>
              </w:rPr>
              <w:t>、SS、NH</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3</w:t>
            </w:r>
            <w:r>
              <w:rPr>
                <w:rFonts w:hint="default" w:ascii="Times New Roman" w:hAnsi="Times New Roman" w:eastAsia="宋体" w:cs="Times New Roman"/>
                <w:color w:val="auto"/>
                <w:spacing w:val="0"/>
                <w:w w:val="100"/>
                <w:kern w:val="0"/>
                <w:position w:val="0"/>
                <w:sz w:val="24"/>
                <w:szCs w:val="24"/>
                <w:highlight w:val="none"/>
                <w:lang w:val="en-US" w:eastAsia="zh-CN" w:bidi="ar-SA"/>
              </w:rPr>
              <w:t>-N等。</w:t>
            </w:r>
          </w:p>
          <w:p w14:paraId="70CCDD5D">
            <w:pPr>
              <w:keepNext w:val="0"/>
              <w:keepLines w:val="0"/>
              <w:pageBreakBefore w:val="0"/>
              <w:widowControl w:val="0"/>
              <w:kinsoku/>
              <w:wordWrap/>
              <w:overflowPunct w:val="0"/>
              <w:topLinePunct w:val="0"/>
              <w:autoSpaceDE/>
              <w:autoSpaceDN/>
              <w:bidi w:val="0"/>
              <w:adjustRightInd w:val="0"/>
              <w:snapToGrid w:val="0"/>
              <w:spacing w:line="520" w:lineRule="exact"/>
              <w:ind w:firstLine="480" w:firstLineChars="200"/>
              <w:textAlignment w:val="auto"/>
              <w:outlineLvl w:val="9"/>
              <w:rPr>
                <w:rFonts w:hint="default" w:ascii="Times New Roman" w:hAnsi="Times New Roman" w:eastAsia="宋体" w:cs="Times New Roman"/>
                <w:color w:val="auto"/>
                <w:spacing w:val="0"/>
                <w:w w:val="100"/>
                <w:kern w:val="0"/>
                <w:position w:val="0"/>
                <w:sz w:val="24"/>
                <w:szCs w:val="24"/>
                <w:highlight w:val="none"/>
                <w:lang w:val="en-US" w:eastAsia="zh-CN" w:bidi="ar-SA"/>
              </w:rPr>
            </w:pPr>
            <w:r>
              <w:rPr>
                <w:rFonts w:hint="default" w:ascii="Times New Roman" w:hAnsi="Times New Roman" w:eastAsia="宋体" w:cs="Times New Roman"/>
                <w:color w:val="auto"/>
                <w:spacing w:val="0"/>
                <w:w w:val="100"/>
                <w:kern w:val="0"/>
                <w:position w:val="0"/>
                <w:sz w:val="24"/>
                <w:szCs w:val="24"/>
                <w:highlight w:val="none"/>
                <w:lang w:val="en-US" w:eastAsia="zh-CN" w:bidi="ar-SA"/>
              </w:rPr>
              <w:t>1、源强分析</w:t>
            </w:r>
          </w:p>
          <w:p w14:paraId="538FBBB2">
            <w:pPr>
              <w:keepNext w:val="0"/>
              <w:keepLines w:val="0"/>
              <w:pageBreakBefore w:val="0"/>
              <w:widowControl w:val="0"/>
              <w:tabs>
                <w:tab w:val="left" w:pos="4410"/>
              </w:tabs>
              <w:kinsoku/>
              <w:wordWrap/>
              <w:overflowPunct w:val="0"/>
              <w:topLinePunct w:val="0"/>
              <w:autoSpaceDE/>
              <w:autoSpaceDN/>
              <w:bidi w:val="0"/>
              <w:adjustRightInd w:val="0"/>
              <w:snapToGrid w:val="0"/>
              <w:spacing w:line="520" w:lineRule="exact"/>
              <w:ind w:firstLine="480" w:firstLineChars="200"/>
              <w:textAlignment w:val="auto"/>
              <w:outlineLvl w:val="9"/>
              <w:rPr>
                <w:rFonts w:hint="default" w:ascii="Times New Roman" w:hAnsi="Times New Roman" w:eastAsia="宋体" w:cs="Times New Roman"/>
                <w:color w:val="auto"/>
                <w:spacing w:val="0"/>
                <w:w w:val="100"/>
                <w:kern w:val="0"/>
                <w:position w:val="0"/>
                <w:sz w:val="24"/>
                <w:szCs w:val="24"/>
                <w:highlight w:val="none"/>
                <w:lang w:val="en-US" w:eastAsia="zh-CN" w:bidi="ar-SA"/>
              </w:rPr>
            </w:pPr>
            <w:r>
              <w:rPr>
                <w:rFonts w:hint="default" w:ascii="Times New Roman" w:hAnsi="Times New Roman" w:eastAsia="宋体" w:cs="Times New Roman"/>
                <w:color w:val="auto"/>
                <w:spacing w:val="0"/>
                <w:w w:val="100"/>
                <w:kern w:val="0"/>
                <w:position w:val="0"/>
                <w:sz w:val="24"/>
                <w:szCs w:val="24"/>
                <w:highlight w:val="none"/>
                <w:lang w:val="en-US" w:eastAsia="zh-CN" w:bidi="ar-SA"/>
              </w:rPr>
              <w:t>（1）生活污水</w:t>
            </w:r>
          </w:p>
          <w:p w14:paraId="674D6621">
            <w:pPr>
              <w:keepNext w:val="0"/>
              <w:keepLines w:val="0"/>
              <w:pageBreakBefore w:val="0"/>
              <w:widowControl w:val="0"/>
              <w:tabs>
                <w:tab w:val="left" w:pos="4410"/>
              </w:tabs>
              <w:kinsoku/>
              <w:wordWrap/>
              <w:overflowPunct w:val="0"/>
              <w:topLinePunct w:val="0"/>
              <w:autoSpaceDE/>
              <w:autoSpaceDN/>
              <w:bidi w:val="0"/>
              <w:adjustRightInd w:val="0"/>
              <w:snapToGrid w:val="0"/>
              <w:spacing w:line="520" w:lineRule="exact"/>
              <w:ind w:firstLine="480" w:firstLineChars="200"/>
              <w:textAlignment w:val="auto"/>
              <w:outlineLvl w:val="9"/>
              <w:rPr>
                <w:rFonts w:hint="default" w:ascii="Times New Roman" w:hAnsi="Times New Roman" w:eastAsia="宋体" w:cs="Times New Roman"/>
                <w:color w:val="auto"/>
                <w:spacing w:val="0"/>
                <w:w w:val="100"/>
                <w:kern w:val="0"/>
                <w:position w:val="0"/>
                <w:sz w:val="24"/>
                <w:szCs w:val="24"/>
                <w:highlight w:val="none"/>
                <w:lang w:val="en-US" w:eastAsia="zh-CN" w:bidi="ar-SA"/>
              </w:rPr>
            </w:pPr>
            <w:r>
              <w:rPr>
                <w:rFonts w:hint="default" w:ascii="Times New Roman" w:hAnsi="Times New Roman" w:eastAsia="宋体" w:cs="Times New Roman"/>
                <w:color w:val="auto"/>
                <w:spacing w:val="0"/>
                <w:w w:val="100"/>
                <w:kern w:val="0"/>
                <w:position w:val="0"/>
                <w:sz w:val="24"/>
                <w:szCs w:val="24"/>
                <w:highlight w:val="none"/>
                <w:lang w:val="en-US" w:eastAsia="zh-CN" w:bidi="ar-SA"/>
              </w:rPr>
              <w:t>本项目生活污水产生量为</w:t>
            </w:r>
            <w:r>
              <w:rPr>
                <w:rFonts w:hint="default" w:ascii="Times New Roman" w:hAnsi="Times New Roman" w:cs="Times New Roman"/>
                <w:color w:val="auto"/>
                <w:spacing w:val="0"/>
                <w:position w:val="0"/>
                <w:sz w:val="24"/>
                <w:szCs w:val="24"/>
                <w:highlight w:val="none"/>
                <w:lang w:val="en-US" w:eastAsia="zh-CN"/>
              </w:rPr>
              <w:t>1.28</w:t>
            </w:r>
            <w:r>
              <w:rPr>
                <w:rFonts w:hint="default" w:ascii="Times New Roman" w:hAnsi="Times New Roman" w:eastAsia="宋体" w:cs="Times New Roman"/>
                <w:color w:val="auto"/>
                <w:spacing w:val="0"/>
                <w:position w:val="0"/>
                <w:sz w:val="24"/>
                <w:szCs w:val="24"/>
                <w:highlight w:val="none"/>
              </w:rPr>
              <w:t>t/d，</w:t>
            </w:r>
            <w:r>
              <w:rPr>
                <w:rFonts w:hint="default" w:ascii="Times New Roman" w:hAnsi="Times New Roman" w:cs="Times New Roman"/>
                <w:color w:val="auto"/>
                <w:spacing w:val="0"/>
                <w:position w:val="0"/>
                <w:sz w:val="24"/>
                <w:szCs w:val="24"/>
                <w:highlight w:val="none"/>
                <w:lang w:val="en-US" w:eastAsia="zh-CN"/>
              </w:rPr>
              <w:t>448</w:t>
            </w:r>
            <w:r>
              <w:rPr>
                <w:rFonts w:hint="default" w:ascii="Times New Roman" w:hAnsi="Times New Roman" w:eastAsia="宋体" w:cs="Times New Roman"/>
                <w:color w:val="auto"/>
                <w:spacing w:val="0"/>
                <w:position w:val="0"/>
                <w:sz w:val="24"/>
                <w:szCs w:val="24"/>
                <w:highlight w:val="none"/>
              </w:rPr>
              <w:t>t/a</w:t>
            </w:r>
            <w:r>
              <w:rPr>
                <w:rFonts w:hint="default" w:ascii="Times New Roman" w:hAnsi="Times New Roman" w:eastAsia="宋体" w:cs="Times New Roman"/>
                <w:color w:val="auto"/>
                <w:spacing w:val="0"/>
                <w:w w:val="100"/>
                <w:kern w:val="0"/>
                <w:position w:val="0"/>
                <w:sz w:val="24"/>
                <w:szCs w:val="24"/>
                <w:highlight w:val="none"/>
                <w:lang w:val="en-US" w:eastAsia="zh-CN" w:bidi="ar-SA"/>
              </w:rPr>
              <w:t>。污水中的污染物主要有COD、BOD</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5</w:t>
            </w:r>
            <w:r>
              <w:rPr>
                <w:rFonts w:hint="default" w:ascii="Times New Roman" w:hAnsi="Times New Roman" w:eastAsia="宋体" w:cs="Times New Roman"/>
                <w:color w:val="auto"/>
                <w:spacing w:val="0"/>
                <w:w w:val="100"/>
                <w:kern w:val="0"/>
                <w:position w:val="0"/>
                <w:sz w:val="24"/>
                <w:szCs w:val="24"/>
                <w:highlight w:val="none"/>
                <w:lang w:val="en-US" w:eastAsia="zh-CN" w:bidi="ar-SA"/>
              </w:rPr>
              <w:t>、SS、NH</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3</w:t>
            </w:r>
            <w:r>
              <w:rPr>
                <w:rFonts w:hint="default" w:ascii="Times New Roman" w:hAnsi="Times New Roman" w:eastAsia="宋体" w:cs="Times New Roman"/>
                <w:color w:val="auto"/>
                <w:spacing w:val="0"/>
                <w:w w:val="100"/>
                <w:kern w:val="0"/>
                <w:position w:val="0"/>
                <w:sz w:val="24"/>
                <w:szCs w:val="24"/>
                <w:highlight w:val="none"/>
                <w:lang w:val="en-US" w:eastAsia="zh-CN" w:bidi="ar-SA"/>
              </w:rPr>
              <w:t>-N。经类比分析，主要污染物浓度为COD：300mg/L、BOD</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5</w:t>
            </w:r>
            <w:r>
              <w:rPr>
                <w:rFonts w:hint="default" w:ascii="Times New Roman" w:hAnsi="Times New Roman" w:eastAsia="宋体" w:cs="Times New Roman"/>
                <w:color w:val="auto"/>
                <w:spacing w:val="0"/>
                <w:w w:val="100"/>
                <w:kern w:val="0"/>
                <w:position w:val="0"/>
                <w:sz w:val="24"/>
                <w:szCs w:val="24"/>
                <w:highlight w:val="none"/>
                <w:lang w:val="en-US" w:eastAsia="zh-CN" w:bidi="ar-SA"/>
              </w:rPr>
              <w:t>：150mg/L、NH</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3</w:t>
            </w:r>
            <w:r>
              <w:rPr>
                <w:rFonts w:hint="default" w:ascii="Times New Roman" w:hAnsi="Times New Roman" w:eastAsia="宋体" w:cs="Times New Roman"/>
                <w:color w:val="auto"/>
                <w:spacing w:val="0"/>
                <w:w w:val="100"/>
                <w:kern w:val="0"/>
                <w:position w:val="0"/>
                <w:sz w:val="24"/>
                <w:szCs w:val="24"/>
                <w:highlight w:val="none"/>
                <w:lang w:val="en-US" w:eastAsia="zh-CN" w:bidi="ar-SA"/>
              </w:rPr>
              <w:t>-N：30mg/L、SS：200mg/L，则主要污染物产生量为COD：0.134t/a、BOD</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5</w:t>
            </w:r>
            <w:r>
              <w:rPr>
                <w:rFonts w:hint="default" w:ascii="Times New Roman" w:hAnsi="Times New Roman" w:eastAsia="宋体" w:cs="Times New Roman"/>
                <w:color w:val="auto"/>
                <w:spacing w:val="0"/>
                <w:w w:val="100"/>
                <w:kern w:val="0"/>
                <w:position w:val="0"/>
                <w:sz w:val="24"/>
                <w:szCs w:val="24"/>
                <w:highlight w:val="none"/>
                <w:lang w:val="en-US" w:eastAsia="zh-CN" w:bidi="ar-SA"/>
              </w:rPr>
              <w:t>：0.067t/a、NH</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3</w:t>
            </w:r>
            <w:r>
              <w:rPr>
                <w:rFonts w:hint="default" w:ascii="Times New Roman" w:hAnsi="Times New Roman" w:eastAsia="宋体" w:cs="Times New Roman"/>
                <w:color w:val="auto"/>
                <w:spacing w:val="0"/>
                <w:w w:val="100"/>
                <w:kern w:val="0"/>
                <w:position w:val="0"/>
                <w:sz w:val="24"/>
                <w:szCs w:val="24"/>
                <w:highlight w:val="none"/>
                <w:lang w:val="en-US" w:eastAsia="zh-CN" w:bidi="ar-SA"/>
              </w:rPr>
              <w:t>-N：0.013t/a、SS：0.090t/a。</w:t>
            </w:r>
          </w:p>
          <w:p w14:paraId="6D6B068C">
            <w:pPr>
              <w:keepNext w:val="0"/>
              <w:keepLines w:val="0"/>
              <w:pageBreakBefore w:val="0"/>
              <w:widowControl w:val="0"/>
              <w:tabs>
                <w:tab w:val="left" w:pos="4410"/>
              </w:tabs>
              <w:kinsoku/>
              <w:wordWrap/>
              <w:overflowPunct w:val="0"/>
              <w:topLinePunct w:val="0"/>
              <w:autoSpaceDE/>
              <w:autoSpaceDN/>
              <w:bidi w:val="0"/>
              <w:adjustRightInd w:val="0"/>
              <w:snapToGrid w:val="0"/>
              <w:spacing w:line="520" w:lineRule="exact"/>
              <w:ind w:firstLine="480" w:firstLineChars="200"/>
              <w:textAlignment w:val="auto"/>
              <w:outlineLvl w:val="9"/>
              <w:rPr>
                <w:rFonts w:hint="default" w:ascii="Times New Roman" w:hAnsi="Times New Roman" w:eastAsia="宋体" w:cs="Times New Roman"/>
                <w:color w:val="auto"/>
                <w:spacing w:val="0"/>
                <w:w w:val="100"/>
                <w:kern w:val="0"/>
                <w:position w:val="0"/>
                <w:sz w:val="24"/>
                <w:szCs w:val="24"/>
                <w:highlight w:val="none"/>
                <w:lang w:val="en-US" w:eastAsia="zh-CN" w:bidi="ar-SA"/>
              </w:rPr>
            </w:pPr>
            <w:r>
              <w:rPr>
                <w:rFonts w:hint="default" w:ascii="Times New Roman" w:hAnsi="Times New Roman" w:eastAsia="宋体" w:cs="Times New Roman"/>
                <w:color w:val="auto"/>
                <w:spacing w:val="0"/>
                <w:w w:val="100"/>
                <w:kern w:val="0"/>
                <w:position w:val="0"/>
                <w:sz w:val="24"/>
                <w:szCs w:val="24"/>
                <w:highlight w:val="none"/>
                <w:lang w:val="en-US" w:eastAsia="zh-CN" w:bidi="ar-SA"/>
              </w:rPr>
              <w:t>（2）浸出废水</w:t>
            </w:r>
          </w:p>
          <w:p w14:paraId="01463DAD">
            <w:pPr>
              <w:keepNext w:val="0"/>
              <w:keepLines w:val="0"/>
              <w:pageBreakBefore w:val="0"/>
              <w:widowControl w:val="0"/>
              <w:tabs>
                <w:tab w:val="left" w:pos="4410"/>
              </w:tabs>
              <w:kinsoku/>
              <w:wordWrap/>
              <w:overflowPunct w:val="0"/>
              <w:topLinePunct w:val="0"/>
              <w:autoSpaceDE/>
              <w:autoSpaceDN/>
              <w:bidi w:val="0"/>
              <w:adjustRightInd w:val="0"/>
              <w:snapToGrid w:val="0"/>
              <w:spacing w:line="520" w:lineRule="exact"/>
              <w:ind w:firstLine="480" w:firstLineChars="200"/>
              <w:textAlignment w:val="auto"/>
              <w:outlineLvl w:val="9"/>
              <w:rPr>
                <w:rFonts w:hint="default" w:ascii="Times New Roman" w:hAnsi="Times New Roman" w:eastAsia="宋体" w:cs="Times New Roman"/>
                <w:color w:val="auto"/>
                <w:spacing w:val="0"/>
                <w:w w:val="100"/>
                <w:kern w:val="0"/>
                <w:position w:val="0"/>
                <w:sz w:val="24"/>
                <w:szCs w:val="24"/>
                <w:highlight w:val="none"/>
                <w:lang w:val="en-US" w:eastAsia="zh-CN" w:bidi="ar-SA"/>
              </w:rPr>
            </w:pPr>
            <w:r>
              <w:rPr>
                <w:rFonts w:hint="default" w:ascii="Times New Roman" w:hAnsi="Times New Roman" w:eastAsia="宋体" w:cs="Times New Roman"/>
                <w:color w:val="auto"/>
                <w:spacing w:val="0"/>
                <w:w w:val="100"/>
                <w:kern w:val="0"/>
                <w:position w:val="0"/>
                <w:sz w:val="24"/>
                <w:szCs w:val="24"/>
                <w:highlight w:val="none"/>
                <w:lang w:val="en-US" w:eastAsia="zh-CN" w:bidi="ar-SA"/>
              </w:rPr>
              <w:t>本项目</w:t>
            </w:r>
            <w:r>
              <w:rPr>
                <w:rFonts w:hint="default" w:ascii="Times New Roman" w:hAnsi="Times New Roman" w:eastAsia="宋体" w:cs="Times New Roman"/>
                <w:color w:val="auto"/>
                <w:spacing w:val="0"/>
                <w:position w:val="0"/>
                <w:sz w:val="24"/>
                <w:szCs w:val="24"/>
                <w:highlight w:val="none"/>
              </w:rPr>
              <w:t>浸出车间废水量为34.286t/d，12000t/a</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w w:val="100"/>
                <w:kern w:val="0"/>
                <w:position w:val="0"/>
                <w:sz w:val="24"/>
                <w:szCs w:val="24"/>
                <w:highlight w:val="none"/>
                <w:lang w:val="en-US" w:eastAsia="zh-CN" w:bidi="ar-SA"/>
              </w:rPr>
              <w:t>废水中主要污染物为COD、BOD</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5</w:t>
            </w:r>
            <w:r>
              <w:rPr>
                <w:rFonts w:hint="default" w:ascii="Times New Roman" w:hAnsi="Times New Roman" w:eastAsia="宋体" w:cs="Times New Roman"/>
                <w:color w:val="auto"/>
                <w:spacing w:val="0"/>
                <w:w w:val="100"/>
                <w:kern w:val="0"/>
                <w:position w:val="0"/>
                <w:sz w:val="24"/>
                <w:szCs w:val="24"/>
                <w:highlight w:val="none"/>
                <w:lang w:val="en-US" w:eastAsia="zh-CN" w:bidi="ar-SA"/>
              </w:rPr>
              <w:t>、NH</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3</w:t>
            </w:r>
            <w:r>
              <w:rPr>
                <w:rFonts w:hint="default" w:ascii="Times New Roman" w:hAnsi="Times New Roman" w:eastAsia="宋体" w:cs="Times New Roman"/>
                <w:color w:val="auto"/>
                <w:spacing w:val="0"/>
                <w:w w:val="100"/>
                <w:kern w:val="0"/>
                <w:position w:val="0"/>
                <w:sz w:val="24"/>
                <w:szCs w:val="24"/>
                <w:highlight w:val="none"/>
                <w:lang w:val="en-US" w:eastAsia="zh-CN" w:bidi="ar-SA"/>
              </w:rPr>
              <w:t>-N、SS、动植物油、</w:t>
            </w:r>
            <w:r>
              <w:rPr>
                <w:rFonts w:hint="default" w:ascii="Times New Roman" w:hAnsi="Times New Roman" w:cs="Times New Roman"/>
                <w:color w:val="auto"/>
                <w:spacing w:val="0"/>
                <w:w w:val="100"/>
                <w:kern w:val="0"/>
                <w:position w:val="0"/>
                <w:sz w:val="24"/>
                <w:szCs w:val="24"/>
                <w:highlight w:val="none"/>
                <w:lang w:val="en-US" w:eastAsia="zh-CN" w:bidi="ar-SA"/>
              </w:rPr>
              <w:t>TP、</w:t>
            </w:r>
            <w:r>
              <w:rPr>
                <w:rFonts w:hint="default" w:ascii="Times New Roman" w:hAnsi="Times New Roman" w:eastAsia="宋体" w:cs="Times New Roman"/>
                <w:color w:val="auto"/>
                <w:spacing w:val="0"/>
                <w:w w:val="100"/>
                <w:kern w:val="0"/>
                <w:position w:val="0"/>
                <w:sz w:val="24"/>
                <w:szCs w:val="24"/>
                <w:highlight w:val="none"/>
                <w:lang w:val="en-US" w:eastAsia="zh-CN" w:bidi="ar-SA"/>
              </w:rPr>
              <w:t>色度。参考《食品工业废水处理》（化学工业出版社2001年）中的统计资料，确定本项目废水中主要污染物浓度为COD：3000mg/L、BOD</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5</w:t>
            </w:r>
            <w:r>
              <w:rPr>
                <w:rFonts w:hint="default" w:ascii="Times New Roman" w:hAnsi="Times New Roman" w:eastAsia="宋体" w:cs="Times New Roman"/>
                <w:color w:val="auto"/>
                <w:spacing w:val="0"/>
                <w:w w:val="100"/>
                <w:kern w:val="0"/>
                <w:position w:val="0"/>
                <w:sz w:val="24"/>
                <w:szCs w:val="24"/>
                <w:highlight w:val="none"/>
                <w:lang w:val="en-US" w:eastAsia="zh-CN" w:bidi="ar-SA"/>
              </w:rPr>
              <w:t>：1000mg/L、NH</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3</w:t>
            </w:r>
            <w:r>
              <w:rPr>
                <w:rFonts w:hint="default" w:ascii="Times New Roman" w:hAnsi="Times New Roman" w:eastAsia="宋体" w:cs="Times New Roman"/>
                <w:color w:val="auto"/>
                <w:spacing w:val="0"/>
                <w:w w:val="100"/>
                <w:kern w:val="0"/>
                <w:position w:val="0"/>
                <w:sz w:val="24"/>
                <w:szCs w:val="24"/>
                <w:highlight w:val="none"/>
                <w:lang w:val="en-US" w:eastAsia="zh-CN" w:bidi="ar-SA"/>
              </w:rPr>
              <w:t>-N：30mg/L、SS：500mg/L、动植物油：100mg/L</w:t>
            </w:r>
            <w:r>
              <w:rPr>
                <w:rFonts w:hint="default" w:ascii="Times New Roman" w:hAnsi="Times New Roman" w:cs="Times New Roman"/>
                <w:color w:val="auto"/>
                <w:spacing w:val="0"/>
                <w:w w:val="100"/>
                <w:kern w:val="0"/>
                <w:position w:val="0"/>
                <w:sz w:val="24"/>
                <w:szCs w:val="24"/>
                <w:highlight w:val="none"/>
                <w:lang w:val="en-US" w:eastAsia="zh-CN" w:bidi="ar-SA"/>
              </w:rPr>
              <w:t>、TP：15</w:t>
            </w:r>
            <w:r>
              <w:rPr>
                <w:rFonts w:hint="default" w:ascii="Times New Roman" w:hAnsi="Times New Roman" w:eastAsia="宋体" w:cs="Times New Roman"/>
                <w:color w:val="auto"/>
                <w:spacing w:val="0"/>
                <w:w w:val="100"/>
                <w:kern w:val="0"/>
                <w:position w:val="0"/>
                <w:sz w:val="24"/>
                <w:szCs w:val="24"/>
                <w:highlight w:val="none"/>
                <w:lang w:val="en-US" w:eastAsia="zh-CN" w:bidi="ar-SA"/>
              </w:rPr>
              <w:t>mg/L。则COD产生量为</w:t>
            </w:r>
            <w:r>
              <w:rPr>
                <w:rFonts w:hint="default" w:ascii="Times New Roman" w:hAnsi="Times New Roman" w:cs="Times New Roman"/>
                <w:color w:val="auto"/>
                <w:spacing w:val="0"/>
                <w:w w:val="100"/>
                <w:kern w:val="0"/>
                <w:position w:val="0"/>
                <w:sz w:val="24"/>
                <w:szCs w:val="24"/>
                <w:highlight w:val="none"/>
                <w:lang w:val="en-US" w:eastAsia="zh-CN" w:bidi="ar-SA"/>
              </w:rPr>
              <w:t>36</w:t>
            </w:r>
            <w:r>
              <w:rPr>
                <w:rFonts w:hint="default" w:ascii="Times New Roman" w:hAnsi="Times New Roman" w:eastAsia="宋体" w:cs="Times New Roman"/>
                <w:color w:val="auto"/>
                <w:spacing w:val="0"/>
                <w:w w:val="100"/>
                <w:kern w:val="0"/>
                <w:position w:val="0"/>
                <w:sz w:val="24"/>
                <w:szCs w:val="24"/>
                <w:highlight w:val="none"/>
                <w:lang w:val="en-US" w:eastAsia="zh-CN" w:bidi="ar-SA"/>
              </w:rPr>
              <w:t>t/a，BOD</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5</w:t>
            </w:r>
            <w:r>
              <w:rPr>
                <w:rFonts w:hint="default" w:ascii="Times New Roman" w:hAnsi="Times New Roman" w:eastAsia="宋体" w:cs="Times New Roman"/>
                <w:color w:val="auto"/>
                <w:spacing w:val="0"/>
                <w:w w:val="100"/>
                <w:kern w:val="0"/>
                <w:position w:val="0"/>
                <w:sz w:val="24"/>
                <w:szCs w:val="24"/>
                <w:highlight w:val="none"/>
                <w:lang w:val="en-US" w:eastAsia="zh-CN" w:bidi="ar-SA"/>
              </w:rPr>
              <w:t>产生量为</w:t>
            </w:r>
            <w:r>
              <w:rPr>
                <w:rFonts w:hint="default" w:ascii="Times New Roman" w:hAnsi="Times New Roman" w:cs="Times New Roman"/>
                <w:color w:val="auto"/>
                <w:spacing w:val="0"/>
                <w:w w:val="100"/>
                <w:kern w:val="0"/>
                <w:position w:val="0"/>
                <w:sz w:val="24"/>
                <w:szCs w:val="24"/>
                <w:highlight w:val="none"/>
                <w:lang w:val="en-US" w:eastAsia="zh-CN" w:bidi="ar-SA"/>
              </w:rPr>
              <w:t>12</w:t>
            </w:r>
            <w:r>
              <w:rPr>
                <w:rFonts w:hint="default" w:ascii="Times New Roman" w:hAnsi="Times New Roman" w:eastAsia="宋体" w:cs="Times New Roman"/>
                <w:color w:val="auto"/>
                <w:spacing w:val="0"/>
                <w:w w:val="100"/>
                <w:kern w:val="0"/>
                <w:position w:val="0"/>
                <w:sz w:val="24"/>
                <w:szCs w:val="24"/>
                <w:highlight w:val="none"/>
                <w:lang w:val="en-US" w:eastAsia="zh-CN" w:bidi="ar-SA"/>
              </w:rPr>
              <w:t>t/a，NH</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3</w:t>
            </w:r>
            <w:r>
              <w:rPr>
                <w:rFonts w:hint="default" w:ascii="Times New Roman" w:hAnsi="Times New Roman" w:eastAsia="宋体" w:cs="Times New Roman"/>
                <w:color w:val="auto"/>
                <w:spacing w:val="0"/>
                <w:w w:val="100"/>
                <w:kern w:val="0"/>
                <w:position w:val="0"/>
                <w:sz w:val="24"/>
                <w:szCs w:val="24"/>
                <w:highlight w:val="none"/>
                <w:lang w:val="en-US" w:eastAsia="zh-CN" w:bidi="ar-SA"/>
              </w:rPr>
              <w:t>-N产生量为</w:t>
            </w:r>
            <w:r>
              <w:rPr>
                <w:rFonts w:hint="default" w:ascii="Times New Roman" w:hAnsi="Times New Roman" w:cs="Times New Roman"/>
                <w:color w:val="auto"/>
                <w:spacing w:val="0"/>
                <w:w w:val="100"/>
                <w:kern w:val="0"/>
                <w:position w:val="0"/>
                <w:sz w:val="24"/>
                <w:szCs w:val="24"/>
                <w:highlight w:val="none"/>
                <w:lang w:val="en-US" w:eastAsia="zh-CN" w:bidi="ar-SA"/>
              </w:rPr>
              <w:t>0.36t/a</w:t>
            </w:r>
            <w:r>
              <w:rPr>
                <w:rFonts w:hint="default" w:ascii="Times New Roman" w:hAnsi="Times New Roman" w:eastAsia="宋体" w:cs="Times New Roman"/>
                <w:color w:val="auto"/>
                <w:spacing w:val="0"/>
                <w:w w:val="100"/>
                <w:kern w:val="0"/>
                <w:position w:val="0"/>
                <w:sz w:val="24"/>
                <w:szCs w:val="24"/>
                <w:highlight w:val="none"/>
                <w:lang w:val="en-US" w:eastAsia="zh-CN" w:bidi="ar-SA"/>
              </w:rPr>
              <w:t>，SS产生量为6t/a，动植物油产生量为</w:t>
            </w:r>
            <w:r>
              <w:rPr>
                <w:rFonts w:hint="default" w:ascii="Times New Roman" w:hAnsi="Times New Roman" w:cs="Times New Roman"/>
                <w:color w:val="auto"/>
                <w:spacing w:val="0"/>
                <w:w w:val="100"/>
                <w:kern w:val="0"/>
                <w:position w:val="0"/>
                <w:sz w:val="24"/>
                <w:szCs w:val="24"/>
                <w:highlight w:val="none"/>
                <w:lang w:val="en-US" w:eastAsia="zh-CN" w:bidi="ar-SA"/>
              </w:rPr>
              <w:t>1.2</w:t>
            </w:r>
            <w:r>
              <w:rPr>
                <w:rFonts w:hint="default" w:ascii="Times New Roman" w:hAnsi="Times New Roman" w:eastAsia="宋体" w:cs="Times New Roman"/>
                <w:color w:val="auto"/>
                <w:spacing w:val="0"/>
                <w:w w:val="100"/>
                <w:kern w:val="0"/>
                <w:position w:val="0"/>
                <w:sz w:val="24"/>
                <w:szCs w:val="24"/>
                <w:highlight w:val="none"/>
                <w:lang w:val="en-US" w:eastAsia="zh-CN" w:bidi="ar-SA"/>
              </w:rPr>
              <w:t>t/a</w:t>
            </w:r>
            <w:r>
              <w:rPr>
                <w:rFonts w:hint="default" w:ascii="Times New Roman" w:hAnsi="Times New Roman" w:cs="Times New Roman"/>
                <w:color w:val="auto"/>
                <w:spacing w:val="0"/>
                <w:w w:val="100"/>
                <w:kern w:val="0"/>
                <w:position w:val="0"/>
                <w:sz w:val="24"/>
                <w:szCs w:val="24"/>
                <w:highlight w:val="none"/>
                <w:lang w:val="en-US" w:eastAsia="zh-CN" w:bidi="ar-SA"/>
              </w:rPr>
              <w:t>，TP产生量为0.18</w:t>
            </w:r>
            <w:r>
              <w:rPr>
                <w:rFonts w:hint="default" w:ascii="Times New Roman" w:hAnsi="Times New Roman" w:eastAsia="宋体" w:cs="Times New Roman"/>
                <w:color w:val="auto"/>
                <w:spacing w:val="0"/>
                <w:w w:val="100"/>
                <w:kern w:val="0"/>
                <w:position w:val="0"/>
                <w:sz w:val="24"/>
                <w:szCs w:val="24"/>
                <w:highlight w:val="none"/>
                <w:lang w:val="en-US" w:eastAsia="zh-CN" w:bidi="ar-SA"/>
              </w:rPr>
              <w:t>t/a。</w:t>
            </w:r>
          </w:p>
          <w:p w14:paraId="67726A48">
            <w:pPr>
              <w:keepNext w:val="0"/>
              <w:keepLines w:val="0"/>
              <w:pageBreakBefore w:val="0"/>
              <w:widowControl w:val="0"/>
              <w:tabs>
                <w:tab w:val="left" w:pos="4410"/>
              </w:tabs>
              <w:kinsoku/>
              <w:wordWrap/>
              <w:overflowPunct w:val="0"/>
              <w:topLinePunct w:val="0"/>
              <w:autoSpaceDE/>
              <w:autoSpaceDN/>
              <w:bidi w:val="0"/>
              <w:adjustRightInd w:val="0"/>
              <w:snapToGrid w:val="0"/>
              <w:spacing w:line="520" w:lineRule="exact"/>
              <w:ind w:firstLine="480" w:firstLineChars="200"/>
              <w:textAlignment w:val="auto"/>
              <w:outlineLvl w:val="9"/>
              <w:rPr>
                <w:rFonts w:hint="default" w:ascii="Times New Roman" w:hAnsi="Times New Roman" w:eastAsia="宋体" w:cs="Times New Roman"/>
                <w:color w:val="auto"/>
                <w:spacing w:val="0"/>
                <w:w w:val="100"/>
                <w:kern w:val="0"/>
                <w:position w:val="0"/>
                <w:sz w:val="24"/>
                <w:szCs w:val="24"/>
                <w:highlight w:val="none"/>
                <w:lang w:val="en-US" w:eastAsia="zh-CN" w:bidi="ar-SA"/>
              </w:rPr>
            </w:pPr>
            <w:r>
              <w:rPr>
                <w:rFonts w:hint="default" w:ascii="Times New Roman" w:hAnsi="Times New Roman" w:eastAsia="宋体" w:cs="Times New Roman"/>
                <w:color w:val="auto"/>
                <w:spacing w:val="0"/>
                <w:w w:val="100"/>
                <w:kern w:val="0"/>
                <w:position w:val="0"/>
                <w:sz w:val="24"/>
                <w:szCs w:val="24"/>
                <w:highlight w:val="none"/>
                <w:lang w:val="en-US" w:eastAsia="zh-CN" w:bidi="ar-SA"/>
              </w:rPr>
              <w:t>（3）精炼废水</w:t>
            </w:r>
          </w:p>
          <w:p w14:paraId="6130D5DB">
            <w:pPr>
              <w:keepNext w:val="0"/>
              <w:keepLines w:val="0"/>
              <w:pageBreakBefore w:val="0"/>
              <w:widowControl w:val="0"/>
              <w:tabs>
                <w:tab w:val="left" w:pos="4410"/>
              </w:tabs>
              <w:kinsoku/>
              <w:wordWrap/>
              <w:overflowPunct w:val="0"/>
              <w:topLinePunct w:val="0"/>
              <w:autoSpaceDE/>
              <w:autoSpaceDN/>
              <w:bidi w:val="0"/>
              <w:adjustRightInd w:val="0"/>
              <w:snapToGrid w:val="0"/>
              <w:spacing w:line="520" w:lineRule="exact"/>
              <w:ind w:firstLine="480" w:firstLineChars="200"/>
              <w:textAlignment w:val="auto"/>
              <w:outlineLvl w:val="9"/>
              <w:rPr>
                <w:rFonts w:hint="default" w:ascii="Times New Roman" w:hAnsi="Times New Roman" w:eastAsia="宋体" w:cs="Times New Roman"/>
                <w:color w:val="auto"/>
                <w:spacing w:val="0"/>
                <w:w w:val="100"/>
                <w:kern w:val="0"/>
                <w:position w:val="0"/>
                <w:sz w:val="24"/>
                <w:szCs w:val="24"/>
                <w:highlight w:val="none"/>
                <w:lang w:val="en-US" w:eastAsia="zh-CN" w:bidi="ar-SA"/>
              </w:rPr>
            </w:pPr>
            <w:r>
              <w:rPr>
                <w:rFonts w:hint="default" w:ascii="Times New Roman" w:hAnsi="Times New Roman" w:eastAsia="宋体" w:cs="Times New Roman"/>
                <w:color w:val="auto"/>
                <w:spacing w:val="0"/>
                <w:w w:val="100"/>
                <w:kern w:val="0"/>
                <w:position w:val="0"/>
                <w:sz w:val="24"/>
                <w:szCs w:val="24"/>
                <w:highlight w:val="none"/>
                <w:lang w:val="en-US" w:eastAsia="zh-CN" w:bidi="ar-SA"/>
              </w:rPr>
              <w:t>本项目</w:t>
            </w:r>
            <w:r>
              <w:rPr>
                <w:rFonts w:hint="default" w:ascii="Times New Roman" w:hAnsi="Times New Roman" w:cs="Times New Roman"/>
                <w:color w:val="auto"/>
                <w:spacing w:val="0"/>
                <w:position w:val="0"/>
                <w:sz w:val="24"/>
                <w:szCs w:val="24"/>
                <w:highlight w:val="none"/>
                <w:lang w:val="en-US" w:eastAsia="zh-CN"/>
              </w:rPr>
              <w:t>精炼车间废水量为2.057t/d，720t/a。</w:t>
            </w:r>
            <w:r>
              <w:rPr>
                <w:rFonts w:hint="default" w:ascii="Times New Roman" w:hAnsi="Times New Roman" w:eastAsia="宋体" w:cs="Times New Roman"/>
                <w:color w:val="auto"/>
                <w:spacing w:val="0"/>
                <w:w w:val="100"/>
                <w:kern w:val="0"/>
                <w:position w:val="0"/>
                <w:sz w:val="24"/>
                <w:szCs w:val="24"/>
                <w:highlight w:val="none"/>
                <w:lang w:val="en-US" w:eastAsia="zh-CN" w:bidi="ar-SA"/>
              </w:rPr>
              <w:t>废水中主要污染物为COD、BOD</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5</w:t>
            </w:r>
            <w:r>
              <w:rPr>
                <w:rFonts w:hint="default" w:ascii="Times New Roman" w:hAnsi="Times New Roman" w:eastAsia="宋体" w:cs="Times New Roman"/>
                <w:color w:val="auto"/>
                <w:spacing w:val="0"/>
                <w:w w:val="100"/>
                <w:kern w:val="0"/>
                <w:position w:val="0"/>
                <w:sz w:val="24"/>
                <w:szCs w:val="24"/>
                <w:highlight w:val="none"/>
                <w:lang w:val="en-US" w:eastAsia="zh-CN" w:bidi="ar-SA"/>
              </w:rPr>
              <w:t>、NH</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3</w:t>
            </w:r>
            <w:r>
              <w:rPr>
                <w:rFonts w:hint="default" w:ascii="Times New Roman" w:hAnsi="Times New Roman" w:eastAsia="宋体" w:cs="Times New Roman"/>
                <w:color w:val="auto"/>
                <w:spacing w:val="0"/>
                <w:w w:val="100"/>
                <w:kern w:val="0"/>
                <w:position w:val="0"/>
                <w:sz w:val="24"/>
                <w:szCs w:val="24"/>
                <w:highlight w:val="none"/>
                <w:lang w:val="en-US" w:eastAsia="zh-CN" w:bidi="ar-SA"/>
              </w:rPr>
              <w:t>-N、SS、动植物油、</w:t>
            </w:r>
            <w:r>
              <w:rPr>
                <w:rFonts w:hint="default" w:ascii="Times New Roman" w:hAnsi="Times New Roman" w:cs="Times New Roman"/>
                <w:color w:val="auto"/>
                <w:spacing w:val="0"/>
                <w:w w:val="100"/>
                <w:kern w:val="0"/>
                <w:position w:val="0"/>
                <w:sz w:val="24"/>
                <w:szCs w:val="24"/>
                <w:highlight w:val="none"/>
                <w:lang w:val="en-US" w:eastAsia="zh-CN" w:bidi="ar-SA"/>
              </w:rPr>
              <w:t>TP、</w:t>
            </w:r>
            <w:r>
              <w:rPr>
                <w:rFonts w:hint="default" w:ascii="Times New Roman" w:hAnsi="Times New Roman" w:eastAsia="宋体" w:cs="Times New Roman"/>
                <w:color w:val="auto"/>
                <w:spacing w:val="0"/>
                <w:w w:val="100"/>
                <w:kern w:val="0"/>
                <w:position w:val="0"/>
                <w:sz w:val="24"/>
                <w:szCs w:val="24"/>
                <w:highlight w:val="none"/>
                <w:lang w:val="en-US" w:eastAsia="zh-CN" w:bidi="ar-SA"/>
              </w:rPr>
              <w:t>色度。参考《食品工业废水处理》（化学工业出版社2001年）中的统计资料，确定本项目废水中主要污染物浓度为COD：3000mg/L、BOD</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5</w:t>
            </w:r>
            <w:r>
              <w:rPr>
                <w:rFonts w:hint="default" w:ascii="Times New Roman" w:hAnsi="Times New Roman" w:eastAsia="宋体" w:cs="Times New Roman"/>
                <w:color w:val="auto"/>
                <w:spacing w:val="0"/>
                <w:w w:val="100"/>
                <w:kern w:val="0"/>
                <w:position w:val="0"/>
                <w:sz w:val="24"/>
                <w:szCs w:val="24"/>
                <w:highlight w:val="none"/>
                <w:lang w:val="en-US" w:eastAsia="zh-CN" w:bidi="ar-SA"/>
              </w:rPr>
              <w:t>：1000mg/L、NH</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3</w:t>
            </w:r>
            <w:r>
              <w:rPr>
                <w:rFonts w:hint="default" w:ascii="Times New Roman" w:hAnsi="Times New Roman" w:eastAsia="宋体" w:cs="Times New Roman"/>
                <w:color w:val="auto"/>
                <w:spacing w:val="0"/>
                <w:w w:val="100"/>
                <w:kern w:val="0"/>
                <w:position w:val="0"/>
                <w:sz w:val="24"/>
                <w:szCs w:val="24"/>
                <w:highlight w:val="none"/>
                <w:lang w:val="en-US" w:eastAsia="zh-CN" w:bidi="ar-SA"/>
              </w:rPr>
              <w:t>-N：30mg/L、SS：500mg/L、动植物油：100mg/L</w:t>
            </w:r>
            <w:r>
              <w:rPr>
                <w:rFonts w:hint="default" w:ascii="Times New Roman" w:hAnsi="Times New Roman" w:cs="Times New Roman"/>
                <w:color w:val="auto"/>
                <w:spacing w:val="0"/>
                <w:w w:val="100"/>
                <w:kern w:val="0"/>
                <w:position w:val="0"/>
                <w:sz w:val="24"/>
                <w:szCs w:val="24"/>
                <w:highlight w:val="none"/>
                <w:lang w:val="en-US" w:eastAsia="zh-CN" w:bidi="ar-SA"/>
              </w:rPr>
              <w:t>、TP：15</w:t>
            </w:r>
            <w:r>
              <w:rPr>
                <w:rFonts w:hint="default" w:ascii="Times New Roman" w:hAnsi="Times New Roman" w:eastAsia="宋体" w:cs="Times New Roman"/>
                <w:color w:val="auto"/>
                <w:spacing w:val="0"/>
                <w:w w:val="100"/>
                <w:kern w:val="0"/>
                <w:position w:val="0"/>
                <w:sz w:val="24"/>
                <w:szCs w:val="24"/>
                <w:highlight w:val="none"/>
                <w:lang w:val="en-US" w:eastAsia="zh-CN" w:bidi="ar-SA"/>
              </w:rPr>
              <w:t>mg/L。则COD产生量为</w:t>
            </w:r>
            <w:r>
              <w:rPr>
                <w:rFonts w:hint="default" w:ascii="Times New Roman" w:hAnsi="Times New Roman" w:cs="Times New Roman"/>
                <w:color w:val="auto"/>
                <w:spacing w:val="0"/>
                <w:w w:val="100"/>
                <w:kern w:val="0"/>
                <w:position w:val="0"/>
                <w:sz w:val="24"/>
                <w:szCs w:val="24"/>
                <w:highlight w:val="none"/>
                <w:lang w:val="en-US" w:eastAsia="zh-CN" w:bidi="ar-SA"/>
              </w:rPr>
              <w:t>2.16</w:t>
            </w:r>
            <w:r>
              <w:rPr>
                <w:rFonts w:hint="default" w:ascii="Times New Roman" w:hAnsi="Times New Roman" w:eastAsia="宋体" w:cs="Times New Roman"/>
                <w:color w:val="auto"/>
                <w:spacing w:val="0"/>
                <w:w w:val="100"/>
                <w:kern w:val="0"/>
                <w:position w:val="0"/>
                <w:sz w:val="24"/>
                <w:szCs w:val="24"/>
                <w:highlight w:val="none"/>
                <w:lang w:val="en-US" w:eastAsia="zh-CN" w:bidi="ar-SA"/>
              </w:rPr>
              <w:t>t/a，BOD</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5</w:t>
            </w:r>
            <w:r>
              <w:rPr>
                <w:rFonts w:hint="default" w:ascii="Times New Roman" w:hAnsi="Times New Roman" w:eastAsia="宋体" w:cs="Times New Roman"/>
                <w:color w:val="auto"/>
                <w:spacing w:val="0"/>
                <w:w w:val="100"/>
                <w:kern w:val="0"/>
                <w:position w:val="0"/>
                <w:sz w:val="24"/>
                <w:szCs w:val="24"/>
                <w:highlight w:val="none"/>
                <w:lang w:val="en-US" w:eastAsia="zh-CN" w:bidi="ar-SA"/>
              </w:rPr>
              <w:t>产生量为</w:t>
            </w:r>
            <w:r>
              <w:rPr>
                <w:rFonts w:hint="default" w:ascii="Times New Roman" w:hAnsi="Times New Roman" w:cs="Times New Roman"/>
                <w:color w:val="auto"/>
                <w:spacing w:val="0"/>
                <w:w w:val="100"/>
                <w:kern w:val="0"/>
                <w:position w:val="0"/>
                <w:sz w:val="24"/>
                <w:szCs w:val="24"/>
                <w:highlight w:val="none"/>
                <w:lang w:val="en-US" w:eastAsia="zh-CN" w:bidi="ar-SA"/>
              </w:rPr>
              <w:t>0.72</w:t>
            </w:r>
            <w:r>
              <w:rPr>
                <w:rFonts w:hint="default" w:ascii="Times New Roman" w:hAnsi="Times New Roman" w:eastAsia="宋体" w:cs="Times New Roman"/>
                <w:color w:val="auto"/>
                <w:spacing w:val="0"/>
                <w:w w:val="100"/>
                <w:kern w:val="0"/>
                <w:position w:val="0"/>
                <w:sz w:val="24"/>
                <w:szCs w:val="24"/>
                <w:highlight w:val="none"/>
                <w:lang w:val="en-US" w:eastAsia="zh-CN" w:bidi="ar-SA"/>
              </w:rPr>
              <w:t>t/a，NH</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3</w:t>
            </w:r>
            <w:r>
              <w:rPr>
                <w:rFonts w:hint="default" w:ascii="Times New Roman" w:hAnsi="Times New Roman" w:eastAsia="宋体" w:cs="Times New Roman"/>
                <w:color w:val="auto"/>
                <w:spacing w:val="0"/>
                <w:w w:val="100"/>
                <w:kern w:val="0"/>
                <w:position w:val="0"/>
                <w:sz w:val="24"/>
                <w:szCs w:val="24"/>
                <w:highlight w:val="none"/>
                <w:lang w:val="en-US" w:eastAsia="zh-CN" w:bidi="ar-SA"/>
              </w:rPr>
              <w:t>-N产生量为0.</w:t>
            </w:r>
            <w:r>
              <w:rPr>
                <w:rFonts w:hint="default" w:ascii="Times New Roman" w:hAnsi="Times New Roman" w:cs="Times New Roman"/>
                <w:color w:val="auto"/>
                <w:spacing w:val="0"/>
                <w:w w:val="100"/>
                <w:kern w:val="0"/>
                <w:position w:val="0"/>
                <w:sz w:val="24"/>
                <w:szCs w:val="24"/>
                <w:highlight w:val="none"/>
                <w:lang w:val="en-US" w:eastAsia="zh-CN" w:bidi="ar-SA"/>
              </w:rPr>
              <w:t>022t/a</w:t>
            </w:r>
            <w:r>
              <w:rPr>
                <w:rFonts w:hint="default" w:ascii="Times New Roman" w:hAnsi="Times New Roman" w:eastAsia="宋体" w:cs="Times New Roman"/>
                <w:color w:val="auto"/>
                <w:spacing w:val="0"/>
                <w:w w:val="100"/>
                <w:kern w:val="0"/>
                <w:position w:val="0"/>
                <w:sz w:val="24"/>
                <w:szCs w:val="24"/>
                <w:highlight w:val="none"/>
                <w:lang w:val="en-US" w:eastAsia="zh-CN" w:bidi="ar-SA"/>
              </w:rPr>
              <w:t>，SS产生量为</w:t>
            </w:r>
            <w:r>
              <w:rPr>
                <w:rFonts w:hint="default" w:ascii="Times New Roman" w:hAnsi="Times New Roman" w:cs="Times New Roman"/>
                <w:color w:val="auto"/>
                <w:spacing w:val="0"/>
                <w:w w:val="100"/>
                <w:kern w:val="0"/>
                <w:position w:val="0"/>
                <w:sz w:val="24"/>
                <w:szCs w:val="24"/>
                <w:highlight w:val="none"/>
                <w:lang w:val="en-US" w:eastAsia="zh-CN" w:bidi="ar-SA"/>
              </w:rPr>
              <w:t>0.36</w:t>
            </w:r>
            <w:r>
              <w:rPr>
                <w:rFonts w:hint="default" w:ascii="Times New Roman" w:hAnsi="Times New Roman" w:eastAsia="宋体" w:cs="Times New Roman"/>
                <w:color w:val="auto"/>
                <w:spacing w:val="0"/>
                <w:w w:val="100"/>
                <w:kern w:val="0"/>
                <w:position w:val="0"/>
                <w:sz w:val="24"/>
                <w:szCs w:val="24"/>
                <w:highlight w:val="none"/>
                <w:lang w:val="en-US" w:eastAsia="zh-CN" w:bidi="ar-SA"/>
              </w:rPr>
              <w:t>t/a，动植物油产生量为</w:t>
            </w:r>
            <w:r>
              <w:rPr>
                <w:rFonts w:hint="default" w:ascii="Times New Roman" w:hAnsi="Times New Roman" w:cs="Times New Roman"/>
                <w:color w:val="auto"/>
                <w:spacing w:val="0"/>
                <w:w w:val="100"/>
                <w:kern w:val="0"/>
                <w:position w:val="0"/>
                <w:sz w:val="24"/>
                <w:szCs w:val="24"/>
                <w:highlight w:val="none"/>
                <w:lang w:val="en-US" w:eastAsia="zh-CN" w:bidi="ar-SA"/>
              </w:rPr>
              <w:t>0.072</w:t>
            </w:r>
            <w:r>
              <w:rPr>
                <w:rFonts w:hint="default" w:ascii="Times New Roman" w:hAnsi="Times New Roman" w:eastAsia="宋体" w:cs="Times New Roman"/>
                <w:color w:val="auto"/>
                <w:spacing w:val="0"/>
                <w:w w:val="100"/>
                <w:kern w:val="0"/>
                <w:position w:val="0"/>
                <w:sz w:val="24"/>
                <w:szCs w:val="24"/>
                <w:highlight w:val="none"/>
                <w:lang w:val="en-US" w:eastAsia="zh-CN" w:bidi="ar-SA"/>
              </w:rPr>
              <w:t>t/a</w:t>
            </w:r>
            <w:r>
              <w:rPr>
                <w:rFonts w:hint="default" w:ascii="Times New Roman" w:hAnsi="Times New Roman" w:cs="Times New Roman"/>
                <w:color w:val="auto"/>
                <w:spacing w:val="0"/>
                <w:w w:val="100"/>
                <w:kern w:val="0"/>
                <w:position w:val="0"/>
                <w:sz w:val="24"/>
                <w:szCs w:val="24"/>
                <w:highlight w:val="none"/>
                <w:lang w:val="en-US" w:eastAsia="zh-CN" w:bidi="ar-SA"/>
              </w:rPr>
              <w:t>，TP产生量为0.011</w:t>
            </w:r>
            <w:r>
              <w:rPr>
                <w:rFonts w:hint="default" w:ascii="Times New Roman" w:hAnsi="Times New Roman" w:eastAsia="宋体" w:cs="Times New Roman"/>
                <w:color w:val="auto"/>
                <w:spacing w:val="0"/>
                <w:w w:val="100"/>
                <w:kern w:val="0"/>
                <w:position w:val="0"/>
                <w:sz w:val="24"/>
                <w:szCs w:val="24"/>
                <w:highlight w:val="none"/>
                <w:lang w:val="en-US" w:eastAsia="zh-CN" w:bidi="ar-SA"/>
              </w:rPr>
              <w:t>t/a。</w:t>
            </w:r>
          </w:p>
          <w:p w14:paraId="477A96BE">
            <w:pPr>
              <w:keepNext w:val="0"/>
              <w:keepLines w:val="0"/>
              <w:pageBreakBefore w:val="0"/>
              <w:widowControl w:val="0"/>
              <w:tabs>
                <w:tab w:val="left" w:pos="4410"/>
              </w:tabs>
              <w:kinsoku/>
              <w:wordWrap/>
              <w:overflowPunct w:val="0"/>
              <w:topLinePunct w:val="0"/>
              <w:autoSpaceDE/>
              <w:autoSpaceDN/>
              <w:bidi w:val="0"/>
              <w:adjustRightInd w:val="0"/>
              <w:snapToGrid w:val="0"/>
              <w:spacing w:line="520" w:lineRule="exact"/>
              <w:ind w:firstLine="480" w:firstLineChars="200"/>
              <w:textAlignment w:val="auto"/>
              <w:outlineLvl w:val="9"/>
              <w:rPr>
                <w:rFonts w:hint="default" w:ascii="Times New Roman" w:hAnsi="Times New Roman" w:eastAsia="宋体" w:cs="Times New Roman"/>
                <w:color w:val="auto"/>
                <w:spacing w:val="0"/>
                <w:w w:val="100"/>
                <w:kern w:val="0"/>
                <w:position w:val="0"/>
                <w:sz w:val="24"/>
                <w:szCs w:val="24"/>
                <w:highlight w:val="none"/>
                <w:lang w:val="en-US" w:eastAsia="zh-CN" w:bidi="ar-SA"/>
              </w:rPr>
            </w:pPr>
            <w:r>
              <w:rPr>
                <w:rFonts w:hint="default" w:ascii="Times New Roman" w:hAnsi="Times New Roman" w:eastAsia="宋体" w:cs="Times New Roman"/>
                <w:color w:val="auto"/>
                <w:spacing w:val="0"/>
                <w:w w:val="100"/>
                <w:kern w:val="0"/>
                <w:position w:val="0"/>
                <w:sz w:val="24"/>
                <w:szCs w:val="24"/>
                <w:highlight w:val="none"/>
                <w:lang w:val="en-US" w:eastAsia="zh-CN" w:bidi="ar-SA"/>
              </w:rPr>
              <w:t>（4）锅炉排污水及纯水制备产生浓水</w:t>
            </w:r>
          </w:p>
          <w:p w14:paraId="03C0BD44">
            <w:pPr>
              <w:keepNext w:val="0"/>
              <w:keepLines w:val="0"/>
              <w:pageBreakBefore w:val="0"/>
              <w:widowControl w:val="0"/>
              <w:tabs>
                <w:tab w:val="left" w:pos="4410"/>
              </w:tabs>
              <w:kinsoku/>
              <w:wordWrap/>
              <w:overflowPunct w:val="0"/>
              <w:topLinePunct w:val="0"/>
              <w:autoSpaceDE/>
              <w:autoSpaceDN/>
              <w:bidi w:val="0"/>
              <w:adjustRightInd w:val="0"/>
              <w:snapToGrid w:val="0"/>
              <w:spacing w:line="520" w:lineRule="exact"/>
              <w:ind w:firstLine="480" w:firstLineChars="200"/>
              <w:textAlignment w:val="auto"/>
              <w:outlineLvl w:val="9"/>
              <w:rPr>
                <w:rFonts w:hint="default" w:ascii="Times New Roman" w:hAnsi="Times New Roman"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bidi="ar-SA"/>
              </w:rPr>
              <w:t>本项目锅炉排污水及纯水制备产生浓水产生量为</w:t>
            </w:r>
            <w:r>
              <w:rPr>
                <w:rFonts w:hint="default" w:ascii="Times New Roman" w:hAnsi="Times New Roman" w:cs="Times New Roman"/>
                <w:color w:val="auto"/>
                <w:spacing w:val="0"/>
                <w:position w:val="0"/>
                <w:sz w:val="24"/>
                <w:szCs w:val="24"/>
                <w:highlight w:val="none"/>
                <w:lang w:val="en-US" w:eastAsia="zh-CN"/>
              </w:rPr>
              <w:t>36.72</w:t>
            </w:r>
            <w:r>
              <w:rPr>
                <w:rFonts w:hint="default" w:ascii="Times New Roman" w:hAnsi="Times New Roman" w:eastAsia="宋体" w:cs="Times New Roman"/>
                <w:color w:val="auto"/>
                <w:spacing w:val="0"/>
                <w:position w:val="0"/>
                <w:sz w:val="24"/>
                <w:szCs w:val="32"/>
                <w:highlight w:val="none"/>
              </w:rPr>
              <w:t>t</w:t>
            </w:r>
            <w:r>
              <w:rPr>
                <w:rFonts w:hint="default" w:ascii="Times New Roman" w:hAnsi="Times New Roman" w:eastAsia="宋体" w:cs="Times New Roman"/>
                <w:color w:val="auto"/>
                <w:spacing w:val="0"/>
                <w:position w:val="0"/>
                <w:sz w:val="24"/>
                <w:szCs w:val="24"/>
                <w:highlight w:val="none"/>
              </w:rPr>
              <w:t>/d，</w:t>
            </w:r>
            <w:r>
              <w:rPr>
                <w:rFonts w:hint="default" w:ascii="Times New Roman" w:hAnsi="Times New Roman" w:cs="Times New Roman"/>
                <w:color w:val="auto"/>
                <w:spacing w:val="0"/>
                <w:position w:val="0"/>
                <w:sz w:val="24"/>
                <w:szCs w:val="24"/>
                <w:highlight w:val="none"/>
                <w:lang w:val="en-US" w:eastAsia="zh-CN"/>
              </w:rPr>
              <w:t>12852</w:t>
            </w:r>
            <w:r>
              <w:rPr>
                <w:rFonts w:hint="default" w:ascii="Times New Roman" w:hAnsi="Times New Roman" w:eastAsia="宋体" w:cs="Times New Roman"/>
                <w:color w:val="auto"/>
                <w:spacing w:val="0"/>
                <w:position w:val="0"/>
                <w:sz w:val="24"/>
                <w:szCs w:val="32"/>
                <w:highlight w:val="none"/>
              </w:rPr>
              <w:t>t</w:t>
            </w:r>
            <w:r>
              <w:rPr>
                <w:rFonts w:hint="default" w:ascii="Times New Roman" w:hAnsi="Times New Roman" w:eastAsia="宋体" w:cs="Times New Roman"/>
                <w:color w:val="auto"/>
                <w:spacing w:val="0"/>
                <w:position w:val="0"/>
                <w:sz w:val="24"/>
                <w:szCs w:val="24"/>
                <w:highlight w:val="none"/>
              </w:rPr>
              <w:t>/a</w:t>
            </w:r>
            <w:r>
              <w:rPr>
                <w:rFonts w:hint="default" w:ascii="Times New Roman" w:hAnsi="Times New Roman" w:eastAsia="宋体" w:cs="Times New Roman"/>
                <w:color w:val="auto"/>
                <w:spacing w:val="0"/>
                <w:w w:val="100"/>
                <w:kern w:val="0"/>
                <w:position w:val="0"/>
                <w:sz w:val="24"/>
                <w:szCs w:val="24"/>
                <w:highlight w:val="none"/>
                <w:lang w:val="en-US" w:eastAsia="zh-CN" w:bidi="ar-SA"/>
              </w:rPr>
              <w:t>。废水中主要污染物为COD、TDS。</w:t>
            </w:r>
            <w:r>
              <w:rPr>
                <w:rFonts w:hint="default" w:ascii="Times New Roman" w:hAnsi="Times New Roman" w:cs="Times New Roman"/>
                <w:color w:val="auto"/>
                <w:spacing w:val="0"/>
                <w:w w:val="100"/>
                <w:kern w:val="0"/>
                <w:position w:val="0"/>
                <w:sz w:val="24"/>
                <w:szCs w:val="24"/>
                <w:highlight w:val="none"/>
                <w:lang w:val="en-US" w:eastAsia="zh-CN"/>
              </w:rPr>
              <w:t>锅炉废水浓度根据《排放源统计调查产排污核算方法和系数手册》（公告2021年第24号）中“4430工业锅炉（热力生产和供应行业）产排污系数表”的内容，生物质锅炉（锅炉排污水＋软化处理废水）COD产生系数计算，锅炉废水水质为COD：84.23mg/L。锅炉污水其他污染物参考《环境影响评价工程师职业资格登记培训系列教材—社会区域类环境影响评价》（中国环境科学出版社）中数据，溶解性总固体（TDS）：1200mg/L。</w:t>
            </w:r>
            <w:r>
              <w:rPr>
                <w:rFonts w:hint="default" w:ascii="Times New Roman" w:hAnsi="Times New Roman" w:eastAsia="宋体" w:cs="Times New Roman"/>
                <w:color w:val="auto"/>
                <w:spacing w:val="0"/>
                <w:w w:val="100"/>
                <w:kern w:val="0"/>
                <w:position w:val="0"/>
                <w:sz w:val="24"/>
                <w:szCs w:val="24"/>
                <w:highlight w:val="none"/>
                <w:lang w:val="en-US" w:eastAsia="zh-CN" w:bidi="ar-SA"/>
              </w:rPr>
              <w:t>则COD产生量为</w:t>
            </w:r>
            <w:r>
              <w:rPr>
                <w:rFonts w:hint="default" w:ascii="Times New Roman" w:hAnsi="Times New Roman" w:cs="Times New Roman"/>
                <w:color w:val="auto"/>
                <w:spacing w:val="0"/>
                <w:w w:val="100"/>
                <w:kern w:val="0"/>
                <w:position w:val="0"/>
                <w:sz w:val="24"/>
                <w:szCs w:val="24"/>
                <w:highlight w:val="none"/>
                <w:lang w:val="en-US" w:eastAsia="zh-CN" w:bidi="ar-SA"/>
              </w:rPr>
              <w:t>1.083</w:t>
            </w:r>
            <w:r>
              <w:rPr>
                <w:rFonts w:hint="default" w:ascii="Times New Roman" w:hAnsi="Times New Roman" w:eastAsia="宋体" w:cs="Times New Roman"/>
                <w:color w:val="auto"/>
                <w:spacing w:val="0"/>
                <w:w w:val="100"/>
                <w:kern w:val="0"/>
                <w:position w:val="0"/>
                <w:sz w:val="24"/>
                <w:szCs w:val="24"/>
                <w:highlight w:val="none"/>
                <w:lang w:val="en-US" w:eastAsia="zh-CN" w:bidi="ar-SA"/>
              </w:rPr>
              <w:t>t/a，TDS产生量为</w:t>
            </w:r>
            <w:r>
              <w:rPr>
                <w:rFonts w:hint="default" w:ascii="Times New Roman" w:hAnsi="Times New Roman" w:cs="Times New Roman"/>
                <w:color w:val="auto"/>
                <w:spacing w:val="0"/>
                <w:w w:val="100"/>
                <w:kern w:val="0"/>
                <w:position w:val="0"/>
                <w:sz w:val="24"/>
                <w:szCs w:val="24"/>
                <w:highlight w:val="none"/>
                <w:lang w:val="en-US" w:eastAsia="zh-CN" w:bidi="ar-SA"/>
              </w:rPr>
              <w:t>15.422</w:t>
            </w:r>
            <w:r>
              <w:rPr>
                <w:rFonts w:hint="default" w:ascii="Times New Roman" w:hAnsi="Times New Roman" w:eastAsia="宋体" w:cs="Times New Roman"/>
                <w:color w:val="auto"/>
                <w:spacing w:val="0"/>
                <w:w w:val="100"/>
                <w:kern w:val="0"/>
                <w:position w:val="0"/>
                <w:sz w:val="24"/>
                <w:szCs w:val="24"/>
                <w:highlight w:val="none"/>
                <w:lang w:val="en-US" w:eastAsia="zh-CN" w:bidi="ar-SA"/>
              </w:rPr>
              <w:t>t/a。</w:t>
            </w:r>
          </w:p>
          <w:p w14:paraId="574C14AA">
            <w:pPr>
              <w:keepNext w:val="0"/>
              <w:keepLines w:val="0"/>
              <w:pageBreakBefore w:val="0"/>
              <w:widowControl w:val="0"/>
              <w:tabs>
                <w:tab w:val="left" w:pos="4410"/>
              </w:tabs>
              <w:kinsoku/>
              <w:wordWrap/>
              <w:overflowPunct w:val="0"/>
              <w:topLinePunct w:val="0"/>
              <w:autoSpaceDE/>
              <w:autoSpaceDN/>
              <w:bidi w:val="0"/>
              <w:adjustRightInd w:val="0"/>
              <w:snapToGrid w:val="0"/>
              <w:spacing w:line="520" w:lineRule="exact"/>
              <w:ind w:firstLine="480" w:firstLineChars="200"/>
              <w:textAlignment w:val="auto"/>
              <w:outlineLvl w:val="9"/>
              <w:rPr>
                <w:rFonts w:hint="default" w:ascii="Times New Roman" w:hAnsi="Times New Roman" w:cs="Times New Roman"/>
                <w:color w:val="auto"/>
                <w:spacing w:val="0"/>
                <w:w w:val="100"/>
                <w:kern w:val="0"/>
                <w:position w:val="0"/>
                <w:sz w:val="24"/>
                <w:szCs w:val="24"/>
                <w:highlight w:val="none"/>
                <w:lang w:val="en-US" w:eastAsia="zh-CN"/>
              </w:rPr>
            </w:pPr>
            <w:r>
              <w:rPr>
                <w:rFonts w:hint="default" w:ascii="Times New Roman" w:hAnsi="Times New Roman" w:cs="Times New Roman"/>
                <w:color w:val="auto"/>
                <w:spacing w:val="0"/>
                <w:w w:val="100"/>
                <w:kern w:val="0"/>
                <w:position w:val="0"/>
                <w:sz w:val="24"/>
                <w:szCs w:val="24"/>
                <w:highlight w:val="none"/>
                <w:lang w:val="en-US" w:eastAsia="zh-CN"/>
              </w:rPr>
              <w:t>（5）冷却塔排污水</w:t>
            </w:r>
          </w:p>
          <w:p w14:paraId="1E81BE3B">
            <w:pPr>
              <w:keepNext w:val="0"/>
              <w:keepLines w:val="0"/>
              <w:pageBreakBefore w:val="0"/>
              <w:widowControl w:val="0"/>
              <w:tabs>
                <w:tab w:val="left" w:pos="4410"/>
              </w:tabs>
              <w:kinsoku/>
              <w:wordWrap/>
              <w:overflowPunct w:val="0"/>
              <w:topLinePunct w:val="0"/>
              <w:autoSpaceDE/>
              <w:autoSpaceDN/>
              <w:bidi w:val="0"/>
              <w:adjustRightInd w:val="0"/>
              <w:snapToGrid w:val="0"/>
              <w:spacing w:line="520" w:lineRule="exact"/>
              <w:ind w:firstLine="480" w:firstLineChars="200"/>
              <w:textAlignment w:val="auto"/>
              <w:outlineLvl w:val="9"/>
              <w:rPr>
                <w:rFonts w:hint="default" w:ascii="Times New Roman" w:hAnsi="Times New Roman" w:cs="Times New Roman"/>
                <w:color w:val="auto"/>
                <w:spacing w:val="0"/>
                <w:w w:val="100"/>
                <w:kern w:val="0"/>
                <w:position w:val="0"/>
                <w:sz w:val="24"/>
                <w:szCs w:val="24"/>
                <w:highlight w:val="none"/>
                <w:lang w:val="en-US" w:eastAsia="zh-CN"/>
              </w:rPr>
            </w:pPr>
            <w:r>
              <w:rPr>
                <w:rFonts w:hint="default" w:ascii="Times New Roman" w:hAnsi="Times New Roman" w:cs="Times New Roman"/>
                <w:color w:val="auto"/>
                <w:spacing w:val="0"/>
                <w:w w:val="100"/>
                <w:kern w:val="0"/>
                <w:position w:val="0"/>
                <w:sz w:val="24"/>
                <w:szCs w:val="24"/>
                <w:highlight w:val="none"/>
                <w:lang w:val="en-US" w:eastAsia="zh-CN"/>
              </w:rPr>
              <w:t>本项目冷却塔排污水产生量为36t/d，12600t/a。</w:t>
            </w:r>
            <w:r>
              <w:rPr>
                <w:rFonts w:hint="default" w:ascii="Times New Roman" w:hAnsi="Times New Roman" w:eastAsia="宋体" w:cs="Times New Roman"/>
                <w:color w:val="auto"/>
                <w:spacing w:val="0"/>
                <w:w w:val="100"/>
                <w:kern w:val="0"/>
                <w:position w:val="0"/>
                <w:sz w:val="24"/>
                <w:szCs w:val="24"/>
                <w:highlight w:val="none"/>
                <w:lang w:val="en-US" w:eastAsia="zh-CN" w:bidi="ar-SA"/>
              </w:rPr>
              <w:t>经类比分析，主要污染物浓度为COD：40mg/L、BOD</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5</w:t>
            </w:r>
            <w:r>
              <w:rPr>
                <w:rFonts w:hint="default" w:ascii="Times New Roman" w:hAnsi="Times New Roman" w:eastAsia="宋体" w:cs="Times New Roman"/>
                <w:color w:val="auto"/>
                <w:spacing w:val="0"/>
                <w:w w:val="100"/>
                <w:kern w:val="0"/>
                <w:position w:val="0"/>
                <w:sz w:val="24"/>
                <w:szCs w:val="24"/>
                <w:highlight w:val="none"/>
                <w:lang w:val="en-US" w:eastAsia="zh-CN" w:bidi="ar-SA"/>
              </w:rPr>
              <w:t>：10mg/L、NH</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3</w:t>
            </w:r>
            <w:r>
              <w:rPr>
                <w:rFonts w:hint="default" w:ascii="Times New Roman" w:hAnsi="Times New Roman" w:eastAsia="宋体" w:cs="Times New Roman"/>
                <w:color w:val="auto"/>
                <w:spacing w:val="0"/>
                <w:w w:val="100"/>
                <w:kern w:val="0"/>
                <w:position w:val="0"/>
                <w:sz w:val="24"/>
                <w:szCs w:val="24"/>
                <w:highlight w:val="none"/>
                <w:lang w:val="en-US" w:eastAsia="zh-CN" w:bidi="ar-SA"/>
              </w:rPr>
              <w:t>-N：5mg/L、SS：40mg/L、盐类：1200mg/L，则主要污染物产生量为COD：0.504t/a、BOD</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5</w:t>
            </w:r>
            <w:r>
              <w:rPr>
                <w:rFonts w:hint="default" w:ascii="Times New Roman" w:hAnsi="Times New Roman" w:eastAsia="宋体" w:cs="Times New Roman"/>
                <w:color w:val="auto"/>
                <w:spacing w:val="0"/>
                <w:w w:val="100"/>
                <w:kern w:val="0"/>
                <w:position w:val="0"/>
                <w:sz w:val="24"/>
                <w:szCs w:val="24"/>
                <w:highlight w:val="none"/>
                <w:lang w:val="en-US" w:eastAsia="zh-CN" w:bidi="ar-SA"/>
              </w:rPr>
              <w:t>：0.126t/a、NH</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bidi="ar-SA"/>
              </w:rPr>
              <w:t>3</w:t>
            </w:r>
            <w:r>
              <w:rPr>
                <w:rFonts w:hint="default" w:ascii="Times New Roman" w:hAnsi="Times New Roman" w:eastAsia="宋体" w:cs="Times New Roman"/>
                <w:color w:val="auto"/>
                <w:spacing w:val="0"/>
                <w:w w:val="100"/>
                <w:kern w:val="0"/>
                <w:position w:val="0"/>
                <w:sz w:val="24"/>
                <w:szCs w:val="24"/>
                <w:highlight w:val="none"/>
                <w:lang w:val="en-US" w:eastAsia="zh-CN" w:bidi="ar-SA"/>
              </w:rPr>
              <w:t>-N：0.063t/a、SS：0.504t/a、盐类：15.12t/a。</w:t>
            </w:r>
          </w:p>
          <w:p w14:paraId="43F08BD2">
            <w:pPr>
              <w:keepNext w:val="0"/>
              <w:keepLines w:val="0"/>
              <w:pageBreakBefore w:val="0"/>
              <w:widowControl w:val="0"/>
              <w:tabs>
                <w:tab w:val="left" w:pos="4410"/>
              </w:tabs>
              <w:kinsoku/>
              <w:wordWrap/>
              <w:overflowPunct w:val="0"/>
              <w:topLinePunct w:val="0"/>
              <w:autoSpaceDE/>
              <w:autoSpaceDN/>
              <w:bidi w:val="0"/>
              <w:adjustRightInd w:val="0"/>
              <w:snapToGrid w:val="0"/>
              <w:spacing w:line="520" w:lineRule="exact"/>
              <w:ind w:firstLine="480" w:firstLineChars="200"/>
              <w:textAlignment w:val="auto"/>
              <w:outlineLvl w:val="9"/>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cs="Times New Roman"/>
                <w:color w:val="auto"/>
                <w:spacing w:val="0"/>
                <w:w w:val="100"/>
                <w:kern w:val="0"/>
                <w:position w:val="0"/>
                <w:sz w:val="24"/>
                <w:szCs w:val="24"/>
                <w:highlight w:val="none"/>
                <w:lang w:val="en-US" w:eastAsia="zh-CN"/>
              </w:rPr>
              <w:t>本项目</w:t>
            </w:r>
            <w:r>
              <w:rPr>
                <w:rFonts w:hint="default" w:ascii="Times New Roman" w:hAnsi="Times New Roman" w:eastAsia="宋体" w:cs="Times New Roman"/>
                <w:color w:val="auto"/>
                <w:spacing w:val="0"/>
                <w:w w:val="100"/>
                <w:kern w:val="0"/>
                <w:position w:val="0"/>
                <w:sz w:val="24"/>
                <w:szCs w:val="24"/>
                <w:highlight w:val="none"/>
                <w:lang w:val="en-US" w:eastAsia="zh-CN"/>
              </w:rPr>
              <w:t>生活污水、冷却塔排污水、锅炉排污水及纯水制备产生浓水经市政管网排入桦川县污水处理厂处理。</w:t>
            </w:r>
          </w:p>
          <w:p w14:paraId="54E06812">
            <w:pPr>
              <w:keepNext w:val="0"/>
              <w:keepLines w:val="0"/>
              <w:pageBreakBefore w:val="0"/>
              <w:widowControl w:val="0"/>
              <w:tabs>
                <w:tab w:val="left" w:pos="4410"/>
              </w:tabs>
              <w:kinsoku/>
              <w:wordWrap/>
              <w:overflowPunct w:val="0"/>
              <w:topLinePunct w:val="0"/>
              <w:autoSpaceDE/>
              <w:autoSpaceDN/>
              <w:bidi w:val="0"/>
              <w:adjustRightInd w:val="0"/>
              <w:snapToGrid w:val="0"/>
              <w:spacing w:line="520" w:lineRule="exact"/>
              <w:ind w:firstLine="480" w:firstLineChars="200"/>
              <w:textAlignment w:val="auto"/>
              <w:outlineLvl w:val="9"/>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浸出废水、精炼废水</w:t>
            </w:r>
            <w:r>
              <w:rPr>
                <w:rFonts w:hint="default" w:ascii="Times New Roman" w:hAnsi="Times New Roman" w:cs="Times New Roman"/>
                <w:color w:val="auto"/>
                <w:spacing w:val="0"/>
                <w:w w:val="100"/>
                <w:kern w:val="0"/>
                <w:position w:val="0"/>
                <w:sz w:val="24"/>
                <w:szCs w:val="24"/>
                <w:highlight w:val="none"/>
                <w:lang w:val="en-US" w:eastAsia="zh-CN"/>
              </w:rPr>
              <w:t>排入</w:t>
            </w:r>
            <w:r>
              <w:rPr>
                <w:rFonts w:hint="default" w:ascii="Times New Roman" w:hAnsi="Times New Roman" w:eastAsia="宋体" w:cs="Times New Roman"/>
                <w:color w:val="auto"/>
                <w:spacing w:val="0"/>
                <w:w w:val="100"/>
                <w:kern w:val="0"/>
                <w:position w:val="0"/>
                <w:sz w:val="24"/>
                <w:szCs w:val="24"/>
                <w:highlight w:val="none"/>
                <w:lang w:val="en-US" w:eastAsia="zh-CN"/>
              </w:rPr>
              <w:t>厂区内污水处理站处理，处理工艺为“隔油沉淀池+调节池+高效溶气气浮+</w:t>
            </w:r>
            <w:r>
              <w:rPr>
                <w:rFonts w:hint="default" w:ascii="Times New Roman" w:hAnsi="Times New Roman" w:cs="Times New Roman"/>
                <w:color w:val="auto"/>
                <w:spacing w:val="0"/>
                <w:w w:val="100"/>
                <w:kern w:val="0"/>
                <w:position w:val="0"/>
                <w:sz w:val="24"/>
                <w:szCs w:val="24"/>
                <w:highlight w:val="none"/>
                <w:lang w:val="en-US" w:eastAsia="zh-CN"/>
              </w:rPr>
              <w:t>厌氧池+</w:t>
            </w:r>
            <w:r>
              <w:rPr>
                <w:rFonts w:hint="default" w:ascii="Times New Roman" w:hAnsi="Times New Roman" w:eastAsia="宋体" w:cs="Times New Roman"/>
                <w:color w:val="auto"/>
                <w:spacing w:val="0"/>
                <w:w w:val="100"/>
                <w:kern w:val="0"/>
                <w:position w:val="0"/>
                <w:sz w:val="24"/>
                <w:szCs w:val="24"/>
                <w:highlight w:val="none"/>
                <w:lang w:val="en-US" w:eastAsia="zh-CN"/>
              </w:rPr>
              <w:t>生物接触氧化池+清水池”，污染因子</w:t>
            </w:r>
            <w:r>
              <w:rPr>
                <w:rFonts w:hint="default" w:ascii="Times New Roman" w:hAnsi="Times New Roman" w:cs="Times New Roman"/>
                <w:color w:val="auto"/>
                <w:spacing w:val="0"/>
                <w:w w:val="100"/>
                <w:kern w:val="0"/>
                <w:position w:val="0"/>
                <w:sz w:val="24"/>
                <w:szCs w:val="24"/>
                <w:highlight w:val="none"/>
                <w:lang w:val="en-US" w:eastAsia="zh-CN"/>
              </w:rPr>
              <w:t>综合</w:t>
            </w:r>
            <w:r>
              <w:rPr>
                <w:rFonts w:hint="default" w:ascii="Times New Roman" w:hAnsi="Times New Roman" w:eastAsia="宋体" w:cs="Times New Roman"/>
                <w:color w:val="auto"/>
                <w:spacing w:val="0"/>
                <w:w w:val="100"/>
                <w:kern w:val="0"/>
                <w:position w:val="0"/>
                <w:sz w:val="24"/>
                <w:szCs w:val="24"/>
                <w:highlight w:val="none"/>
                <w:lang w:val="en-US" w:eastAsia="zh-CN"/>
              </w:rPr>
              <w:t>处理效率分别为COD：90.5%、BOD</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rPr>
              <w:t>5</w:t>
            </w:r>
            <w:r>
              <w:rPr>
                <w:rFonts w:hint="default" w:ascii="Times New Roman" w:hAnsi="Times New Roman" w:eastAsia="宋体" w:cs="Times New Roman"/>
                <w:color w:val="auto"/>
                <w:spacing w:val="0"/>
                <w:w w:val="100"/>
                <w:kern w:val="0"/>
                <w:position w:val="0"/>
                <w:sz w:val="24"/>
                <w:szCs w:val="24"/>
                <w:highlight w:val="none"/>
                <w:lang w:val="en-US" w:eastAsia="zh-CN"/>
              </w:rPr>
              <w:t>：91%、NH</w:t>
            </w:r>
            <w:r>
              <w:rPr>
                <w:rFonts w:hint="default" w:ascii="Times New Roman" w:hAnsi="Times New Roman" w:eastAsia="宋体" w:cs="Times New Roman"/>
                <w:color w:val="auto"/>
                <w:spacing w:val="0"/>
                <w:w w:val="100"/>
                <w:kern w:val="0"/>
                <w:position w:val="0"/>
                <w:sz w:val="24"/>
                <w:szCs w:val="24"/>
                <w:highlight w:val="none"/>
                <w:vertAlign w:val="subscript"/>
                <w:lang w:val="en-US" w:eastAsia="zh-CN"/>
              </w:rPr>
              <w:t>3</w:t>
            </w:r>
            <w:r>
              <w:rPr>
                <w:rFonts w:hint="default" w:ascii="Times New Roman" w:hAnsi="Times New Roman" w:eastAsia="宋体" w:cs="Times New Roman"/>
                <w:color w:val="auto"/>
                <w:spacing w:val="0"/>
                <w:w w:val="100"/>
                <w:kern w:val="0"/>
                <w:position w:val="0"/>
                <w:sz w:val="24"/>
                <w:szCs w:val="24"/>
                <w:highlight w:val="none"/>
                <w:lang w:val="en-US" w:eastAsia="zh-CN"/>
              </w:rPr>
              <w:t>-N：45%、SS：88.5%、动植物油：90%。</w:t>
            </w:r>
          </w:p>
          <w:p w14:paraId="51A53EB6">
            <w:pPr>
              <w:pStyle w:val="100"/>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contextualSpacing/>
              <w:outlineLvl w:val="9"/>
              <w:rPr>
                <w:rFonts w:hint="default" w:ascii="Times New Roman" w:hAnsi="Times New Roman" w:eastAsia="宋体" w:cs="Times New Roman"/>
                <w:b/>
                <w:color w:val="auto"/>
                <w:spacing w:val="0"/>
                <w:w w:val="100"/>
                <w:kern w:val="0"/>
                <w:position w:val="0"/>
                <w:highlight w:val="none"/>
              </w:rPr>
            </w:pPr>
            <w:r>
              <w:rPr>
                <w:rFonts w:hint="default" w:ascii="Times New Roman" w:hAnsi="Times New Roman" w:eastAsia="宋体" w:cs="Times New Roman"/>
                <w:b/>
                <w:color w:val="auto"/>
                <w:spacing w:val="0"/>
                <w:w w:val="100"/>
                <w:kern w:val="0"/>
                <w:position w:val="0"/>
                <w:highlight w:val="none"/>
              </w:rPr>
              <w:t>表</w:t>
            </w:r>
            <w:r>
              <w:rPr>
                <w:rFonts w:hint="default" w:ascii="Times New Roman" w:hAnsi="Times New Roman" w:eastAsia="宋体" w:cs="Times New Roman"/>
                <w:b/>
                <w:color w:val="auto"/>
                <w:spacing w:val="0"/>
                <w:w w:val="100"/>
                <w:kern w:val="0"/>
                <w:position w:val="0"/>
                <w:highlight w:val="none"/>
                <w:lang w:val="en-US" w:eastAsia="zh-CN"/>
              </w:rPr>
              <w:t>4-5</w:t>
            </w:r>
            <w:r>
              <w:rPr>
                <w:rFonts w:hint="default" w:ascii="Times New Roman" w:hAnsi="Times New Roman" w:eastAsia="宋体" w:cs="Times New Roman"/>
                <w:b/>
                <w:color w:val="auto"/>
                <w:spacing w:val="0"/>
                <w:w w:val="100"/>
                <w:kern w:val="0"/>
                <w:position w:val="0"/>
                <w:highlight w:val="none"/>
              </w:rPr>
              <w:t xml:space="preserve"> </w:t>
            </w:r>
            <w:r>
              <w:rPr>
                <w:rFonts w:hint="default" w:ascii="Times New Roman" w:hAnsi="Times New Roman" w:eastAsia="宋体" w:cs="Times New Roman"/>
                <w:b/>
                <w:color w:val="auto"/>
                <w:spacing w:val="0"/>
                <w:w w:val="100"/>
                <w:kern w:val="0"/>
                <w:position w:val="0"/>
                <w:highlight w:val="none"/>
                <w:lang w:val="en-US" w:eastAsia="zh-CN"/>
              </w:rPr>
              <w:t>污水处理单元处理效率</w:t>
            </w:r>
            <w:r>
              <w:rPr>
                <w:rFonts w:hint="default" w:ascii="Times New Roman" w:hAnsi="Times New Roman" w:eastAsia="宋体" w:cs="Times New Roman"/>
                <w:b/>
                <w:color w:val="auto"/>
                <w:spacing w:val="0"/>
                <w:w w:val="100"/>
                <w:kern w:val="0"/>
                <w:position w:val="0"/>
                <w:highlight w:val="none"/>
              </w:rPr>
              <w:t>一览表</w:t>
            </w:r>
          </w:p>
          <w:tbl>
            <w:tblPr>
              <w:tblStyle w:val="30"/>
              <w:tblW w:w="8045"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2"/>
              <w:gridCol w:w="1110"/>
              <w:gridCol w:w="1028"/>
              <w:gridCol w:w="1028"/>
              <w:gridCol w:w="1028"/>
              <w:gridCol w:w="1028"/>
              <w:gridCol w:w="1123"/>
              <w:gridCol w:w="938"/>
            </w:tblGrid>
            <w:tr w14:paraId="13715D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72" w:type="dxa"/>
                  <w:gridSpan w:val="2"/>
                  <w:vMerge w:val="restart"/>
                  <w:tcBorders>
                    <w:tl2br w:val="nil"/>
                    <w:tr2bl w:val="nil"/>
                  </w:tcBorders>
                  <w:vAlign w:val="center"/>
                </w:tcPr>
                <w:p w14:paraId="2B7AFB90">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污水处理单元</w:t>
                  </w:r>
                </w:p>
              </w:tc>
              <w:tc>
                <w:tcPr>
                  <w:tcW w:w="6173" w:type="dxa"/>
                  <w:gridSpan w:val="6"/>
                  <w:tcBorders>
                    <w:tl2br w:val="nil"/>
                    <w:tr2bl w:val="nil"/>
                  </w:tcBorders>
                  <w:vAlign w:val="center"/>
                </w:tcPr>
                <w:p w14:paraId="28571858">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污染物处理效率</w:t>
                  </w:r>
                </w:p>
              </w:tc>
            </w:tr>
            <w:tr w14:paraId="7DEF6B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72" w:type="dxa"/>
                  <w:gridSpan w:val="2"/>
                  <w:vMerge w:val="continue"/>
                  <w:tcBorders>
                    <w:tl2br w:val="nil"/>
                    <w:tr2bl w:val="nil"/>
                  </w:tcBorders>
                  <w:vAlign w:val="center"/>
                </w:tcPr>
                <w:p w14:paraId="2C7EB523">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p>
              </w:tc>
              <w:tc>
                <w:tcPr>
                  <w:tcW w:w="1028" w:type="dxa"/>
                  <w:tcBorders>
                    <w:tl2br w:val="nil"/>
                    <w:tr2bl w:val="nil"/>
                  </w:tcBorders>
                  <w:vAlign w:val="center"/>
                </w:tcPr>
                <w:p w14:paraId="2723213D">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COD</w:t>
                  </w:r>
                </w:p>
              </w:tc>
              <w:tc>
                <w:tcPr>
                  <w:tcW w:w="1028" w:type="dxa"/>
                  <w:tcBorders>
                    <w:tl2br w:val="nil"/>
                    <w:tr2bl w:val="nil"/>
                  </w:tcBorders>
                  <w:vAlign w:val="center"/>
                </w:tcPr>
                <w:p w14:paraId="7C106198">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BOD</w:t>
                  </w:r>
                  <w:r>
                    <w:rPr>
                      <w:rFonts w:hint="default" w:ascii="Times New Roman" w:hAnsi="Times New Roman" w:eastAsia="宋体" w:cs="Times New Roman"/>
                      <w:b w:val="0"/>
                      <w:bCs/>
                      <w:color w:val="auto"/>
                      <w:spacing w:val="0"/>
                      <w:w w:val="100"/>
                      <w:kern w:val="0"/>
                      <w:position w:val="0"/>
                      <w:sz w:val="21"/>
                      <w:szCs w:val="21"/>
                      <w:highlight w:val="none"/>
                      <w:vertAlign w:val="subscript"/>
                      <w:lang w:val="en-US" w:eastAsia="zh-CN"/>
                    </w:rPr>
                    <w:t>5</w:t>
                  </w:r>
                </w:p>
              </w:tc>
              <w:tc>
                <w:tcPr>
                  <w:tcW w:w="1028" w:type="dxa"/>
                  <w:tcBorders>
                    <w:tl2br w:val="nil"/>
                    <w:tr2bl w:val="nil"/>
                  </w:tcBorders>
                  <w:vAlign w:val="center"/>
                </w:tcPr>
                <w:p w14:paraId="1B6E8079">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NH</w:t>
                  </w:r>
                  <w:r>
                    <w:rPr>
                      <w:rFonts w:hint="default" w:ascii="Times New Roman" w:hAnsi="Times New Roman" w:eastAsia="宋体" w:cs="Times New Roman"/>
                      <w:b w:val="0"/>
                      <w:bCs/>
                      <w:color w:val="auto"/>
                      <w:spacing w:val="0"/>
                      <w:w w:val="100"/>
                      <w:kern w:val="0"/>
                      <w:position w:val="0"/>
                      <w:sz w:val="21"/>
                      <w:szCs w:val="21"/>
                      <w:highlight w:val="none"/>
                      <w:vertAlign w:val="subscript"/>
                      <w:lang w:val="en-US" w:eastAsia="zh-CN"/>
                    </w:rPr>
                    <w:t>3</w:t>
                  </w: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-N</w:t>
                  </w:r>
                </w:p>
              </w:tc>
              <w:tc>
                <w:tcPr>
                  <w:tcW w:w="1028" w:type="dxa"/>
                  <w:tcBorders>
                    <w:tl2br w:val="nil"/>
                    <w:tr2bl w:val="nil"/>
                  </w:tcBorders>
                  <w:vAlign w:val="center"/>
                </w:tcPr>
                <w:p w14:paraId="1ED29E14">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SS</w:t>
                  </w:r>
                </w:p>
              </w:tc>
              <w:tc>
                <w:tcPr>
                  <w:tcW w:w="1123" w:type="dxa"/>
                  <w:tcBorders>
                    <w:tl2br w:val="nil"/>
                    <w:tr2bl w:val="nil"/>
                  </w:tcBorders>
                  <w:vAlign w:val="center"/>
                </w:tcPr>
                <w:p w14:paraId="6515B492">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动植物油</w:t>
                  </w:r>
                </w:p>
              </w:tc>
              <w:tc>
                <w:tcPr>
                  <w:tcW w:w="938" w:type="dxa"/>
                  <w:tcBorders>
                    <w:tl2br w:val="nil"/>
                    <w:tr2bl w:val="nil"/>
                  </w:tcBorders>
                  <w:vAlign w:val="center"/>
                </w:tcPr>
                <w:p w14:paraId="3AA09DD0">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TP</w:t>
                  </w:r>
                </w:p>
              </w:tc>
            </w:tr>
            <w:tr w14:paraId="00E80E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2" w:type="dxa"/>
                  <w:vMerge w:val="restart"/>
                  <w:tcBorders>
                    <w:tl2br w:val="nil"/>
                    <w:tr2bl w:val="nil"/>
                  </w:tcBorders>
                  <w:shd w:val="clear" w:color="auto" w:fill="auto"/>
                  <w:vAlign w:val="center"/>
                </w:tcPr>
                <w:p w14:paraId="00A1B898">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隔油沉淀池</w:t>
                  </w:r>
                </w:p>
              </w:tc>
              <w:tc>
                <w:tcPr>
                  <w:tcW w:w="1110" w:type="dxa"/>
                  <w:tcBorders>
                    <w:tl2br w:val="nil"/>
                    <w:tr2bl w:val="nil"/>
                  </w:tcBorders>
                  <w:shd w:val="clear" w:color="auto" w:fill="auto"/>
                  <w:vAlign w:val="center"/>
                </w:tcPr>
                <w:p w14:paraId="50F43193">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进水浓度</w:t>
                  </w:r>
                </w:p>
              </w:tc>
              <w:tc>
                <w:tcPr>
                  <w:tcW w:w="1028" w:type="dxa"/>
                  <w:tcBorders>
                    <w:tl2br w:val="nil"/>
                    <w:tr2bl w:val="nil"/>
                  </w:tcBorders>
                  <w:vAlign w:val="center"/>
                </w:tcPr>
                <w:p w14:paraId="2671E0D7">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3000</w:t>
                  </w:r>
                </w:p>
              </w:tc>
              <w:tc>
                <w:tcPr>
                  <w:tcW w:w="1028" w:type="dxa"/>
                  <w:tcBorders>
                    <w:tl2br w:val="nil"/>
                    <w:tr2bl w:val="nil"/>
                  </w:tcBorders>
                  <w:vAlign w:val="center"/>
                </w:tcPr>
                <w:p w14:paraId="19A87A06">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1000</w:t>
                  </w:r>
                </w:p>
              </w:tc>
              <w:tc>
                <w:tcPr>
                  <w:tcW w:w="1028" w:type="dxa"/>
                  <w:tcBorders>
                    <w:tl2br w:val="nil"/>
                    <w:tr2bl w:val="nil"/>
                  </w:tcBorders>
                  <w:vAlign w:val="center"/>
                </w:tcPr>
                <w:p w14:paraId="04E65E6C">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30</w:t>
                  </w:r>
                </w:p>
              </w:tc>
              <w:tc>
                <w:tcPr>
                  <w:tcW w:w="1028" w:type="dxa"/>
                  <w:tcBorders>
                    <w:tl2br w:val="nil"/>
                    <w:tr2bl w:val="nil"/>
                  </w:tcBorders>
                  <w:vAlign w:val="center"/>
                </w:tcPr>
                <w:p w14:paraId="46B6AB84">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500</w:t>
                  </w:r>
                </w:p>
              </w:tc>
              <w:tc>
                <w:tcPr>
                  <w:tcW w:w="1123" w:type="dxa"/>
                  <w:tcBorders>
                    <w:tl2br w:val="nil"/>
                    <w:tr2bl w:val="nil"/>
                  </w:tcBorders>
                  <w:vAlign w:val="center"/>
                </w:tcPr>
                <w:p w14:paraId="26873F94">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100</w:t>
                  </w:r>
                </w:p>
              </w:tc>
              <w:tc>
                <w:tcPr>
                  <w:tcW w:w="938" w:type="dxa"/>
                  <w:tcBorders>
                    <w:tl2br w:val="nil"/>
                    <w:tr2bl w:val="nil"/>
                  </w:tcBorders>
                  <w:vAlign w:val="center"/>
                </w:tcPr>
                <w:p w14:paraId="6048709A">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15</w:t>
                  </w:r>
                </w:p>
              </w:tc>
            </w:tr>
            <w:tr w14:paraId="60C273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2" w:type="dxa"/>
                  <w:vMerge w:val="continue"/>
                  <w:tcBorders>
                    <w:tl2br w:val="nil"/>
                    <w:tr2bl w:val="nil"/>
                  </w:tcBorders>
                  <w:shd w:val="clear" w:color="auto" w:fill="auto"/>
                  <w:vAlign w:val="center"/>
                </w:tcPr>
                <w:p w14:paraId="318F94B0">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p>
              </w:tc>
              <w:tc>
                <w:tcPr>
                  <w:tcW w:w="1110" w:type="dxa"/>
                  <w:tcBorders>
                    <w:tl2br w:val="nil"/>
                    <w:tr2bl w:val="nil"/>
                  </w:tcBorders>
                  <w:shd w:val="clear" w:color="auto" w:fill="auto"/>
                  <w:vAlign w:val="center"/>
                </w:tcPr>
                <w:p w14:paraId="13987326">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去除效率</w:t>
                  </w:r>
                </w:p>
              </w:tc>
              <w:tc>
                <w:tcPr>
                  <w:tcW w:w="1028" w:type="dxa"/>
                  <w:tcBorders>
                    <w:tl2br w:val="nil"/>
                    <w:tr2bl w:val="nil"/>
                  </w:tcBorders>
                  <w:shd w:val="clear" w:color="auto" w:fill="auto"/>
                  <w:vAlign w:val="center"/>
                </w:tcPr>
                <w:p w14:paraId="4FD130E0">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10%</w:t>
                  </w:r>
                </w:p>
              </w:tc>
              <w:tc>
                <w:tcPr>
                  <w:tcW w:w="1028" w:type="dxa"/>
                  <w:tcBorders>
                    <w:tl2br w:val="nil"/>
                    <w:tr2bl w:val="nil"/>
                  </w:tcBorders>
                  <w:shd w:val="clear" w:color="auto" w:fill="auto"/>
                  <w:vAlign w:val="center"/>
                </w:tcPr>
                <w:p w14:paraId="05B884E3">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10%</w:t>
                  </w:r>
                </w:p>
              </w:tc>
              <w:tc>
                <w:tcPr>
                  <w:tcW w:w="1028" w:type="dxa"/>
                  <w:tcBorders>
                    <w:tl2br w:val="nil"/>
                    <w:tr2bl w:val="nil"/>
                  </w:tcBorders>
                  <w:shd w:val="clear" w:color="auto" w:fill="auto"/>
                  <w:vAlign w:val="center"/>
                </w:tcPr>
                <w:p w14:paraId="50C78451">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10%</w:t>
                  </w:r>
                </w:p>
              </w:tc>
              <w:tc>
                <w:tcPr>
                  <w:tcW w:w="1028" w:type="dxa"/>
                  <w:tcBorders>
                    <w:tl2br w:val="nil"/>
                    <w:tr2bl w:val="nil"/>
                  </w:tcBorders>
                  <w:shd w:val="clear" w:color="auto" w:fill="auto"/>
                  <w:vAlign w:val="center"/>
                </w:tcPr>
                <w:p w14:paraId="08741BF0">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45%</w:t>
                  </w:r>
                </w:p>
              </w:tc>
              <w:tc>
                <w:tcPr>
                  <w:tcW w:w="1123" w:type="dxa"/>
                  <w:tcBorders>
                    <w:tl2br w:val="nil"/>
                    <w:tr2bl w:val="nil"/>
                  </w:tcBorders>
                  <w:shd w:val="clear" w:color="auto" w:fill="auto"/>
                  <w:vAlign w:val="center"/>
                </w:tcPr>
                <w:p w14:paraId="17F4D435">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60%</w:t>
                  </w:r>
                </w:p>
              </w:tc>
              <w:tc>
                <w:tcPr>
                  <w:tcW w:w="938" w:type="dxa"/>
                  <w:tcBorders>
                    <w:tl2br w:val="nil"/>
                    <w:tr2bl w:val="nil"/>
                  </w:tcBorders>
                  <w:shd w:val="clear" w:color="auto" w:fill="auto"/>
                  <w:vAlign w:val="center"/>
                </w:tcPr>
                <w:p w14:paraId="7A327F35">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w:t>
                  </w:r>
                </w:p>
              </w:tc>
            </w:tr>
            <w:tr w14:paraId="249679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2" w:type="dxa"/>
                  <w:vMerge w:val="continue"/>
                  <w:tcBorders>
                    <w:tl2br w:val="nil"/>
                    <w:tr2bl w:val="nil"/>
                  </w:tcBorders>
                  <w:shd w:val="clear" w:color="auto" w:fill="auto"/>
                  <w:vAlign w:val="center"/>
                </w:tcPr>
                <w:p w14:paraId="2E832EA9">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p>
              </w:tc>
              <w:tc>
                <w:tcPr>
                  <w:tcW w:w="1110" w:type="dxa"/>
                  <w:tcBorders>
                    <w:tl2br w:val="nil"/>
                    <w:tr2bl w:val="nil"/>
                  </w:tcBorders>
                  <w:shd w:val="clear" w:color="auto" w:fill="auto"/>
                  <w:vAlign w:val="center"/>
                </w:tcPr>
                <w:p w14:paraId="25CEAA67">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出水浓度</w:t>
                  </w:r>
                </w:p>
              </w:tc>
              <w:tc>
                <w:tcPr>
                  <w:tcW w:w="1028" w:type="dxa"/>
                  <w:tcBorders>
                    <w:tl2br w:val="nil"/>
                    <w:tr2bl w:val="nil"/>
                  </w:tcBorders>
                  <w:shd w:val="clear" w:color="auto" w:fill="auto"/>
                  <w:vAlign w:val="center"/>
                </w:tcPr>
                <w:p w14:paraId="7DF7A735">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2700</w:t>
                  </w:r>
                </w:p>
              </w:tc>
              <w:tc>
                <w:tcPr>
                  <w:tcW w:w="1028" w:type="dxa"/>
                  <w:tcBorders>
                    <w:tl2br w:val="nil"/>
                    <w:tr2bl w:val="nil"/>
                  </w:tcBorders>
                  <w:shd w:val="clear" w:color="auto" w:fill="auto"/>
                  <w:vAlign w:val="center"/>
                </w:tcPr>
                <w:p w14:paraId="145E433E">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900</w:t>
                  </w:r>
                </w:p>
              </w:tc>
              <w:tc>
                <w:tcPr>
                  <w:tcW w:w="1028" w:type="dxa"/>
                  <w:tcBorders>
                    <w:tl2br w:val="nil"/>
                    <w:tr2bl w:val="nil"/>
                  </w:tcBorders>
                  <w:shd w:val="clear" w:color="auto" w:fill="auto"/>
                  <w:vAlign w:val="center"/>
                </w:tcPr>
                <w:p w14:paraId="4A7F61F4">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27</w:t>
                  </w:r>
                </w:p>
              </w:tc>
              <w:tc>
                <w:tcPr>
                  <w:tcW w:w="1028" w:type="dxa"/>
                  <w:tcBorders>
                    <w:tl2br w:val="nil"/>
                    <w:tr2bl w:val="nil"/>
                  </w:tcBorders>
                  <w:shd w:val="clear" w:color="auto" w:fill="auto"/>
                  <w:vAlign w:val="center"/>
                </w:tcPr>
                <w:p w14:paraId="3B5C45F8">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275</w:t>
                  </w:r>
                </w:p>
              </w:tc>
              <w:tc>
                <w:tcPr>
                  <w:tcW w:w="1123" w:type="dxa"/>
                  <w:tcBorders>
                    <w:tl2br w:val="nil"/>
                    <w:tr2bl w:val="nil"/>
                  </w:tcBorders>
                  <w:shd w:val="clear" w:color="auto" w:fill="auto"/>
                  <w:vAlign w:val="center"/>
                </w:tcPr>
                <w:p w14:paraId="5FFE7BC7">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40</w:t>
                  </w:r>
                </w:p>
              </w:tc>
              <w:tc>
                <w:tcPr>
                  <w:tcW w:w="938" w:type="dxa"/>
                  <w:tcBorders>
                    <w:tl2br w:val="nil"/>
                    <w:tr2bl w:val="nil"/>
                  </w:tcBorders>
                  <w:shd w:val="clear" w:color="auto" w:fill="auto"/>
                  <w:vAlign w:val="center"/>
                </w:tcPr>
                <w:p w14:paraId="5B7654CB">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15</w:t>
                  </w:r>
                </w:p>
              </w:tc>
            </w:tr>
            <w:tr w14:paraId="00CC8E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2" w:type="dxa"/>
                  <w:vMerge w:val="restart"/>
                  <w:tcBorders>
                    <w:tl2br w:val="nil"/>
                    <w:tr2bl w:val="nil"/>
                  </w:tcBorders>
                  <w:shd w:val="clear" w:color="auto" w:fill="auto"/>
                  <w:vAlign w:val="center"/>
                </w:tcPr>
                <w:p w14:paraId="01EB323A">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调节池</w:t>
                  </w:r>
                </w:p>
              </w:tc>
              <w:tc>
                <w:tcPr>
                  <w:tcW w:w="1110" w:type="dxa"/>
                  <w:tcBorders>
                    <w:tl2br w:val="nil"/>
                    <w:tr2bl w:val="nil"/>
                  </w:tcBorders>
                  <w:shd w:val="clear" w:color="auto" w:fill="auto"/>
                  <w:vAlign w:val="center"/>
                </w:tcPr>
                <w:p w14:paraId="7449154D">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进水浓度</w:t>
                  </w:r>
                </w:p>
              </w:tc>
              <w:tc>
                <w:tcPr>
                  <w:tcW w:w="1028" w:type="dxa"/>
                  <w:tcBorders>
                    <w:tl2br w:val="nil"/>
                    <w:tr2bl w:val="nil"/>
                  </w:tcBorders>
                  <w:shd w:val="clear" w:color="auto" w:fill="auto"/>
                  <w:vAlign w:val="center"/>
                </w:tcPr>
                <w:p w14:paraId="46220CE0">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2700</w:t>
                  </w:r>
                </w:p>
              </w:tc>
              <w:tc>
                <w:tcPr>
                  <w:tcW w:w="1028" w:type="dxa"/>
                  <w:tcBorders>
                    <w:tl2br w:val="nil"/>
                    <w:tr2bl w:val="nil"/>
                  </w:tcBorders>
                  <w:shd w:val="clear" w:color="auto" w:fill="auto"/>
                  <w:vAlign w:val="center"/>
                </w:tcPr>
                <w:p w14:paraId="6453BAD1">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900</w:t>
                  </w:r>
                </w:p>
              </w:tc>
              <w:tc>
                <w:tcPr>
                  <w:tcW w:w="1028" w:type="dxa"/>
                  <w:tcBorders>
                    <w:tl2br w:val="nil"/>
                    <w:tr2bl w:val="nil"/>
                  </w:tcBorders>
                  <w:shd w:val="clear" w:color="auto" w:fill="auto"/>
                  <w:vAlign w:val="center"/>
                </w:tcPr>
                <w:p w14:paraId="2B27AA02">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27</w:t>
                  </w:r>
                </w:p>
              </w:tc>
              <w:tc>
                <w:tcPr>
                  <w:tcW w:w="1028" w:type="dxa"/>
                  <w:tcBorders>
                    <w:tl2br w:val="nil"/>
                    <w:tr2bl w:val="nil"/>
                  </w:tcBorders>
                  <w:shd w:val="clear" w:color="auto" w:fill="auto"/>
                  <w:vAlign w:val="center"/>
                </w:tcPr>
                <w:p w14:paraId="713B0AD2">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275</w:t>
                  </w:r>
                </w:p>
              </w:tc>
              <w:tc>
                <w:tcPr>
                  <w:tcW w:w="1123" w:type="dxa"/>
                  <w:tcBorders>
                    <w:tl2br w:val="nil"/>
                    <w:tr2bl w:val="nil"/>
                  </w:tcBorders>
                  <w:shd w:val="clear" w:color="auto" w:fill="auto"/>
                  <w:vAlign w:val="center"/>
                </w:tcPr>
                <w:p w14:paraId="17E89728">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40</w:t>
                  </w:r>
                </w:p>
              </w:tc>
              <w:tc>
                <w:tcPr>
                  <w:tcW w:w="938" w:type="dxa"/>
                  <w:tcBorders>
                    <w:tl2br w:val="nil"/>
                    <w:tr2bl w:val="nil"/>
                  </w:tcBorders>
                  <w:shd w:val="clear" w:color="auto" w:fill="auto"/>
                  <w:vAlign w:val="center"/>
                </w:tcPr>
                <w:p w14:paraId="0EB6A686">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t>15</w:t>
                  </w:r>
                </w:p>
              </w:tc>
            </w:tr>
            <w:tr w14:paraId="02F3E0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2" w:type="dxa"/>
                  <w:vMerge w:val="continue"/>
                  <w:tcBorders>
                    <w:tl2br w:val="nil"/>
                    <w:tr2bl w:val="nil"/>
                  </w:tcBorders>
                  <w:shd w:val="clear" w:color="auto" w:fill="auto"/>
                  <w:vAlign w:val="center"/>
                </w:tcPr>
                <w:p w14:paraId="69B633AD">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p>
              </w:tc>
              <w:tc>
                <w:tcPr>
                  <w:tcW w:w="1110" w:type="dxa"/>
                  <w:tcBorders>
                    <w:tl2br w:val="nil"/>
                    <w:tr2bl w:val="nil"/>
                  </w:tcBorders>
                  <w:shd w:val="clear" w:color="auto" w:fill="auto"/>
                  <w:vAlign w:val="center"/>
                </w:tcPr>
                <w:p w14:paraId="0BF6BCAB">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去除效率</w:t>
                  </w:r>
                </w:p>
              </w:tc>
              <w:tc>
                <w:tcPr>
                  <w:tcW w:w="1028" w:type="dxa"/>
                  <w:tcBorders>
                    <w:tl2br w:val="nil"/>
                    <w:tr2bl w:val="nil"/>
                  </w:tcBorders>
                  <w:shd w:val="clear" w:color="auto" w:fill="auto"/>
                  <w:vAlign w:val="center"/>
                </w:tcPr>
                <w:p w14:paraId="6327F90A">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10%</w:t>
                  </w:r>
                </w:p>
              </w:tc>
              <w:tc>
                <w:tcPr>
                  <w:tcW w:w="1028" w:type="dxa"/>
                  <w:tcBorders>
                    <w:tl2br w:val="nil"/>
                    <w:tr2bl w:val="nil"/>
                  </w:tcBorders>
                  <w:shd w:val="clear" w:color="auto" w:fill="auto"/>
                  <w:vAlign w:val="center"/>
                </w:tcPr>
                <w:p w14:paraId="6921C69A">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10%</w:t>
                  </w:r>
                </w:p>
              </w:tc>
              <w:tc>
                <w:tcPr>
                  <w:tcW w:w="1028" w:type="dxa"/>
                  <w:tcBorders>
                    <w:tl2br w:val="nil"/>
                    <w:tr2bl w:val="nil"/>
                  </w:tcBorders>
                  <w:shd w:val="clear" w:color="auto" w:fill="auto"/>
                  <w:vAlign w:val="center"/>
                </w:tcPr>
                <w:p w14:paraId="7EC3823F">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w:t>
                  </w:r>
                </w:p>
              </w:tc>
              <w:tc>
                <w:tcPr>
                  <w:tcW w:w="1028" w:type="dxa"/>
                  <w:tcBorders>
                    <w:tl2br w:val="nil"/>
                    <w:tr2bl w:val="nil"/>
                  </w:tcBorders>
                  <w:shd w:val="clear" w:color="auto" w:fill="auto"/>
                  <w:vAlign w:val="center"/>
                </w:tcPr>
                <w:p w14:paraId="12475BF3">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15%</w:t>
                  </w:r>
                </w:p>
              </w:tc>
              <w:tc>
                <w:tcPr>
                  <w:tcW w:w="1123" w:type="dxa"/>
                  <w:tcBorders>
                    <w:tl2br w:val="nil"/>
                    <w:tr2bl w:val="nil"/>
                  </w:tcBorders>
                  <w:shd w:val="clear" w:color="auto" w:fill="auto"/>
                  <w:vAlign w:val="center"/>
                </w:tcPr>
                <w:p w14:paraId="04704F5F">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w:t>
                  </w:r>
                </w:p>
              </w:tc>
              <w:tc>
                <w:tcPr>
                  <w:tcW w:w="938" w:type="dxa"/>
                  <w:tcBorders>
                    <w:tl2br w:val="nil"/>
                    <w:tr2bl w:val="nil"/>
                  </w:tcBorders>
                  <w:shd w:val="clear" w:color="auto" w:fill="auto"/>
                  <w:vAlign w:val="center"/>
                </w:tcPr>
                <w:p w14:paraId="5B1A43BA">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w:t>
                  </w:r>
                </w:p>
              </w:tc>
            </w:tr>
            <w:tr w14:paraId="13C58A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2" w:type="dxa"/>
                  <w:vMerge w:val="continue"/>
                  <w:tcBorders>
                    <w:tl2br w:val="nil"/>
                    <w:tr2bl w:val="nil"/>
                  </w:tcBorders>
                  <w:shd w:val="clear" w:color="auto" w:fill="auto"/>
                  <w:vAlign w:val="center"/>
                </w:tcPr>
                <w:p w14:paraId="2C836877">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p>
              </w:tc>
              <w:tc>
                <w:tcPr>
                  <w:tcW w:w="1110" w:type="dxa"/>
                  <w:tcBorders>
                    <w:tl2br w:val="nil"/>
                    <w:tr2bl w:val="nil"/>
                  </w:tcBorders>
                  <w:shd w:val="clear" w:color="auto" w:fill="auto"/>
                  <w:vAlign w:val="center"/>
                </w:tcPr>
                <w:p w14:paraId="0165E62D">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出水浓度</w:t>
                  </w:r>
                </w:p>
              </w:tc>
              <w:tc>
                <w:tcPr>
                  <w:tcW w:w="1028" w:type="dxa"/>
                  <w:tcBorders>
                    <w:tl2br w:val="nil"/>
                    <w:tr2bl w:val="nil"/>
                  </w:tcBorders>
                  <w:shd w:val="clear" w:color="auto" w:fill="auto"/>
                  <w:vAlign w:val="center"/>
                </w:tcPr>
                <w:p w14:paraId="2F36FFD5">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2460</w:t>
                  </w:r>
                </w:p>
              </w:tc>
              <w:tc>
                <w:tcPr>
                  <w:tcW w:w="1028" w:type="dxa"/>
                  <w:tcBorders>
                    <w:tl2br w:val="nil"/>
                    <w:tr2bl w:val="nil"/>
                  </w:tcBorders>
                  <w:shd w:val="clear" w:color="auto" w:fill="auto"/>
                  <w:vAlign w:val="center"/>
                </w:tcPr>
                <w:p w14:paraId="58422568">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810</w:t>
                  </w:r>
                </w:p>
              </w:tc>
              <w:tc>
                <w:tcPr>
                  <w:tcW w:w="1028" w:type="dxa"/>
                  <w:tcBorders>
                    <w:tl2br w:val="nil"/>
                    <w:tr2bl w:val="nil"/>
                  </w:tcBorders>
                  <w:shd w:val="clear" w:color="auto" w:fill="auto"/>
                  <w:vAlign w:val="center"/>
                </w:tcPr>
                <w:p w14:paraId="42A031DD">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27</w:t>
                  </w:r>
                </w:p>
              </w:tc>
              <w:tc>
                <w:tcPr>
                  <w:tcW w:w="1028" w:type="dxa"/>
                  <w:tcBorders>
                    <w:tl2br w:val="nil"/>
                    <w:tr2bl w:val="nil"/>
                  </w:tcBorders>
                  <w:shd w:val="clear" w:color="auto" w:fill="auto"/>
                  <w:vAlign w:val="center"/>
                </w:tcPr>
                <w:p w14:paraId="6DD64A8C">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233.75</w:t>
                  </w:r>
                </w:p>
              </w:tc>
              <w:tc>
                <w:tcPr>
                  <w:tcW w:w="1123" w:type="dxa"/>
                  <w:tcBorders>
                    <w:tl2br w:val="nil"/>
                    <w:tr2bl w:val="nil"/>
                  </w:tcBorders>
                  <w:shd w:val="clear" w:color="auto" w:fill="auto"/>
                  <w:vAlign w:val="center"/>
                </w:tcPr>
                <w:p w14:paraId="295BC89C">
                  <w:pPr>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40</w:t>
                  </w:r>
                </w:p>
              </w:tc>
              <w:tc>
                <w:tcPr>
                  <w:tcW w:w="938" w:type="dxa"/>
                  <w:tcBorders>
                    <w:tl2br w:val="nil"/>
                    <w:tr2bl w:val="nil"/>
                  </w:tcBorders>
                  <w:shd w:val="clear" w:color="auto" w:fill="auto"/>
                  <w:vAlign w:val="center"/>
                </w:tcPr>
                <w:p w14:paraId="68059D25">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15</w:t>
                  </w:r>
                </w:p>
              </w:tc>
            </w:tr>
            <w:tr w14:paraId="5DBD44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2" w:type="dxa"/>
                  <w:vMerge w:val="restart"/>
                  <w:tcBorders>
                    <w:tl2br w:val="nil"/>
                    <w:tr2bl w:val="nil"/>
                  </w:tcBorders>
                  <w:shd w:val="clear" w:color="auto" w:fill="auto"/>
                  <w:vAlign w:val="center"/>
                </w:tcPr>
                <w:p w14:paraId="6C57ED9D">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高效溶气气浮</w:t>
                  </w:r>
                </w:p>
              </w:tc>
              <w:tc>
                <w:tcPr>
                  <w:tcW w:w="1110" w:type="dxa"/>
                  <w:tcBorders>
                    <w:tl2br w:val="nil"/>
                    <w:tr2bl w:val="nil"/>
                  </w:tcBorders>
                  <w:shd w:val="clear" w:color="auto" w:fill="auto"/>
                  <w:vAlign w:val="center"/>
                </w:tcPr>
                <w:p w14:paraId="2A5F7D44">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进水浓度</w:t>
                  </w:r>
                </w:p>
              </w:tc>
              <w:tc>
                <w:tcPr>
                  <w:tcW w:w="1028" w:type="dxa"/>
                  <w:tcBorders>
                    <w:tl2br w:val="nil"/>
                    <w:tr2bl w:val="nil"/>
                  </w:tcBorders>
                  <w:shd w:val="clear" w:color="auto" w:fill="auto"/>
                  <w:vAlign w:val="center"/>
                </w:tcPr>
                <w:p w14:paraId="27032532">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2460</w:t>
                  </w:r>
                </w:p>
              </w:tc>
              <w:tc>
                <w:tcPr>
                  <w:tcW w:w="1028" w:type="dxa"/>
                  <w:tcBorders>
                    <w:tl2br w:val="nil"/>
                    <w:tr2bl w:val="nil"/>
                  </w:tcBorders>
                  <w:shd w:val="clear" w:color="auto" w:fill="auto"/>
                  <w:vAlign w:val="center"/>
                </w:tcPr>
                <w:p w14:paraId="777B9150">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810</w:t>
                  </w:r>
                </w:p>
              </w:tc>
              <w:tc>
                <w:tcPr>
                  <w:tcW w:w="1028" w:type="dxa"/>
                  <w:tcBorders>
                    <w:tl2br w:val="nil"/>
                    <w:tr2bl w:val="nil"/>
                  </w:tcBorders>
                  <w:shd w:val="clear" w:color="auto" w:fill="auto"/>
                  <w:vAlign w:val="center"/>
                </w:tcPr>
                <w:p w14:paraId="16287371">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27</w:t>
                  </w:r>
                </w:p>
              </w:tc>
              <w:tc>
                <w:tcPr>
                  <w:tcW w:w="1028" w:type="dxa"/>
                  <w:tcBorders>
                    <w:tl2br w:val="nil"/>
                    <w:tr2bl w:val="nil"/>
                  </w:tcBorders>
                  <w:shd w:val="clear" w:color="auto" w:fill="auto"/>
                  <w:vAlign w:val="center"/>
                </w:tcPr>
                <w:p w14:paraId="671AFAF7">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233.75</w:t>
                  </w:r>
                </w:p>
              </w:tc>
              <w:tc>
                <w:tcPr>
                  <w:tcW w:w="1123" w:type="dxa"/>
                  <w:tcBorders>
                    <w:tl2br w:val="nil"/>
                    <w:tr2bl w:val="nil"/>
                  </w:tcBorders>
                  <w:shd w:val="clear" w:color="auto" w:fill="auto"/>
                  <w:vAlign w:val="center"/>
                </w:tcPr>
                <w:p w14:paraId="341B6F04">
                  <w:pPr>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40</w:t>
                  </w:r>
                </w:p>
              </w:tc>
              <w:tc>
                <w:tcPr>
                  <w:tcW w:w="938" w:type="dxa"/>
                  <w:tcBorders>
                    <w:tl2br w:val="nil"/>
                    <w:tr2bl w:val="nil"/>
                  </w:tcBorders>
                  <w:shd w:val="clear" w:color="auto" w:fill="auto"/>
                  <w:vAlign w:val="center"/>
                </w:tcPr>
                <w:p w14:paraId="422C9CE8">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t>15</w:t>
                  </w:r>
                </w:p>
              </w:tc>
            </w:tr>
            <w:tr w14:paraId="0C210F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2" w:type="dxa"/>
                  <w:vMerge w:val="continue"/>
                  <w:tcBorders>
                    <w:tl2br w:val="nil"/>
                    <w:tr2bl w:val="nil"/>
                  </w:tcBorders>
                  <w:shd w:val="clear" w:color="auto" w:fill="auto"/>
                  <w:vAlign w:val="center"/>
                </w:tcPr>
                <w:p w14:paraId="72AC15DC">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p>
              </w:tc>
              <w:tc>
                <w:tcPr>
                  <w:tcW w:w="1110" w:type="dxa"/>
                  <w:tcBorders>
                    <w:tl2br w:val="nil"/>
                    <w:tr2bl w:val="nil"/>
                  </w:tcBorders>
                  <w:shd w:val="clear" w:color="auto" w:fill="auto"/>
                  <w:vAlign w:val="center"/>
                </w:tcPr>
                <w:p w14:paraId="55FF208B">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去除效率</w:t>
                  </w:r>
                </w:p>
              </w:tc>
              <w:tc>
                <w:tcPr>
                  <w:tcW w:w="1028" w:type="dxa"/>
                  <w:tcBorders>
                    <w:tl2br w:val="nil"/>
                    <w:tr2bl w:val="nil"/>
                  </w:tcBorders>
                  <w:shd w:val="clear" w:color="auto" w:fill="auto"/>
                  <w:vAlign w:val="center"/>
                </w:tcPr>
                <w:p w14:paraId="4B6A1B21">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35%</w:t>
                  </w:r>
                </w:p>
              </w:tc>
              <w:tc>
                <w:tcPr>
                  <w:tcW w:w="1028" w:type="dxa"/>
                  <w:tcBorders>
                    <w:tl2br w:val="nil"/>
                    <w:tr2bl w:val="nil"/>
                  </w:tcBorders>
                  <w:shd w:val="clear" w:color="auto" w:fill="auto"/>
                  <w:vAlign w:val="center"/>
                </w:tcPr>
                <w:p w14:paraId="5F7F05AF">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45%</w:t>
                  </w:r>
                </w:p>
              </w:tc>
              <w:tc>
                <w:tcPr>
                  <w:tcW w:w="1028" w:type="dxa"/>
                  <w:tcBorders>
                    <w:tl2br w:val="nil"/>
                    <w:tr2bl w:val="nil"/>
                  </w:tcBorders>
                  <w:shd w:val="clear" w:color="auto" w:fill="auto"/>
                  <w:vAlign w:val="center"/>
                </w:tcPr>
                <w:p w14:paraId="41378EC5">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10%</w:t>
                  </w:r>
                </w:p>
              </w:tc>
              <w:tc>
                <w:tcPr>
                  <w:tcW w:w="1028" w:type="dxa"/>
                  <w:tcBorders>
                    <w:tl2br w:val="nil"/>
                    <w:tr2bl w:val="nil"/>
                  </w:tcBorders>
                  <w:shd w:val="clear" w:color="auto" w:fill="auto"/>
                  <w:vAlign w:val="center"/>
                </w:tcPr>
                <w:p w14:paraId="1E19235C">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65%</w:t>
                  </w:r>
                </w:p>
              </w:tc>
              <w:tc>
                <w:tcPr>
                  <w:tcW w:w="1123" w:type="dxa"/>
                  <w:tcBorders>
                    <w:tl2br w:val="nil"/>
                    <w:tr2bl w:val="nil"/>
                  </w:tcBorders>
                  <w:shd w:val="clear" w:color="auto" w:fill="auto"/>
                  <w:vAlign w:val="center"/>
                </w:tcPr>
                <w:p w14:paraId="32AC0B5E">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75%</w:t>
                  </w:r>
                </w:p>
              </w:tc>
              <w:tc>
                <w:tcPr>
                  <w:tcW w:w="938" w:type="dxa"/>
                  <w:tcBorders>
                    <w:tl2br w:val="nil"/>
                    <w:tr2bl w:val="nil"/>
                  </w:tcBorders>
                  <w:shd w:val="clear" w:color="auto" w:fill="auto"/>
                  <w:vAlign w:val="center"/>
                </w:tcPr>
                <w:p w14:paraId="2288504C">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70%</w:t>
                  </w:r>
                </w:p>
              </w:tc>
            </w:tr>
            <w:tr w14:paraId="2AE964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2" w:type="dxa"/>
                  <w:vMerge w:val="continue"/>
                  <w:tcBorders>
                    <w:tl2br w:val="nil"/>
                    <w:tr2bl w:val="nil"/>
                  </w:tcBorders>
                  <w:shd w:val="clear" w:color="auto" w:fill="auto"/>
                  <w:vAlign w:val="center"/>
                </w:tcPr>
                <w:p w14:paraId="5703BEF0">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p>
              </w:tc>
              <w:tc>
                <w:tcPr>
                  <w:tcW w:w="1110" w:type="dxa"/>
                  <w:tcBorders>
                    <w:tl2br w:val="nil"/>
                    <w:tr2bl w:val="nil"/>
                  </w:tcBorders>
                  <w:shd w:val="clear" w:color="auto" w:fill="auto"/>
                  <w:vAlign w:val="center"/>
                </w:tcPr>
                <w:p w14:paraId="0FBB5427">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出水浓度</w:t>
                  </w:r>
                </w:p>
              </w:tc>
              <w:tc>
                <w:tcPr>
                  <w:tcW w:w="1028" w:type="dxa"/>
                  <w:tcBorders>
                    <w:tl2br w:val="nil"/>
                    <w:tr2bl w:val="nil"/>
                  </w:tcBorders>
                  <w:shd w:val="clear" w:color="auto" w:fill="auto"/>
                  <w:vAlign w:val="center"/>
                </w:tcPr>
                <w:p w14:paraId="3EFC73EE">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1579.5</w:t>
                  </w:r>
                </w:p>
              </w:tc>
              <w:tc>
                <w:tcPr>
                  <w:tcW w:w="1028" w:type="dxa"/>
                  <w:tcBorders>
                    <w:tl2br w:val="nil"/>
                    <w:tr2bl w:val="nil"/>
                  </w:tcBorders>
                  <w:shd w:val="clear" w:color="auto" w:fill="auto"/>
                  <w:vAlign w:val="center"/>
                </w:tcPr>
                <w:p w14:paraId="4F2A9569">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445.5</w:t>
                  </w:r>
                </w:p>
              </w:tc>
              <w:tc>
                <w:tcPr>
                  <w:tcW w:w="1028" w:type="dxa"/>
                  <w:tcBorders>
                    <w:tl2br w:val="nil"/>
                    <w:tr2bl w:val="nil"/>
                  </w:tcBorders>
                  <w:shd w:val="clear" w:color="auto" w:fill="auto"/>
                  <w:vAlign w:val="center"/>
                </w:tcPr>
                <w:p w14:paraId="09033FB2">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24.3</w:t>
                  </w:r>
                </w:p>
              </w:tc>
              <w:tc>
                <w:tcPr>
                  <w:tcW w:w="1028" w:type="dxa"/>
                  <w:tcBorders>
                    <w:tl2br w:val="nil"/>
                    <w:tr2bl w:val="nil"/>
                  </w:tcBorders>
                  <w:shd w:val="clear" w:color="auto" w:fill="auto"/>
                  <w:vAlign w:val="center"/>
                </w:tcPr>
                <w:p w14:paraId="7DE645B4">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81.812</w:t>
                  </w:r>
                </w:p>
              </w:tc>
              <w:tc>
                <w:tcPr>
                  <w:tcW w:w="1123" w:type="dxa"/>
                  <w:tcBorders>
                    <w:tl2br w:val="nil"/>
                    <w:tr2bl w:val="nil"/>
                  </w:tcBorders>
                  <w:shd w:val="clear" w:color="auto" w:fill="auto"/>
                  <w:vAlign w:val="center"/>
                </w:tcPr>
                <w:p w14:paraId="790E6275">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10</w:t>
                  </w:r>
                </w:p>
              </w:tc>
              <w:tc>
                <w:tcPr>
                  <w:tcW w:w="938" w:type="dxa"/>
                  <w:tcBorders>
                    <w:tl2br w:val="nil"/>
                    <w:tr2bl w:val="nil"/>
                  </w:tcBorders>
                  <w:shd w:val="clear" w:color="auto" w:fill="auto"/>
                  <w:vAlign w:val="center"/>
                </w:tcPr>
                <w:p w14:paraId="2CFE8E1A">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4.5</w:t>
                  </w:r>
                </w:p>
              </w:tc>
            </w:tr>
            <w:tr w14:paraId="79E582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2" w:type="dxa"/>
                  <w:vMerge w:val="restart"/>
                  <w:tcBorders>
                    <w:tl2br w:val="nil"/>
                    <w:tr2bl w:val="nil"/>
                  </w:tcBorders>
                  <w:shd w:val="clear" w:color="auto" w:fill="auto"/>
                  <w:vAlign w:val="center"/>
                </w:tcPr>
                <w:p w14:paraId="628455D9">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厌氧池</w:t>
                  </w:r>
                </w:p>
              </w:tc>
              <w:tc>
                <w:tcPr>
                  <w:tcW w:w="1110" w:type="dxa"/>
                  <w:tcBorders>
                    <w:tl2br w:val="nil"/>
                    <w:tr2bl w:val="nil"/>
                  </w:tcBorders>
                  <w:shd w:val="clear" w:color="auto" w:fill="auto"/>
                  <w:vAlign w:val="center"/>
                </w:tcPr>
                <w:p w14:paraId="6E3F361E">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进水浓度</w:t>
                  </w:r>
                </w:p>
              </w:tc>
              <w:tc>
                <w:tcPr>
                  <w:tcW w:w="1028" w:type="dxa"/>
                  <w:tcBorders>
                    <w:tl2br w:val="nil"/>
                    <w:tr2bl w:val="nil"/>
                  </w:tcBorders>
                  <w:shd w:val="clear" w:color="auto" w:fill="auto"/>
                  <w:vAlign w:val="center"/>
                </w:tcPr>
                <w:p w14:paraId="1E91479A">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1579.5</w:t>
                  </w:r>
                </w:p>
              </w:tc>
              <w:tc>
                <w:tcPr>
                  <w:tcW w:w="1028" w:type="dxa"/>
                  <w:tcBorders>
                    <w:tl2br w:val="nil"/>
                    <w:tr2bl w:val="nil"/>
                  </w:tcBorders>
                  <w:shd w:val="clear" w:color="auto" w:fill="auto"/>
                  <w:vAlign w:val="center"/>
                </w:tcPr>
                <w:p w14:paraId="065A4430">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445.5</w:t>
                  </w:r>
                </w:p>
              </w:tc>
              <w:tc>
                <w:tcPr>
                  <w:tcW w:w="1028" w:type="dxa"/>
                  <w:tcBorders>
                    <w:tl2br w:val="nil"/>
                    <w:tr2bl w:val="nil"/>
                  </w:tcBorders>
                  <w:shd w:val="clear" w:color="auto" w:fill="auto"/>
                  <w:vAlign w:val="center"/>
                </w:tcPr>
                <w:p w14:paraId="4D58FEC3">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24.3</w:t>
                  </w:r>
                </w:p>
              </w:tc>
              <w:tc>
                <w:tcPr>
                  <w:tcW w:w="1028" w:type="dxa"/>
                  <w:tcBorders>
                    <w:tl2br w:val="nil"/>
                    <w:tr2bl w:val="nil"/>
                  </w:tcBorders>
                  <w:shd w:val="clear" w:color="auto" w:fill="auto"/>
                  <w:vAlign w:val="center"/>
                </w:tcPr>
                <w:p w14:paraId="4EF96B66">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81.812</w:t>
                  </w:r>
                </w:p>
              </w:tc>
              <w:tc>
                <w:tcPr>
                  <w:tcW w:w="1123" w:type="dxa"/>
                  <w:tcBorders>
                    <w:tl2br w:val="nil"/>
                    <w:tr2bl w:val="nil"/>
                  </w:tcBorders>
                  <w:shd w:val="clear" w:color="auto" w:fill="auto"/>
                  <w:vAlign w:val="center"/>
                </w:tcPr>
                <w:p w14:paraId="5DBE2A51">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10</w:t>
                  </w:r>
                </w:p>
              </w:tc>
              <w:tc>
                <w:tcPr>
                  <w:tcW w:w="938" w:type="dxa"/>
                  <w:tcBorders>
                    <w:tl2br w:val="nil"/>
                    <w:tr2bl w:val="nil"/>
                  </w:tcBorders>
                  <w:shd w:val="clear" w:color="auto" w:fill="auto"/>
                  <w:vAlign w:val="center"/>
                </w:tcPr>
                <w:p w14:paraId="54E5F58D">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t>4.5</w:t>
                  </w:r>
                </w:p>
              </w:tc>
            </w:tr>
            <w:tr w14:paraId="1BD1EC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2" w:type="dxa"/>
                  <w:vMerge w:val="continue"/>
                  <w:tcBorders>
                    <w:tl2br w:val="nil"/>
                    <w:tr2bl w:val="nil"/>
                  </w:tcBorders>
                  <w:shd w:val="clear" w:color="auto" w:fill="auto"/>
                  <w:vAlign w:val="center"/>
                </w:tcPr>
                <w:p w14:paraId="42CEE6ED">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p>
              </w:tc>
              <w:tc>
                <w:tcPr>
                  <w:tcW w:w="1110" w:type="dxa"/>
                  <w:tcBorders>
                    <w:tl2br w:val="nil"/>
                    <w:tr2bl w:val="nil"/>
                  </w:tcBorders>
                  <w:shd w:val="clear" w:color="auto" w:fill="auto"/>
                  <w:vAlign w:val="center"/>
                </w:tcPr>
                <w:p w14:paraId="446A1B14">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去除效率</w:t>
                  </w:r>
                </w:p>
              </w:tc>
              <w:tc>
                <w:tcPr>
                  <w:tcW w:w="1028" w:type="dxa"/>
                  <w:tcBorders>
                    <w:tl2br w:val="nil"/>
                    <w:tr2bl w:val="nil"/>
                  </w:tcBorders>
                  <w:shd w:val="clear" w:color="auto" w:fill="auto"/>
                  <w:vAlign w:val="center"/>
                </w:tcPr>
                <w:p w14:paraId="66DAD954">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70%</w:t>
                  </w:r>
                </w:p>
              </w:tc>
              <w:tc>
                <w:tcPr>
                  <w:tcW w:w="1028" w:type="dxa"/>
                  <w:tcBorders>
                    <w:tl2br w:val="nil"/>
                    <w:tr2bl w:val="nil"/>
                  </w:tcBorders>
                  <w:shd w:val="clear" w:color="auto" w:fill="auto"/>
                  <w:vAlign w:val="center"/>
                </w:tcPr>
                <w:p w14:paraId="3868C044">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65%</w:t>
                  </w:r>
                </w:p>
              </w:tc>
              <w:tc>
                <w:tcPr>
                  <w:tcW w:w="1028" w:type="dxa"/>
                  <w:tcBorders>
                    <w:tl2br w:val="nil"/>
                    <w:tr2bl w:val="nil"/>
                  </w:tcBorders>
                  <w:shd w:val="clear" w:color="auto" w:fill="auto"/>
                  <w:vAlign w:val="center"/>
                </w:tcPr>
                <w:p w14:paraId="540AE0C2">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10%</w:t>
                  </w:r>
                </w:p>
              </w:tc>
              <w:tc>
                <w:tcPr>
                  <w:tcW w:w="1028" w:type="dxa"/>
                  <w:tcBorders>
                    <w:tl2br w:val="nil"/>
                    <w:tr2bl w:val="nil"/>
                  </w:tcBorders>
                  <w:shd w:val="clear" w:color="auto" w:fill="auto"/>
                  <w:vAlign w:val="center"/>
                </w:tcPr>
                <w:p w14:paraId="4CF06A8F">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w:t>
                  </w:r>
                </w:p>
              </w:tc>
              <w:tc>
                <w:tcPr>
                  <w:tcW w:w="1123" w:type="dxa"/>
                  <w:tcBorders>
                    <w:tl2br w:val="nil"/>
                    <w:tr2bl w:val="nil"/>
                  </w:tcBorders>
                  <w:shd w:val="clear" w:color="auto" w:fill="auto"/>
                  <w:vAlign w:val="center"/>
                </w:tcPr>
                <w:p w14:paraId="2D1A255B">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w:t>
                  </w:r>
                </w:p>
              </w:tc>
              <w:tc>
                <w:tcPr>
                  <w:tcW w:w="938" w:type="dxa"/>
                  <w:tcBorders>
                    <w:tl2br w:val="nil"/>
                    <w:tr2bl w:val="nil"/>
                  </w:tcBorders>
                  <w:shd w:val="clear" w:color="auto" w:fill="auto"/>
                  <w:vAlign w:val="center"/>
                </w:tcPr>
                <w:p w14:paraId="652CB4F4">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20%</w:t>
                  </w:r>
                </w:p>
              </w:tc>
            </w:tr>
            <w:tr w14:paraId="4DFE79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2" w:type="dxa"/>
                  <w:vMerge w:val="continue"/>
                  <w:tcBorders>
                    <w:tl2br w:val="nil"/>
                    <w:tr2bl w:val="nil"/>
                  </w:tcBorders>
                  <w:shd w:val="clear" w:color="auto" w:fill="auto"/>
                  <w:vAlign w:val="center"/>
                </w:tcPr>
                <w:p w14:paraId="0CA279DF">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p>
              </w:tc>
              <w:tc>
                <w:tcPr>
                  <w:tcW w:w="1110" w:type="dxa"/>
                  <w:tcBorders>
                    <w:tl2br w:val="nil"/>
                    <w:tr2bl w:val="nil"/>
                  </w:tcBorders>
                  <w:shd w:val="clear" w:color="auto" w:fill="auto"/>
                  <w:vAlign w:val="center"/>
                </w:tcPr>
                <w:p w14:paraId="51E25929">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出水浓度</w:t>
                  </w:r>
                </w:p>
              </w:tc>
              <w:tc>
                <w:tcPr>
                  <w:tcW w:w="1028" w:type="dxa"/>
                  <w:tcBorders>
                    <w:tl2br w:val="nil"/>
                    <w:tr2bl w:val="nil"/>
                  </w:tcBorders>
                  <w:shd w:val="clear" w:color="auto" w:fill="auto"/>
                  <w:vAlign w:val="center"/>
                </w:tcPr>
                <w:p w14:paraId="0A6D4BC3">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473.85</w:t>
                  </w:r>
                </w:p>
              </w:tc>
              <w:tc>
                <w:tcPr>
                  <w:tcW w:w="1028" w:type="dxa"/>
                  <w:tcBorders>
                    <w:tl2br w:val="nil"/>
                    <w:tr2bl w:val="nil"/>
                  </w:tcBorders>
                  <w:shd w:val="clear" w:color="auto" w:fill="auto"/>
                  <w:vAlign w:val="center"/>
                </w:tcPr>
                <w:p w14:paraId="574C42DE">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155.925</w:t>
                  </w:r>
                </w:p>
              </w:tc>
              <w:tc>
                <w:tcPr>
                  <w:tcW w:w="1028" w:type="dxa"/>
                  <w:tcBorders>
                    <w:tl2br w:val="nil"/>
                    <w:tr2bl w:val="nil"/>
                  </w:tcBorders>
                  <w:shd w:val="clear" w:color="auto" w:fill="auto"/>
                  <w:vAlign w:val="center"/>
                </w:tcPr>
                <w:p w14:paraId="272149F8">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21.87</w:t>
                  </w:r>
                </w:p>
              </w:tc>
              <w:tc>
                <w:tcPr>
                  <w:tcW w:w="1028" w:type="dxa"/>
                  <w:tcBorders>
                    <w:tl2br w:val="nil"/>
                    <w:tr2bl w:val="nil"/>
                  </w:tcBorders>
                  <w:shd w:val="clear" w:color="auto" w:fill="auto"/>
                  <w:vAlign w:val="center"/>
                </w:tcPr>
                <w:p w14:paraId="3D854248">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81.812</w:t>
                  </w:r>
                </w:p>
              </w:tc>
              <w:tc>
                <w:tcPr>
                  <w:tcW w:w="1123" w:type="dxa"/>
                  <w:tcBorders>
                    <w:tl2br w:val="nil"/>
                    <w:tr2bl w:val="nil"/>
                  </w:tcBorders>
                  <w:shd w:val="clear" w:color="auto" w:fill="auto"/>
                  <w:vAlign w:val="center"/>
                </w:tcPr>
                <w:p w14:paraId="609DBB89">
                  <w:pPr>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10</w:t>
                  </w:r>
                </w:p>
              </w:tc>
              <w:tc>
                <w:tcPr>
                  <w:tcW w:w="938" w:type="dxa"/>
                  <w:tcBorders>
                    <w:tl2br w:val="nil"/>
                    <w:tr2bl w:val="nil"/>
                  </w:tcBorders>
                  <w:shd w:val="clear" w:color="auto" w:fill="auto"/>
                  <w:vAlign w:val="center"/>
                </w:tcPr>
                <w:p w14:paraId="7A6376DE">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3.6</w:t>
                  </w:r>
                </w:p>
              </w:tc>
            </w:tr>
            <w:tr w14:paraId="487C70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2" w:type="dxa"/>
                  <w:vMerge w:val="restart"/>
                  <w:tcBorders>
                    <w:tl2br w:val="nil"/>
                    <w:tr2bl w:val="nil"/>
                  </w:tcBorders>
                  <w:shd w:val="clear" w:color="auto" w:fill="auto"/>
                  <w:vAlign w:val="center"/>
                </w:tcPr>
                <w:p w14:paraId="4F72BF35">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生物接触氧化</w:t>
                  </w:r>
                </w:p>
              </w:tc>
              <w:tc>
                <w:tcPr>
                  <w:tcW w:w="1110" w:type="dxa"/>
                  <w:tcBorders>
                    <w:tl2br w:val="nil"/>
                    <w:tr2bl w:val="nil"/>
                  </w:tcBorders>
                  <w:shd w:val="clear" w:color="auto" w:fill="auto"/>
                  <w:vAlign w:val="center"/>
                </w:tcPr>
                <w:p w14:paraId="07D6F417">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进水浓度</w:t>
                  </w:r>
                </w:p>
              </w:tc>
              <w:tc>
                <w:tcPr>
                  <w:tcW w:w="1028" w:type="dxa"/>
                  <w:tcBorders>
                    <w:tl2br w:val="nil"/>
                    <w:tr2bl w:val="nil"/>
                  </w:tcBorders>
                  <w:shd w:val="clear" w:color="auto" w:fill="auto"/>
                  <w:vAlign w:val="center"/>
                </w:tcPr>
                <w:p w14:paraId="6250CA1B">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473.85</w:t>
                  </w:r>
                </w:p>
              </w:tc>
              <w:tc>
                <w:tcPr>
                  <w:tcW w:w="1028" w:type="dxa"/>
                  <w:tcBorders>
                    <w:tl2br w:val="nil"/>
                    <w:tr2bl w:val="nil"/>
                  </w:tcBorders>
                  <w:shd w:val="clear" w:color="auto" w:fill="auto"/>
                  <w:vAlign w:val="center"/>
                </w:tcPr>
                <w:p w14:paraId="37C184D1">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155.925</w:t>
                  </w:r>
                </w:p>
              </w:tc>
              <w:tc>
                <w:tcPr>
                  <w:tcW w:w="1028" w:type="dxa"/>
                  <w:tcBorders>
                    <w:tl2br w:val="nil"/>
                    <w:tr2bl w:val="nil"/>
                  </w:tcBorders>
                  <w:shd w:val="clear" w:color="auto" w:fill="auto"/>
                  <w:vAlign w:val="center"/>
                </w:tcPr>
                <w:p w14:paraId="1088AF07">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21.87</w:t>
                  </w:r>
                </w:p>
              </w:tc>
              <w:tc>
                <w:tcPr>
                  <w:tcW w:w="1028" w:type="dxa"/>
                  <w:tcBorders>
                    <w:tl2br w:val="nil"/>
                    <w:tr2bl w:val="nil"/>
                  </w:tcBorders>
                  <w:shd w:val="clear" w:color="auto" w:fill="auto"/>
                  <w:vAlign w:val="center"/>
                </w:tcPr>
                <w:p w14:paraId="3E58D516">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81.812</w:t>
                  </w:r>
                </w:p>
              </w:tc>
              <w:tc>
                <w:tcPr>
                  <w:tcW w:w="1123" w:type="dxa"/>
                  <w:tcBorders>
                    <w:tl2br w:val="nil"/>
                    <w:tr2bl w:val="nil"/>
                  </w:tcBorders>
                  <w:shd w:val="clear" w:color="auto" w:fill="auto"/>
                  <w:vAlign w:val="center"/>
                </w:tcPr>
                <w:p w14:paraId="5B70922C">
                  <w:pPr>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10</w:t>
                  </w:r>
                </w:p>
              </w:tc>
              <w:tc>
                <w:tcPr>
                  <w:tcW w:w="938" w:type="dxa"/>
                  <w:tcBorders>
                    <w:tl2br w:val="nil"/>
                    <w:tr2bl w:val="nil"/>
                  </w:tcBorders>
                  <w:shd w:val="clear" w:color="auto" w:fill="auto"/>
                  <w:vAlign w:val="center"/>
                </w:tcPr>
                <w:p w14:paraId="6EFD1B2E">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3.6</w:t>
                  </w:r>
                </w:p>
              </w:tc>
            </w:tr>
            <w:tr w14:paraId="02843C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2" w:type="dxa"/>
                  <w:vMerge w:val="continue"/>
                  <w:tcBorders>
                    <w:tl2br w:val="nil"/>
                    <w:tr2bl w:val="nil"/>
                  </w:tcBorders>
                  <w:shd w:val="clear" w:color="auto" w:fill="auto"/>
                  <w:vAlign w:val="center"/>
                </w:tcPr>
                <w:p w14:paraId="5EE8C31C">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p>
              </w:tc>
              <w:tc>
                <w:tcPr>
                  <w:tcW w:w="1110" w:type="dxa"/>
                  <w:tcBorders>
                    <w:tl2br w:val="nil"/>
                    <w:tr2bl w:val="nil"/>
                  </w:tcBorders>
                  <w:shd w:val="clear" w:color="auto" w:fill="auto"/>
                  <w:vAlign w:val="center"/>
                </w:tcPr>
                <w:p w14:paraId="4F15BD14">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去除效率</w:t>
                  </w:r>
                </w:p>
              </w:tc>
              <w:tc>
                <w:tcPr>
                  <w:tcW w:w="1028" w:type="dxa"/>
                  <w:tcBorders>
                    <w:tl2br w:val="nil"/>
                    <w:tr2bl w:val="nil"/>
                  </w:tcBorders>
                  <w:shd w:val="clear" w:color="auto" w:fill="auto"/>
                  <w:vAlign w:val="center"/>
                </w:tcPr>
                <w:p w14:paraId="62724B02">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40%</w:t>
                  </w:r>
                </w:p>
              </w:tc>
              <w:tc>
                <w:tcPr>
                  <w:tcW w:w="1028" w:type="dxa"/>
                  <w:tcBorders>
                    <w:tl2br w:val="nil"/>
                    <w:tr2bl w:val="nil"/>
                  </w:tcBorders>
                  <w:shd w:val="clear" w:color="auto" w:fill="auto"/>
                  <w:vAlign w:val="center"/>
                </w:tcPr>
                <w:p w14:paraId="301A0164">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45%</w:t>
                  </w:r>
                </w:p>
              </w:tc>
              <w:tc>
                <w:tcPr>
                  <w:tcW w:w="1028" w:type="dxa"/>
                  <w:tcBorders>
                    <w:tl2br w:val="nil"/>
                    <w:tr2bl w:val="nil"/>
                  </w:tcBorders>
                  <w:shd w:val="clear" w:color="auto" w:fill="auto"/>
                  <w:vAlign w:val="center"/>
                </w:tcPr>
                <w:p w14:paraId="64664EB4">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25%</w:t>
                  </w:r>
                </w:p>
              </w:tc>
              <w:tc>
                <w:tcPr>
                  <w:tcW w:w="1028" w:type="dxa"/>
                  <w:tcBorders>
                    <w:tl2br w:val="nil"/>
                    <w:tr2bl w:val="nil"/>
                  </w:tcBorders>
                  <w:shd w:val="clear" w:color="auto" w:fill="auto"/>
                  <w:vAlign w:val="center"/>
                </w:tcPr>
                <w:p w14:paraId="7DDE4BE6">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30%</w:t>
                  </w:r>
                </w:p>
              </w:tc>
              <w:tc>
                <w:tcPr>
                  <w:tcW w:w="1123" w:type="dxa"/>
                  <w:tcBorders>
                    <w:tl2br w:val="nil"/>
                    <w:tr2bl w:val="nil"/>
                  </w:tcBorders>
                  <w:shd w:val="clear" w:color="auto" w:fill="auto"/>
                  <w:vAlign w:val="center"/>
                </w:tcPr>
                <w:p w14:paraId="55E40182">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w:t>
                  </w:r>
                </w:p>
              </w:tc>
              <w:tc>
                <w:tcPr>
                  <w:tcW w:w="938" w:type="dxa"/>
                  <w:tcBorders>
                    <w:tl2br w:val="nil"/>
                    <w:tr2bl w:val="nil"/>
                  </w:tcBorders>
                  <w:shd w:val="clear" w:color="auto" w:fill="auto"/>
                  <w:vAlign w:val="center"/>
                </w:tcPr>
                <w:p w14:paraId="3A6D087C">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25%</w:t>
                  </w:r>
                </w:p>
              </w:tc>
            </w:tr>
            <w:tr w14:paraId="0F4D00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2" w:type="dxa"/>
                  <w:vMerge w:val="continue"/>
                  <w:tcBorders>
                    <w:tl2br w:val="nil"/>
                    <w:tr2bl w:val="nil"/>
                  </w:tcBorders>
                  <w:shd w:val="clear" w:color="auto" w:fill="auto"/>
                  <w:vAlign w:val="center"/>
                </w:tcPr>
                <w:p w14:paraId="75C6D72E">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p>
              </w:tc>
              <w:tc>
                <w:tcPr>
                  <w:tcW w:w="1110" w:type="dxa"/>
                  <w:tcBorders>
                    <w:tl2br w:val="nil"/>
                    <w:tr2bl w:val="nil"/>
                  </w:tcBorders>
                  <w:shd w:val="clear" w:color="auto" w:fill="auto"/>
                  <w:vAlign w:val="center"/>
                </w:tcPr>
                <w:p w14:paraId="12F35FFA">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出水浓度</w:t>
                  </w:r>
                </w:p>
              </w:tc>
              <w:tc>
                <w:tcPr>
                  <w:tcW w:w="1028" w:type="dxa"/>
                  <w:tcBorders>
                    <w:tl2br w:val="nil"/>
                    <w:tr2bl w:val="nil"/>
                  </w:tcBorders>
                  <w:shd w:val="clear" w:color="auto" w:fill="auto"/>
                  <w:vAlign w:val="center"/>
                </w:tcPr>
                <w:p w14:paraId="6EA5B4DE">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284.31</w:t>
                  </w:r>
                </w:p>
              </w:tc>
              <w:tc>
                <w:tcPr>
                  <w:tcW w:w="1028" w:type="dxa"/>
                  <w:tcBorders>
                    <w:tl2br w:val="nil"/>
                    <w:tr2bl w:val="nil"/>
                  </w:tcBorders>
                  <w:shd w:val="clear" w:color="auto" w:fill="auto"/>
                  <w:vAlign w:val="center"/>
                </w:tcPr>
                <w:p w14:paraId="7F914068">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85.759</w:t>
                  </w:r>
                </w:p>
              </w:tc>
              <w:tc>
                <w:tcPr>
                  <w:tcW w:w="1028" w:type="dxa"/>
                  <w:tcBorders>
                    <w:tl2br w:val="nil"/>
                    <w:tr2bl w:val="nil"/>
                  </w:tcBorders>
                  <w:shd w:val="clear" w:color="auto" w:fill="auto"/>
                  <w:vAlign w:val="center"/>
                </w:tcPr>
                <w:p w14:paraId="22DA736F">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16.402</w:t>
                  </w:r>
                </w:p>
              </w:tc>
              <w:tc>
                <w:tcPr>
                  <w:tcW w:w="1028" w:type="dxa"/>
                  <w:tcBorders>
                    <w:tl2br w:val="nil"/>
                    <w:tr2bl w:val="nil"/>
                  </w:tcBorders>
                  <w:shd w:val="clear" w:color="auto" w:fill="auto"/>
                  <w:vAlign w:val="center"/>
                </w:tcPr>
                <w:p w14:paraId="2881BD08">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57.269</w:t>
                  </w:r>
                </w:p>
              </w:tc>
              <w:tc>
                <w:tcPr>
                  <w:tcW w:w="1123" w:type="dxa"/>
                  <w:tcBorders>
                    <w:tl2br w:val="nil"/>
                    <w:tr2bl w:val="nil"/>
                  </w:tcBorders>
                  <w:shd w:val="clear" w:color="auto" w:fill="auto"/>
                  <w:vAlign w:val="center"/>
                </w:tcPr>
                <w:p w14:paraId="772649FF">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10</w:t>
                  </w:r>
                </w:p>
              </w:tc>
              <w:tc>
                <w:tcPr>
                  <w:tcW w:w="938" w:type="dxa"/>
                  <w:tcBorders>
                    <w:tl2br w:val="nil"/>
                    <w:tr2bl w:val="nil"/>
                  </w:tcBorders>
                  <w:shd w:val="clear" w:color="auto" w:fill="auto"/>
                  <w:vAlign w:val="center"/>
                </w:tcPr>
                <w:p w14:paraId="5807859C">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2.7</w:t>
                  </w:r>
                </w:p>
              </w:tc>
            </w:tr>
            <w:tr w14:paraId="5B678A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72" w:type="dxa"/>
                  <w:gridSpan w:val="2"/>
                  <w:tcBorders>
                    <w:tl2br w:val="nil"/>
                    <w:tr2bl w:val="nil"/>
                  </w:tcBorders>
                  <w:vAlign w:val="center"/>
                </w:tcPr>
                <w:p w14:paraId="44116622">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进水浓度</w:t>
                  </w:r>
                </w:p>
              </w:tc>
              <w:tc>
                <w:tcPr>
                  <w:tcW w:w="1028" w:type="dxa"/>
                  <w:tcBorders>
                    <w:tl2br w:val="nil"/>
                    <w:tr2bl w:val="nil"/>
                  </w:tcBorders>
                  <w:shd w:val="clear" w:color="auto" w:fill="auto"/>
                  <w:vAlign w:val="center"/>
                </w:tcPr>
                <w:p w14:paraId="456CDE1D">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3000</w:t>
                  </w:r>
                </w:p>
              </w:tc>
              <w:tc>
                <w:tcPr>
                  <w:tcW w:w="1028" w:type="dxa"/>
                  <w:tcBorders>
                    <w:tl2br w:val="nil"/>
                    <w:tr2bl w:val="nil"/>
                  </w:tcBorders>
                  <w:shd w:val="clear" w:color="auto" w:fill="auto"/>
                  <w:vAlign w:val="center"/>
                </w:tcPr>
                <w:p w14:paraId="372094E4">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1000</w:t>
                  </w:r>
                </w:p>
              </w:tc>
              <w:tc>
                <w:tcPr>
                  <w:tcW w:w="1028" w:type="dxa"/>
                  <w:tcBorders>
                    <w:tl2br w:val="nil"/>
                    <w:tr2bl w:val="nil"/>
                  </w:tcBorders>
                  <w:shd w:val="clear" w:color="auto" w:fill="auto"/>
                  <w:vAlign w:val="center"/>
                </w:tcPr>
                <w:p w14:paraId="371D8135">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30</w:t>
                  </w:r>
                </w:p>
              </w:tc>
              <w:tc>
                <w:tcPr>
                  <w:tcW w:w="1028" w:type="dxa"/>
                  <w:tcBorders>
                    <w:tl2br w:val="nil"/>
                    <w:tr2bl w:val="nil"/>
                  </w:tcBorders>
                  <w:shd w:val="clear" w:color="auto" w:fill="auto"/>
                  <w:vAlign w:val="center"/>
                </w:tcPr>
                <w:p w14:paraId="32465E97">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500</w:t>
                  </w:r>
                </w:p>
              </w:tc>
              <w:tc>
                <w:tcPr>
                  <w:tcW w:w="1123" w:type="dxa"/>
                  <w:tcBorders>
                    <w:tl2br w:val="nil"/>
                    <w:tr2bl w:val="nil"/>
                  </w:tcBorders>
                  <w:shd w:val="clear" w:color="auto" w:fill="auto"/>
                  <w:vAlign w:val="center"/>
                </w:tcPr>
                <w:p w14:paraId="114DF658">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100</w:t>
                  </w:r>
                </w:p>
              </w:tc>
              <w:tc>
                <w:tcPr>
                  <w:tcW w:w="938" w:type="dxa"/>
                  <w:tcBorders>
                    <w:tl2br w:val="nil"/>
                    <w:tr2bl w:val="nil"/>
                  </w:tcBorders>
                  <w:shd w:val="clear" w:color="auto" w:fill="auto"/>
                  <w:vAlign w:val="center"/>
                </w:tcPr>
                <w:p w14:paraId="4A9C31C1">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15</w:t>
                  </w:r>
                </w:p>
              </w:tc>
            </w:tr>
            <w:tr w14:paraId="2BF0CE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72" w:type="dxa"/>
                  <w:gridSpan w:val="2"/>
                  <w:tcBorders>
                    <w:tl2br w:val="nil"/>
                    <w:tr2bl w:val="nil"/>
                  </w:tcBorders>
                  <w:shd w:val="clear" w:color="auto" w:fill="auto"/>
                  <w:vAlign w:val="center"/>
                </w:tcPr>
                <w:p w14:paraId="0CE78F15">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综合处理效率</w:t>
                  </w:r>
                </w:p>
              </w:tc>
              <w:tc>
                <w:tcPr>
                  <w:tcW w:w="1028" w:type="dxa"/>
                  <w:tcBorders>
                    <w:tl2br w:val="nil"/>
                    <w:tr2bl w:val="nil"/>
                  </w:tcBorders>
                  <w:shd w:val="clear" w:color="auto" w:fill="auto"/>
                  <w:vAlign w:val="center"/>
                </w:tcPr>
                <w:p w14:paraId="73DB2607">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90.5%</w:t>
                  </w:r>
                </w:p>
              </w:tc>
              <w:tc>
                <w:tcPr>
                  <w:tcW w:w="1028" w:type="dxa"/>
                  <w:tcBorders>
                    <w:tl2br w:val="nil"/>
                    <w:tr2bl w:val="nil"/>
                  </w:tcBorders>
                  <w:shd w:val="clear" w:color="auto" w:fill="auto"/>
                  <w:vAlign w:val="center"/>
                </w:tcPr>
                <w:p w14:paraId="76260E17">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91.4%</w:t>
                  </w:r>
                </w:p>
              </w:tc>
              <w:tc>
                <w:tcPr>
                  <w:tcW w:w="1028" w:type="dxa"/>
                  <w:tcBorders>
                    <w:tl2br w:val="nil"/>
                    <w:tr2bl w:val="nil"/>
                  </w:tcBorders>
                  <w:shd w:val="clear" w:color="auto" w:fill="auto"/>
                  <w:vAlign w:val="center"/>
                </w:tcPr>
                <w:p w14:paraId="4C68A2E4">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45.3%</w:t>
                  </w:r>
                </w:p>
              </w:tc>
              <w:tc>
                <w:tcPr>
                  <w:tcW w:w="1028" w:type="dxa"/>
                  <w:tcBorders>
                    <w:tl2br w:val="nil"/>
                    <w:tr2bl w:val="nil"/>
                  </w:tcBorders>
                  <w:shd w:val="clear" w:color="auto" w:fill="auto"/>
                  <w:vAlign w:val="center"/>
                </w:tcPr>
                <w:p w14:paraId="77906DA4">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88.5%</w:t>
                  </w:r>
                </w:p>
              </w:tc>
              <w:tc>
                <w:tcPr>
                  <w:tcW w:w="1123" w:type="dxa"/>
                  <w:tcBorders>
                    <w:tl2br w:val="nil"/>
                    <w:tr2bl w:val="nil"/>
                  </w:tcBorders>
                  <w:shd w:val="clear" w:color="auto" w:fill="auto"/>
                  <w:vAlign w:val="center"/>
                </w:tcPr>
                <w:p w14:paraId="64B2BC7A">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90.0%</w:t>
                  </w:r>
                </w:p>
              </w:tc>
              <w:tc>
                <w:tcPr>
                  <w:tcW w:w="938" w:type="dxa"/>
                  <w:tcBorders>
                    <w:tl2br w:val="nil"/>
                    <w:tr2bl w:val="nil"/>
                  </w:tcBorders>
                  <w:shd w:val="clear" w:color="auto" w:fill="auto"/>
                  <w:vAlign w:val="center"/>
                </w:tcPr>
                <w:p w14:paraId="4153D48A">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82.0%</w:t>
                  </w:r>
                </w:p>
              </w:tc>
            </w:tr>
            <w:tr w14:paraId="2CFD0B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72" w:type="dxa"/>
                  <w:gridSpan w:val="2"/>
                  <w:tcBorders>
                    <w:tl2br w:val="nil"/>
                    <w:tr2bl w:val="nil"/>
                  </w:tcBorders>
                  <w:vAlign w:val="center"/>
                </w:tcPr>
                <w:p w14:paraId="3572CA63">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出水浓度</w:t>
                  </w:r>
                </w:p>
              </w:tc>
              <w:tc>
                <w:tcPr>
                  <w:tcW w:w="1028" w:type="dxa"/>
                  <w:tcBorders>
                    <w:tl2br w:val="nil"/>
                    <w:tr2bl w:val="nil"/>
                  </w:tcBorders>
                  <w:shd w:val="clear" w:color="auto" w:fill="auto"/>
                  <w:vAlign w:val="center"/>
                </w:tcPr>
                <w:p w14:paraId="752D73B3">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284.31</w:t>
                  </w:r>
                </w:p>
              </w:tc>
              <w:tc>
                <w:tcPr>
                  <w:tcW w:w="1028" w:type="dxa"/>
                  <w:tcBorders>
                    <w:tl2br w:val="nil"/>
                    <w:tr2bl w:val="nil"/>
                  </w:tcBorders>
                  <w:shd w:val="clear" w:color="auto" w:fill="auto"/>
                  <w:vAlign w:val="center"/>
                </w:tcPr>
                <w:p w14:paraId="0AFD8ED4">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85.759</w:t>
                  </w:r>
                </w:p>
              </w:tc>
              <w:tc>
                <w:tcPr>
                  <w:tcW w:w="1028" w:type="dxa"/>
                  <w:tcBorders>
                    <w:tl2br w:val="nil"/>
                    <w:tr2bl w:val="nil"/>
                  </w:tcBorders>
                  <w:shd w:val="clear" w:color="auto" w:fill="auto"/>
                  <w:vAlign w:val="center"/>
                </w:tcPr>
                <w:p w14:paraId="697242E3">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16.402</w:t>
                  </w:r>
                </w:p>
              </w:tc>
              <w:tc>
                <w:tcPr>
                  <w:tcW w:w="1028" w:type="dxa"/>
                  <w:tcBorders>
                    <w:tl2br w:val="nil"/>
                    <w:tr2bl w:val="nil"/>
                  </w:tcBorders>
                  <w:shd w:val="clear" w:color="auto" w:fill="auto"/>
                  <w:vAlign w:val="center"/>
                </w:tcPr>
                <w:p w14:paraId="370F4930">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57.269</w:t>
                  </w:r>
                </w:p>
              </w:tc>
              <w:tc>
                <w:tcPr>
                  <w:tcW w:w="1123" w:type="dxa"/>
                  <w:tcBorders>
                    <w:tl2br w:val="nil"/>
                    <w:tr2bl w:val="nil"/>
                  </w:tcBorders>
                  <w:shd w:val="clear" w:color="auto" w:fill="auto"/>
                  <w:vAlign w:val="center"/>
                </w:tcPr>
                <w:p w14:paraId="62158C18">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10</w:t>
                  </w:r>
                </w:p>
              </w:tc>
              <w:tc>
                <w:tcPr>
                  <w:tcW w:w="938" w:type="dxa"/>
                  <w:tcBorders>
                    <w:tl2br w:val="nil"/>
                    <w:tr2bl w:val="nil"/>
                  </w:tcBorders>
                  <w:shd w:val="clear" w:color="auto" w:fill="auto"/>
                  <w:vAlign w:val="center"/>
                </w:tcPr>
                <w:p w14:paraId="48AF64EF">
                  <w:pPr>
                    <w:pStyle w:val="100"/>
                    <w:keepNext w:val="0"/>
                    <w:keepLines w:val="0"/>
                    <w:pageBreakBefore w:val="0"/>
                    <w:widowControl w:val="0"/>
                    <w:kinsoku/>
                    <w:wordWrap/>
                    <w:overflowPunct w:val="0"/>
                    <w:topLinePunct w:val="0"/>
                    <w:autoSpaceDE/>
                    <w:autoSpaceDN/>
                    <w:bidi w:val="0"/>
                    <w:adjustRightInd w:val="0"/>
                    <w:snapToGrid w:val="0"/>
                    <w:spacing w:beforeAutospacing="0" w:afterAutospacing="0" w:line="240" w:lineRule="auto"/>
                    <w:ind w:right="0" w:rightChars="0" w:firstLine="0" w:firstLineChars="0"/>
                    <w:contextualSpacing/>
                    <w:jc w:val="center"/>
                    <w:textAlignment w:val="auto"/>
                    <w:outlineLvl w:val="9"/>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bidi="ar-SA"/>
                    </w:rPr>
                  </w:pPr>
                  <w:r>
                    <w:rPr>
                      <w:rFonts w:hint="default" w:ascii="Times New Roman" w:hAnsi="Times New Roman" w:eastAsia="宋体" w:cs="Times New Roman"/>
                      <w:b w:val="0"/>
                      <w:bCs/>
                      <w:color w:val="auto"/>
                      <w:spacing w:val="0"/>
                      <w:w w:val="100"/>
                      <w:kern w:val="0"/>
                      <w:position w:val="0"/>
                      <w:sz w:val="21"/>
                      <w:szCs w:val="21"/>
                      <w:highlight w:val="none"/>
                      <w:vertAlign w:val="baseline"/>
                      <w:lang w:val="en-US" w:eastAsia="zh-CN"/>
                    </w:rPr>
                    <w:t>2.7</w:t>
                  </w:r>
                </w:p>
              </w:tc>
            </w:tr>
          </w:tbl>
          <w:p w14:paraId="5F5CA3F2">
            <w:pPr>
              <w:pStyle w:val="100"/>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contextualSpacing/>
              <w:outlineLvl w:val="9"/>
              <w:rPr>
                <w:rFonts w:hint="default" w:ascii="Times New Roman" w:hAnsi="Times New Roman" w:eastAsia="宋体" w:cs="Times New Roman"/>
                <w:b/>
                <w:color w:val="auto"/>
                <w:spacing w:val="0"/>
                <w:w w:val="100"/>
                <w:kern w:val="0"/>
                <w:position w:val="0"/>
                <w:highlight w:val="none"/>
              </w:rPr>
            </w:pPr>
            <w:r>
              <w:rPr>
                <w:rFonts w:hint="default" w:ascii="Times New Roman" w:hAnsi="Times New Roman" w:eastAsia="宋体" w:cs="Times New Roman"/>
                <w:b/>
                <w:color w:val="auto"/>
                <w:spacing w:val="0"/>
                <w:w w:val="100"/>
                <w:kern w:val="0"/>
                <w:position w:val="0"/>
                <w:highlight w:val="none"/>
              </w:rPr>
              <w:t>表</w:t>
            </w:r>
            <w:r>
              <w:rPr>
                <w:rFonts w:hint="default" w:ascii="Times New Roman" w:hAnsi="Times New Roman" w:eastAsia="宋体" w:cs="Times New Roman"/>
                <w:b/>
                <w:color w:val="auto"/>
                <w:spacing w:val="0"/>
                <w:w w:val="100"/>
                <w:kern w:val="0"/>
                <w:position w:val="0"/>
                <w:highlight w:val="none"/>
                <w:lang w:val="en-US" w:eastAsia="zh-CN"/>
              </w:rPr>
              <w:t>4-6</w:t>
            </w:r>
            <w:r>
              <w:rPr>
                <w:rFonts w:hint="default" w:ascii="Times New Roman" w:hAnsi="Times New Roman" w:eastAsia="宋体" w:cs="Times New Roman"/>
                <w:b/>
                <w:color w:val="auto"/>
                <w:spacing w:val="0"/>
                <w:w w:val="100"/>
                <w:kern w:val="0"/>
                <w:position w:val="0"/>
                <w:highlight w:val="none"/>
              </w:rPr>
              <w:t xml:space="preserve"> 废水污染源源强核算结果及相关参数一览表</w:t>
            </w:r>
          </w:p>
          <w:tbl>
            <w:tblPr>
              <w:tblStyle w:val="29"/>
              <w:tblW w:w="837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1"/>
              <w:gridCol w:w="442"/>
              <w:gridCol w:w="458"/>
              <w:gridCol w:w="712"/>
              <w:gridCol w:w="661"/>
              <w:gridCol w:w="632"/>
              <w:gridCol w:w="660"/>
              <w:gridCol w:w="810"/>
              <w:gridCol w:w="531"/>
              <w:gridCol w:w="460"/>
              <w:gridCol w:w="590"/>
              <w:gridCol w:w="646"/>
              <w:gridCol w:w="796"/>
              <w:gridCol w:w="456"/>
            </w:tblGrid>
            <w:tr w14:paraId="503794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21" w:type="dxa"/>
                  <w:vMerge w:val="restart"/>
                  <w:noWrap w:val="0"/>
                  <w:vAlign w:val="center"/>
                </w:tcPr>
                <w:p w14:paraId="2155267A">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eastAsia="宋体" w:cs="Times New Roman"/>
                      <w:color w:val="auto"/>
                      <w:spacing w:val="0"/>
                      <w:w w:val="100"/>
                      <w:kern w:val="0"/>
                      <w:position w:val="0"/>
                      <w:sz w:val="18"/>
                      <w:szCs w:val="18"/>
                      <w:highlight w:val="none"/>
                    </w:rPr>
                    <w:t>工序/生产线</w:t>
                  </w:r>
                </w:p>
              </w:tc>
              <w:tc>
                <w:tcPr>
                  <w:tcW w:w="442" w:type="dxa"/>
                  <w:vMerge w:val="restart"/>
                  <w:noWrap w:val="0"/>
                  <w:vAlign w:val="center"/>
                </w:tcPr>
                <w:p w14:paraId="47D51EFE">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eastAsia="宋体" w:cs="Times New Roman"/>
                      <w:color w:val="auto"/>
                      <w:spacing w:val="0"/>
                      <w:w w:val="100"/>
                      <w:kern w:val="0"/>
                      <w:position w:val="0"/>
                      <w:sz w:val="18"/>
                      <w:szCs w:val="18"/>
                      <w:highlight w:val="none"/>
                    </w:rPr>
                    <w:t>装置</w:t>
                  </w:r>
                </w:p>
              </w:tc>
              <w:tc>
                <w:tcPr>
                  <w:tcW w:w="458" w:type="dxa"/>
                  <w:vMerge w:val="restart"/>
                  <w:noWrap w:val="0"/>
                  <w:vAlign w:val="center"/>
                </w:tcPr>
                <w:p w14:paraId="286F1493">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eastAsia="宋体" w:cs="Times New Roman"/>
                      <w:color w:val="auto"/>
                      <w:spacing w:val="0"/>
                      <w:w w:val="100"/>
                      <w:kern w:val="0"/>
                      <w:position w:val="0"/>
                      <w:sz w:val="18"/>
                      <w:szCs w:val="18"/>
                      <w:highlight w:val="none"/>
                    </w:rPr>
                    <w:t>污染源</w:t>
                  </w:r>
                </w:p>
              </w:tc>
              <w:tc>
                <w:tcPr>
                  <w:tcW w:w="712" w:type="dxa"/>
                  <w:vMerge w:val="restart"/>
                  <w:noWrap w:val="0"/>
                  <w:vAlign w:val="center"/>
                </w:tcPr>
                <w:p w14:paraId="2370D7DC">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eastAsia="宋体" w:cs="Times New Roman"/>
                      <w:color w:val="auto"/>
                      <w:spacing w:val="0"/>
                      <w:w w:val="100"/>
                      <w:kern w:val="0"/>
                      <w:position w:val="0"/>
                      <w:sz w:val="18"/>
                      <w:szCs w:val="18"/>
                      <w:highlight w:val="none"/>
                    </w:rPr>
                    <w:t>污染物</w:t>
                  </w:r>
                </w:p>
              </w:tc>
              <w:tc>
                <w:tcPr>
                  <w:tcW w:w="2763" w:type="dxa"/>
                  <w:gridSpan w:val="4"/>
                  <w:noWrap w:val="0"/>
                  <w:vAlign w:val="center"/>
                </w:tcPr>
                <w:p w14:paraId="5C727259">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eastAsia="宋体" w:cs="Times New Roman"/>
                      <w:color w:val="auto"/>
                      <w:spacing w:val="0"/>
                      <w:w w:val="100"/>
                      <w:kern w:val="0"/>
                      <w:position w:val="0"/>
                      <w:sz w:val="18"/>
                      <w:szCs w:val="18"/>
                      <w:highlight w:val="none"/>
                    </w:rPr>
                    <w:t>污染物产生</w:t>
                  </w:r>
                </w:p>
              </w:tc>
              <w:tc>
                <w:tcPr>
                  <w:tcW w:w="991" w:type="dxa"/>
                  <w:gridSpan w:val="2"/>
                  <w:noWrap w:val="0"/>
                  <w:vAlign w:val="center"/>
                </w:tcPr>
                <w:p w14:paraId="110CBA17">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eastAsia="宋体" w:cs="Times New Roman"/>
                      <w:color w:val="auto"/>
                      <w:spacing w:val="0"/>
                      <w:w w:val="100"/>
                      <w:kern w:val="0"/>
                      <w:position w:val="0"/>
                      <w:sz w:val="18"/>
                      <w:szCs w:val="18"/>
                      <w:highlight w:val="none"/>
                    </w:rPr>
                    <w:t>治理措施</w:t>
                  </w:r>
                </w:p>
              </w:tc>
              <w:tc>
                <w:tcPr>
                  <w:tcW w:w="2032" w:type="dxa"/>
                  <w:gridSpan w:val="3"/>
                  <w:noWrap w:val="0"/>
                  <w:vAlign w:val="center"/>
                </w:tcPr>
                <w:p w14:paraId="5D0951DC">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eastAsia="宋体" w:cs="Times New Roman"/>
                      <w:color w:val="auto"/>
                      <w:spacing w:val="0"/>
                      <w:w w:val="100"/>
                      <w:kern w:val="0"/>
                      <w:position w:val="0"/>
                      <w:sz w:val="18"/>
                      <w:szCs w:val="18"/>
                      <w:highlight w:val="none"/>
                    </w:rPr>
                    <w:t>污染物排放</w:t>
                  </w:r>
                </w:p>
              </w:tc>
              <w:tc>
                <w:tcPr>
                  <w:tcW w:w="456" w:type="dxa"/>
                  <w:vMerge w:val="restart"/>
                  <w:noWrap w:val="0"/>
                  <w:vAlign w:val="center"/>
                </w:tcPr>
                <w:p w14:paraId="7378B97C">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eastAsia="宋体" w:cs="Times New Roman"/>
                      <w:color w:val="auto"/>
                      <w:spacing w:val="0"/>
                      <w:w w:val="100"/>
                      <w:kern w:val="0"/>
                      <w:position w:val="0"/>
                      <w:sz w:val="18"/>
                      <w:szCs w:val="18"/>
                      <w:highlight w:val="none"/>
                    </w:rPr>
                    <w:t>排放时间/h</w:t>
                  </w:r>
                </w:p>
              </w:tc>
            </w:tr>
            <w:tr w14:paraId="586FBE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8" w:hRule="atLeast"/>
                <w:jc w:val="center"/>
              </w:trPr>
              <w:tc>
                <w:tcPr>
                  <w:tcW w:w="521" w:type="dxa"/>
                  <w:vMerge w:val="continue"/>
                  <w:noWrap w:val="0"/>
                  <w:vAlign w:val="center"/>
                </w:tcPr>
                <w:p w14:paraId="72E30934">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42" w:type="dxa"/>
                  <w:vMerge w:val="continue"/>
                  <w:noWrap w:val="0"/>
                  <w:vAlign w:val="center"/>
                </w:tcPr>
                <w:p w14:paraId="3883AE41">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58" w:type="dxa"/>
                  <w:vMerge w:val="continue"/>
                  <w:noWrap w:val="0"/>
                  <w:vAlign w:val="center"/>
                </w:tcPr>
                <w:p w14:paraId="31DF23BA">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712" w:type="dxa"/>
                  <w:vMerge w:val="continue"/>
                  <w:noWrap w:val="0"/>
                  <w:vAlign w:val="center"/>
                </w:tcPr>
                <w:p w14:paraId="2154D8A3">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61" w:type="dxa"/>
                  <w:noWrap w:val="0"/>
                  <w:vAlign w:val="center"/>
                </w:tcPr>
                <w:p w14:paraId="77391846">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eastAsia="宋体" w:cs="Times New Roman"/>
                      <w:color w:val="auto"/>
                      <w:spacing w:val="0"/>
                      <w:w w:val="100"/>
                      <w:kern w:val="0"/>
                      <w:position w:val="0"/>
                      <w:sz w:val="18"/>
                      <w:szCs w:val="18"/>
                      <w:highlight w:val="none"/>
                    </w:rPr>
                    <w:t>核算方法</w:t>
                  </w:r>
                </w:p>
              </w:tc>
              <w:tc>
                <w:tcPr>
                  <w:tcW w:w="632" w:type="dxa"/>
                  <w:noWrap w:val="0"/>
                  <w:vAlign w:val="center"/>
                </w:tcPr>
                <w:p w14:paraId="00114014">
                  <w:pPr>
                    <w:pStyle w:val="100"/>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contextualSpacing/>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eastAsia="宋体" w:cs="Times New Roman"/>
                      <w:color w:val="auto"/>
                      <w:spacing w:val="0"/>
                      <w:w w:val="100"/>
                      <w:kern w:val="0"/>
                      <w:position w:val="0"/>
                      <w:sz w:val="18"/>
                      <w:szCs w:val="18"/>
                      <w:highlight w:val="none"/>
                    </w:rPr>
                    <w:t>废水产生量t/a</w:t>
                  </w:r>
                </w:p>
              </w:tc>
              <w:tc>
                <w:tcPr>
                  <w:tcW w:w="660" w:type="dxa"/>
                  <w:noWrap w:val="0"/>
                  <w:vAlign w:val="center"/>
                </w:tcPr>
                <w:p w14:paraId="785F6C74">
                  <w:pPr>
                    <w:pStyle w:val="100"/>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contextualSpacing/>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eastAsia="宋体" w:cs="Times New Roman"/>
                      <w:color w:val="auto"/>
                      <w:spacing w:val="0"/>
                      <w:w w:val="100"/>
                      <w:kern w:val="0"/>
                      <w:position w:val="0"/>
                      <w:sz w:val="18"/>
                      <w:szCs w:val="18"/>
                      <w:highlight w:val="none"/>
                    </w:rPr>
                    <w:t>产生浓度mg/L</w:t>
                  </w:r>
                </w:p>
              </w:tc>
              <w:tc>
                <w:tcPr>
                  <w:tcW w:w="810" w:type="dxa"/>
                  <w:noWrap w:val="0"/>
                  <w:vAlign w:val="center"/>
                </w:tcPr>
                <w:p w14:paraId="4C65050D">
                  <w:pPr>
                    <w:pStyle w:val="100"/>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contextualSpacing/>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eastAsia="宋体" w:cs="Times New Roman"/>
                      <w:color w:val="auto"/>
                      <w:spacing w:val="0"/>
                      <w:w w:val="100"/>
                      <w:kern w:val="0"/>
                      <w:position w:val="0"/>
                      <w:sz w:val="18"/>
                      <w:szCs w:val="18"/>
                      <w:highlight w:val="none"/>
                    </w:rPr>
                    <w:t>产生量</w:t>
                  </w:r>
                </w:p>
                <w:p w14:paraId="48795C80">
                  <w:pPr>
                    <w:pStyle w:val="100"/>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contextualSpacing/>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eastAsia="宋体" w:cs="Times New Roman"/>
                      <w:color w:val="auto"/>
                      <w:spacing w:val="0"/>
                      <w:w w:val="100"/>
                      <w:kern w:val="0"/>
                      <w:position w:val="0"/>
                      <w:sz w:val="18"/>
                      <w:szCs w:val="18"/>
                      <w:highlight w:val="none"/>
                    </w:rPr>
                    <w:t>t/a</w:t>
                  </w:r>
                </w:p>
              </w:tc>
              <w:tc>
                <w:tcPr>
                  <w:tcW w:w="531" w:type="dxa"/>
                  <w:noWrap w:val="0"/>
                  <w:vAlign w:val="center"/>
                </w:tcPr>
                <w:p w14:paraId="38804BB0">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eastAsia="宋体" w:cs="Times New Roman"/>
                      <w:color w:val="auto"/>
                      <w:spacing w:val="0"/>
                      <w:w w:val="100"/>
                      <w:kern w:val="0"/>
                      <w:position w:val="0"/>
                      <w:sz w:val="18"/>
                      <w:szCs w:val="18"/>
                      <w:highlight w:val="none"/>
                    </w:rPr>
                    <w:t>工艺</w:t>
                  </w:r>
                </w:p>
              </w:tc>
              <w:tc>
                <w:tcPr>
                  <w:tcW w:w="460" w:type="dxa"/>
                  <w:noWrap w:val="0"/>
                  <w:vAlign w:val="center"/>
                </w:tcPr>
                <w:p w14:paraId="62BC396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eastAsia="宋体" w:cs="Times New Roman"/>
                      <w:color w:val="auto"/>
                      <w:spacing w:val="0"/>
                      <w:w w:val="100"/>
                      <w:kern w:val="0"/>
                      <w:position w:val="0"/>
                      <w:sz w:val="18"/>
                      <w:szCs w:val="18"/>
                      <w:highlight w:val="none"/>
                    </w:rPr>
                    <w:t>效率</w:t>
                  </w:r>
                </w:p>
              </w:tc>
              <w:tc>
                <w:tcPr>
                  <w:tcW w:w="590" w:type="dxa"/>
                  <w:noWrap w:val="0"/>
                  <w:vAlign w:val="center"/>
                </w:tcPr>
                <w:p w14:paraId="3F0AB2D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eastAsia="宋体" w:cs="Times New Roman"/>
                      <w:color w:val="auto"/>
                      <w:spacing w:val="0"/>
                      <w:w w:val="100"/>
                      <w:kern w:val="0"/>
                      <w:position w:val="0"/>
                      <w:sz w:val="18"/>
                      <w:szCs w:val="18"/>
                      <w:highlight w:val="none"/>
                    </w:rPr>
                    <w:t>核算方法</w:t>
                  </w:r>
                </w:p>
              </w:tc>
              <w:tc>
                <w:tcPr>
                  <w:tcW w:w="646" w:type="dxa"/>
                  <w:noWrap w:val="0"/>
                  <w:vAlign w:val="center"/>
                </w:tcPr>
                <w:p w14:paraId="1528A420">
                  <w:pPr>
                    <w:pStyle w:val="100"/>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contextualSpacing/>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eastAsia="宋体" w:cs="Times New Roman"/>
                      <w:color w:val="auto"/>
                      <w:spacing w:val="0"/>
                      <w:w w:val="100"/>
                      <w:kern w:val="0"/>
                      <w:position w:val="0"/>
                      <w:sz w:val="18"/>
                      <w:szCs w:val="18"/>
                      <w:highlight w:val="none"/>
                    </w:rPr>
                    <w:t>排放浓度mg/L</w:t>
                  </w:r>
                </w:p>
              </w:tc>
              <w:tc>
                <w:tcPr>
                  <w:tcW w:w="796" w:type="dxa"/>
                  <w:noWrap w:val="0"/>
                  <w:vAlign w:val="center"/>
                </w:tcPr>
                <w:p w14:paraId="15837BF1">
                  <w:pPr>
                    <w:pStyle w:val="100"/>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contextualSpacing/>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eastAsia="宋体" w:cs="Times New Roman"/>
                      <w:color w:val="auto"/>
                      <w:spacing w:val="0"/>
                      <w:w w:val="100"/>
                      <w:kern w:val="0"/>
                      <w:position w:val="0"/>
                      <w:sz w:val="18"/>
                      <w:szCs w:val="18"/>
                      <w:highlight w:val="none"/>
                    </w:rPr>
                    <w:t>排放量t/a</w:t>
                  </w:r>
                </w:p>
              </w:tc>
              <w:tc>
                <w:tcPr>
                  <w:tcW w:w="456" w:type="dxa"/>
                  <w:vMerge w:val="continue"/>
                  <w:noWrap w:val="0"/>
                  <w:vAlign w:val="center"/>
                </w:tcPr>
                <w:p w14:paraId="1B1ACF90">
                  <w:pPr>
                    <w:pStyle w:val="100"/>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contextualSpacing/>
                    <w:outlineLvl w:val="9"/>
                    <w:rPr>
                      <w:rFonts w:hint="default" w:ascii="Times New Roman" w:hAnsi="Times New Roman" w:eastAsia="宋体" w:cs="Times New Roman"/>
                      <w:color w:val="auto"/>
                      <w:spacing w:val="0"/>
                      <w:w w:val="100"/>
                      <w:kern w:val="0"/>
                      <w:position w:val="0"/>
                      <w:sz w:val="18"/>
                      <w:szCs w:val="18"/>
                      <w:highlight w:val="none"/>
                    </w:rPr>
                  </w:pPr>
                </w:p>
              </w:tc>
            </w:tr>
            <w:tr w14:paraId="0E7A71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4" w:hRule="atLeast"/>
                <w:jc w:val="center"/>
              </w:trPr>
              <w:tc>
                <w:tcPr>
                  <w:tcW w:w="521" w:type="dxa"/>
                  <w:vMerge w:val="restart"/>
                  <w:noWrap w:val="0"/>
                  <w:vAlign w:val="center"/>
                </w:tcPr>
                <w:p w14:paraId="43860FE1">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eastAsia="zh-CN"/>
                    </w:rPr>
                  </w:pPr>
                  <w:r>
                    <w:rPr>
                      <w:rFonts w:hint="default" w:ascii="Times New Roman" w:hAnsi="Times New Roman" w:cs="Times New Roman"/>
                      <w:color w:val="auto"/>
                      <w:spacing w:val="0"/>
                      <w:w w:val="100"/>
                      <w:kern w:val="0"/>
                      <w:position w:val="0"/>
                      <w:sz w:val="18"/>
                      <w:szCs w:val="18"/>
                      <w:highlight w:val="none"/>
                      <w:lang w:val="en-US" w:eastAsia="zh-CN"/>
                    </w:rPr>
                    <w:t>污水处理站</w:t>
                  </w:r>
                </w:p>
              </w:tc>
              <w:tc>
                <w:tcPr>
                  <w:tcW w:w="442" w:type="dxa"/>
                  <w:vMerge w:val="restart"/>
                  <w:noWrap w:val="0"/>
                  <w:vAlign w:val="center"/>
                </w:tcPr>
                <w:p w14:paraId="2929DF3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cs="Times New Roman"/>
                      <w:color w:val="auto"/>
                      <w:spacing w:val="0"/>
                      <w:w w:val="100"/>
                      <w:kern w:val="0"/>
                      <w:position w:val="0"/>
                      <w:sz w:val="18"/>
                      <w:szCs w:val="18"/>
                      <w:highlight w:val="none"/>
                      <w:lang w:val="en-US" w:eastAsia="zh-CN"/>
                    </w:rPr>
                    <w:t>/</w:t>
                  </w:r>
                </w:p>
              </w:tc>
              <w:tc>
                <w:tcPr>
                  <w:tcW w:w="458" w:type="dxa"/>
                  <w:vMerge w:val="restart"/>
                  <w:noWrap w:val="0"/>
                  <w:vAlign w:val="center"/>
                </w:tcPr>
                <w:p w14:paraId="41FB5373">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浸出废水、精炼废水</w:t>
                  </w:r>
                </w:p>
              </w:tc>
              <w:tc>
                <w:tcPr>
                  <w:tcW w:w="712" w:type="dxa"/>
                  <w:noWrap w:val="0"/>
                  <w:vAlign w:val="center"/>
                </w:tcPr>
                <w:p w14:paraId="21B6CE26">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eastAsia="宋体" w:cs="Times New Roman"/>
                      <w:color w:val="auto"/>
                      <w:spacing w:val="0"/>
                      <w:w w:val="100"/>
                      <w:kern w:val="0"/>
                      <w:position w:val="0"/>
                      <w:sz w:val="18"/>
                      <w:szCs w:val="18"/>
                      <w:highlight w:val="none"/>
                    </w:rPr>
                    <w:t>COD</w:t>
                  </w:r>
                </w:p>
              </w:tc>
              <w:tc>
                <w:tcPr>
                  <w:tcW w:w="661" w:type="dxa"/>
                  <w:vMerge w:val="restart"/>
                  <w:noWrap w:val="0"/>
                  <w:vAlign w:val="center"/>
                </w:tcPr>
                <w:p w14:paraId="5F6D1E7D">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eastAsia="zh-CN"/>
                    </w:rPr>
                  </w:pPr>
                  <w:r>
                    <w:rPr>
                      <w:rFonts w:hint="default" w:ascii="Times New Roman" w:hAnsi="Times New Roman" w:cs="Times New Roman"/>
                      <w:color w:val="auto"/>
                      <w:spacing w:val="0"/>
                      <w:w w:val="100"/>
                      <w:kern w:val="0"/>
                      <w:position w:val="0"/>
                      <w:sz w:val="18"/>
                      <w:szCs w:val="18"/>
                      <w:highlight w:val="none"/>
                      <w:lang w:val="en-US" w:eastAsia="zh-CN"/>
                    </w:rPr>
                    <w:t>产污系数法</w:t>
                  </w:r>
                </w:p>
              </w:tc>
              <w:tc>
                <w:tcPr>
                  <w:tcW w:w="632" w:type="dxa"/>
                  <w:vMerge w:val="restart"/>
                  <w:noWrap w:val="0"/>
                  <w:vAlign w:val="center"/>
                </w:tcPr>
                <w:p w14:paraId="3E7F1D51">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cs="Times New Roman"/>
                      <w:color w:val="auto"/>
                      <w:spacing w:val="0"/>
                      <w:w w:val="100"/>
                      <w:kern w:val="0"/>
                      <w:position w:val="0"/>
                      <w:sz w:val="18"/>
                      <w:szCs w:val="18"/>
                      <w:highlight w:val="none"/>
                      <w:lang w:val="en-US" w:eastAsia="zh-CN"/>
                    </w:rPr>
                    <w:t>12720</w:t>
                  </w:r>
                </w:p>
              </w:tc>
              <w:tc>
                <w:tcPr>
                  <w:tcW w:w="660" w:type="dxa"/>
                  <w:noWrap w:val="0"/>
                  <w:vAlign w:val="center"/>
                </w:tcPr>
                <w:p w14:paraId="6FB217FE">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3000</w:t>
                  </w:r>
                </w:p>
              </w:tc>
              <w:tc>
                <w:tcPr>
                  <w:tcW w:w="810" w:type="dxa"/>
                  <w:noWrap w:val="0"/>
                  <w:vAlign w:val="center"/>
                </w:tcPr>
                <w:p w14:paraId="53A4925C">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38.16</w:t>
                  </w:r>
                </w:p>
              </w:tc>
              <w:tc>
                <w:tcPr>
                  <w:tcW w:w="531" w:type="dxa"/>
                  <w:vMerge w:val="restart"/>
                  <w:noWrap w:val="0"/>
                  <w:vAlign w:val="center"/>
                </w:tcPr>
                <w:p w14:paraId="6B4D81E5">
                  <w:pPr>
                    <w:pStyle w:val="100"/>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contextualSpacing/>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隔油沉淀池+调节池+高效溶气气浮+厌氧池+生物接触氧化池+清水池</w:t>
                  </w:r>
                </w:p>
              </w:tc>
              <w:tc>
                <w:tcPr>
                  <w:tcW w:w="460" w:type="dxa"/>
                  <w:noWrap w:val="0"/>
                  <w:vAlign w:val="center"/>
                </w:tcPr>
                <w:p w14:paraId="082DD873">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cs="Times New Roman"/>
                      <w:color w:val="auto"/>
                      <w:spacing w:val="0"/>
                      <w:w w:val="100"/>
                      <w:kern w:val="0"/>
                      <w:position w:val="0"/>
                      <w:sz w:val="18"/>
                      <w:szCs w:val="18"/>
                      <w:highlight w:val="none"/>
                      <w:lang w:val="en-US" w:eastAsia="zh-CN"/>
                    </w:rPr>
                    <w:t>90.5</w:t>
                  </w:r>
                </w:p>
              </w:tc>
              <w:tc>
                <w:tcPr>
                  <w:tcW w:w="590" w:type="dxa"/>
                  <w:vMerge w:val="restart"/>
                  <w:tcBorders>
                    <w:top w:val="single" w:color="auto" w:sz="2" w:space="0"/>
                  </w:tcBorders>
                  <w:noWrap w:val="0"/>
                  <w:vAlign w:val="center"/>
                </w:tcPr>
                <w:p w14:paraId="18C3CBE7">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jc w:val="center"/>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cs="Times New Roman"/>
                      <w:color w:val="auto"/>
                      <w:spacing w:val="0"/>
                      <w:w w:val="100"/>
                      <w:kern w:val="0"/>
                      <w:position w:val="0"/>
                      <w:sz w:val="18"/>
                      <w:szCs w:val="18"/>
                      <w:highlight w:val="none"/>
                      <w:lang w:val="en-US" w:eastAsia="zh-CN"/>
                    </w:rPr>
                    <w:t>产污系数法</w:t>
                  </w:r>
                </w:p>
              </w:tc>
              <w:tc>
                <w:tcPr>
                  <w:tcW w:w="646" w:type="dxa"/>
                  <w:noWrap w:val="0"/>
                  <w:vAlign w:val="center"/>
                </w:tcPr>
                <w:p w14:paraId="32CB128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284.31</w:t>
                  </w:r>
                </w:p>
              </w:tc>
              <w:tc>
                <w:tcPr>
                  <w:tcW w:w="796" w:type="dxa"/>
                  <w:noWrap w:val="0"/>
                  <w:vAlign w:val="center"/>
                </w:tcPr>
                <w:p w14:paraId="2A2E7286">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eastAsia="宋体" w:cs="Times New Roman"/>
                      <w:color w:val="auto"/>
                      <w:spacing w:val="0"/>
                      <w:w w:val="100"/>
                      <w:kern w:val="0"/>
                      <w:position w:val="0"/>
                      <w:sz w:val="18"/>
                      <w:szCs w:val="18"/>
                      <w:highlight w:val="none"/>
                      <w:lang w:val="en-US" w:eastAsia="zh-CN" w:bidi="ar-SA"/>
                    </w:rPr>
                    <w:t>3.616</w:t>
                  </w:r>
                </w:p>
              </w:tc>
              <w:tc>
                <w:tcPr>
                  <w:tcW w:w="456" w:type="dxa"/>
                  <w:vMerge w:val="restart"/>
                  <w:noWrap w:val="0"/>
                  <w:vAlign w:val="center"/>
                </w:tcPr>
                <w:p w14:paraId="1CB85069">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highlight w:val="none"/>
                      <w:lang w:val="en-US" w:eastAsia="zh-CN"/>
                    </w:rPr>
                  </w:pPr>
                  <w:r>
                    <w:rPr>
                      <w:rFonts w:hint="default" w:ascii="Times New Roman" w:hAnsi="Times New Roman" w:cs="Times New Roman"/>
                      <w:color w:val="auto"/>
                      <w:spacing w:val="0"/>
                      <w:w w:val="100"/>
                      <w:kern w:val="0"/>
                      <w:position w:val="0"/>
                      <w:highlight w:val="none"/>
                      <w:lang w:val="en-US" w:eastAsia="zh-CN"/>
                    </w:rPr>
                    <w:t>8400</w:t>
                  </w:r>
                </w:p>
              </w:tc>
            </w:tr>
            <w:tr w14:paraId="746E38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4" w:hRule="atLeast"/>
                <w:jc w:val="center"/>
              </w:trPr>
              <w:tc>
                <w:tcPr>
                  <w:tcW w:w="521" w:type="dxa"/>
                  <w:vMerge w:val="continue"/>
                  <w:noWrap w:val="0"/>
                  <w:vAlign w:val="center"/>
                </w:tcPr>
                <w:p w14:paraId="33923A55">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42" w:type="dxa"/>
                  <w:vMerge w:val="continue"/>
                  <w:noWrap w:val="0"/>
                  <w:vAlign w:val="center"/>
                </w:tcPr>
                <w:p w14:paraId="01458071">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58" w:type="dxa"/>
                  <w:vMerge w:val="continue"/>
                  <w:noWrap w:val="0"/>
                  <w:vAlign w:val="center"/>
                </w:tcPr>
                <w:p w14:paraId="567624B4">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712" w:type="dxa"/>
                  <w:noWrap w:val="0"/>
                  <w:vAlign w:val="center"/>
                </w:tcPr>
                <w:p w14:paraId="7E259444">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BOD</w:t>
                  </w:r>
                  <w:r>
                    <w:rPr>
                      <w:rFonts w:hint="default" w:ascii="Times New Roman" w:hAnsi="Times New Roman" w:eastAsia="宋体" w:cs="Times New Roman"/>
                      <w:color w:val="auto"/>
                      <w:spacing w:val="0"/>
                      <w:w w:val="100"/>
                      <w:kern w:val="0"/>
                      <w:position w:val="0"/>
                      <w:sz w:val="18"/>
                      <w:szCs w:val="18"/>
                      <w:highlight w:val="none"/>
                      <w:vertAlign w:val="subscript"/>
                      <w:lang w:val="en-US" w:eastAsia="zh-CN"/>
                    </w:rPr>
                    <w:t>5</w:t>
                  </w:r>
                </w:p>
              </w:tc>
              <w:tc>
                <w:tcPr>
                  <w:tcW w:w="661" w:type="dxa"/>
                  <w:vMerge w:val="continue"/>
                  <w:noWrap w:val="0"/>
                  <w:vAlign w:val="center"/>
                </w:tcPr>
                <w:p w14:paraId="15A46423">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32" w:type="dxa"/>
                  <w:vMerge w:val="continue"/>
                  <w:noWrap w:val="0"/>
                  <w:vAlign w:val="center"/>
                </w:tcPr>
                <w:p w14:paraId="07340BD9">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60" w:type="dxa"/>
                  <w:noWrap w:val="0"/>
                  <w:vAlign w:val="center"/>
                </w:tcPr>
                <w:p w14:paraId="2568903D">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1000</w:t>
                  </w:r>
                </w:p>
              </w:tc>
              <w:tc>
                <w:tcPr>
                  <w:tcW w:w="810" w:type="dxa"/>
                  <w:noWrap w:val="0"/>
                  <w:vAlign w:val="center"/>
                </w:tcPr>
                <w:p w14:paraId="76E7A82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12.72</w:t>
                  </w:r>
                </w:p>
              </w:tc>
              <w:tc>
                <w:tcPr>
                  <w:tcW w:w="531" w:type="dxa"/>
                  <w:vMerge w:val="continue"/>
                  <w:noWrap w:val="0"/>
                  <w:vAlign w:val="center"/>
                </w:tcPr>
                <w:p w14:paraId="1765EBF0">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60" w:type="dxa"/>
                  <w:noWrap w:val="0"/>
                  <w:vAlign w:val="center"/>
                </w:tcPr>
                <w:p w14:paraId="42EE2017">
                  <w:pPr>
                    <w:pStyle w:val="101"/>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firstLine="0" w:firstLineChars="0"/>
                    <w:contextualSpacing/>
                    <w:jc w:val="center"/>
                    <w:outlineLvl w:val="9"/>
                    <w:rPr>
                      <w:rFonts w:hint="default" w:ascii="Times New Roman" w:hAnsi="Times New Roman" w:eastAsia="宋体" w:cs="Times New Roman"/>
                      <w:bCs/>
                      <w:color w:val="auto"/>
                      <w:spacing w:val="0"/>
                      <w:w w:val="100"/>
                      <w:kern w:val="0"/>
                      <w:position w:val="0"/>
                      <w:sz w:val="18"/>
                      <w:szCs w:val="18"/>
                      <w:highlight w:val="none"/>
                      <w:lang w:val="en-US" w:eastAsia="zh-CN"/>
                    </w:rPr>
                  </w:pPr>
                  <w:r>
                    <w:rPr>
                      <w:rFonts w:hint="default" w:ascii="Times New Roman" w:hAnsi="Times New Roman" w:cs="Times New Roman"/>
                      <w:bCs/>
                      <w:color w:val="auto"/>
                      <w:spacing w:val="0"/>
                      <w:w w:val="100"/>
                      <w:kern w:val="0"/>
                      <w:position w:val="0"/>
                      <w:sz w:val="18"/>
                      <w:szCs w:val="18"/>
                      <w:highlight w:val="none"/>
                      <w:lang w:val="en-US" w:eastAsia="zh-CN"/>
                    </w:rPr>
                    <w:t>91.4</w:t>
                  </w:r>
                </w:p>
              </w:tc>
              <w:tc>
                <w:tcPr>
                  <w:tcW w:w="590" w:type="dxa"/>
                  <w:vMerge w:val="continue"/>
                  <w:noWrap w:val="0"/>
                  <w:vAlign w:val="center"/>
                </w:tcPr>
                <w:p w14:paraId="39C59B44">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46" w:type="dxa"/>
                  <w:noWrap w:val="0"/>
                  <w:vAlign w:val="center"/>
                </w:tcPr>
                <w:p w14:paraId="578705EC">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85.759</w:t>
                  </w:r>
                </w:p>
              </w:tc>
              <w:tc>
                <w:tcPr>
                  <w:tcW w:w="796" w:type="dxa"/>
                  <w:noWrap w:val="0"/>
                  <w:vAlign w:val="center"/>
                </w:tcPr>
                <w:p w14:paraId="7ABB382F">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eastAsia="宋体" w:cs="Times New Roman"/>
                      <w:color w:val="auto"/>
                      <w:spacing w:val="0"/>
                      <w:w w:val="100"/>
                      <w:kern w:val="0"/>
                      <w:position w:val="0"/>
                      <w:sz w:val="18"/>
                      <w:szCs w:val="18"/>
                      <w:highlight w:val="none"/>
                      <w:lang w:val="en-US" w:eastAsia="zh-CN" w:bidi="ar-SA"/>
                    </w:rPr>
                    <w:t>1.091</w:t>
                  </w:r>
                </w:p>
              </w:tc>
              <w:tc>
                <w:tcPr>
                  <w:tcW w:w="456" w:type="dxa"/>
                  <w:vMerge w:val="continue"/>
                  <w:noWrap w:val="0"/>
                  <w:vAlign w:val="center"/>
                </w:tcPr>
                <w:p w14:paraId="0443B327">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r>
            <w:tr w14:paraId="5520FC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4" w:hRule="atLeast"/>
                <w:jc w:val="center"/>
              </w:trPr>
              <w:tc>
                <w:tcPr>
                  <w:tcW w:w="521" w:type="dxa"/>
                  <w:vMerge w:val="continue"/>
                  <w:noWrap w:val="0"/>
                  <w:vAlign w:val="center"/>
                </w:tcPr>
                <w:p w14:paraId="23684573">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42" w:type="dxa"/>
                  <w:vMerge w:val="continue"/>
                  <w:noWrap w:val="0"/>
                  <w:vAlign w:val="center"/>
                </w:tcPr>
                <w:p w14:paraId="76CD68D0">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58" w:type="dxa"/>
                  <w:vMerge w:val="continue"/>
                  <w:noWrap w:val="0"/>
                  <w:vAlign w:val="center"/>
                </w:tcPr>
                <w:p w14:paraId="7ABBC182">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712" w:type="dxa"/>
                  <w:noWrap w:val="0"/>
                  <w:vAlign w:val="center"/>
                </w:tcPr>
                <w:p w14:paraId="4E784B74">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eastAsia="宋体" w:cs="Times New Roman"/>
                      <w:color w:val="auto"/>
                      <w:spacing w:val="0"/>
                      <w:w w:val="100"/>
                      <w:kern w:val="0"/>
                      <w:position w:val="0"/>
                      <w:sz w:val="18"/>
                      <w:szCs w:val="18"/>
                      <w:highlight w:val="none"/>
                    </w:rPr>
                    <w:t>氨氮</w:t>
                  </w:r>
                </w:p>
              </w:tc>
              <w:tc>
                <w:tcPr>
                  <w:tcW w:w="661" w:type="dxa"/>
                  <w:vMerge w:val="continue"/>
                  <w:noWrap w:val="0"/>
                  <w:vAlign w:val="center"/>
                </w:tcPr>
                <w:p w14:paraId="5A6F8D2D">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32" w:type="dxa"/>
                  <w:vMerge w:val="continue"/>
                  <w:noWrap w:val="0"/>
                  <w:vAlign w:val="center"/>
                </w:tcPr>
                <w:p w14:paraId="0104CF77">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60" w:type="dxa"/>
                  <w:noWrap w:val="0"/>
                  <w:vAlign w:val="center"/>
                </w:tcPr>
                <w:p w14:paraId="37A88E0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30</w:t>
                  </w:r>
                </w:p>
              </w:tc>
              <w:tc>
                <w:tcPr>
                  <w:tcW w:w="810" w:type="dxa"/>
                  <w:noWrap w:val="0"/>
                  <w:vAlign w:val="center"/>
                </w:tcPr>
                <w:p w14:paraId="7A6FEC22">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0.382</w:t>
                  </w:r>
                </w:p>
              </w:tc>
              <w:tc>
                <w:tcPr>
                  <w:tcW w:w="531" w:type="dxa"/>
                  <w:vMerge w:val="continue"/>
                  <w:noWrap w:val="0"/>
                  <w:vAlign w:val="center"/>
                </w:tcPr>
                <w:p w14:paraId="129B342B">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60" w:type="dxa"/>
                  <w:noWrap w:val="0"/>
                  <w:vAlign w:val="center"/>
                </w:tcPr>
                <w:p w14:paraId="206599A7">
                  <w:pPr>
                    <w:pStyle w:val="101"/>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firstLine="0" w:firstLineChars="0"/>
                    <w:contextualSpacing/>
                    <w:jc w:val="center"/>
                    <w:outlineLvl w:val="9"/>
                    <w:rPr>
                      <w:rFonts w:hint="default" w:ascii="Times New Roman" w:hAnsi="Times New Roman" w:eastAsia="宋体" w:cs="Times New Roman"/>
                      <w:bCs/>
                      <w:color w:val="auto"/>
                      <w:spacing w:val="0"/>
                      <w:w w:val="100"/>
                      <w:kern w:val="0"/>
                      <w:position w:val="0"/>
                      <w:sz w:val="18"/>
                      <w:szCs w:val="18"/>
                      <w:highlight w:val="none"/>
                      <w:lang w:val="en-US" w:eastAsia="zh-CN"/>
                    </w:rPr>
                  </w:pPr>
                  <w:r>
                    <w:rPr>
                      <w:rFonts w:hint="default" w:ascii="Times New Roman" w:hAnsi="Times New Roman" w:cs="Times New Roman"/>
                      <w:bCs/>
                      <w:color w:val="auto"/>
                      <w:spacing w:val="0"/>
                      <w:w w:val="100"/>
                      <w:kern w:val="0"/>
                      <w:position w:val="0"/>
                      <w:sz w:val="18"/>
                      <w:szCs w:val="18"/>
                      <w:highlight w:val="none"/>
                      <w:lang w:val="en-US" w:eastAsia="zh-CN"/>
                    </w:rPr>
                    <w:t>45.3</w:t>
                  </w:r>
                </w:p>
              </w:tc>
              <w:tc>
                <w:tcPr>
                  <w:tcW w:w="590" w:type="dxa"/>
                  <w:vMerge w:val="continue"/>
                  <w:noWrap w:val="0"/>
                  <w:vAlign w:val="center"/>
                </w:tcPr>
                <w:p w14:paraId="4429C4FA">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46" w:type="dxa"/>
                  <w:noWrap w:val="0"/>
                  <w:vAlign w:val="center"/>
                </w:tcPr>
                <w:p w14:paraId="2D4019F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16.402</w:t>
                  </w:r>
                </w:p>
              </w:tc>
              <w:tc>
                <w:tcPr>
                  <w:tcW w:w="796" w:type="dxa"/>
                  <w:noWrap w:val="0"/>
                  <w:vAlign w:val="center"/>
                </w:tcPr>
                <w:p w14:paraId="03DA7E7D">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eastAsia="宋体" w:cs="Times New Roman"/>
                      <w:color w:val="auto"/>
                      <w:spacing w:val="0"/>
                      <w:w w:val="100"/>
                      <w:kern w:val="0"/>
                      <w:position w:val="0"/>
                      <w:sz w:val="18"/>
                      <w:szCs w:val="18"/>
                      <w:highlight w:val="none"/>
                      <w:lang w:val="en-US" w:eastAsia="zh-CN" w:bidi="ar-SA"/>
                    </w:rPr>
                    <w:t>0.209</w:t>
                  </w:r>
                </w:p>
              </w:tc>
              <w:tc>
                <w:tcPr>
                  <w:tcW w:w="456" w:type="dxa"/>
                  <w:vMerge w:val="continue"/>
                  <w:noWrap w:val="0"/>
                  <w:vAlign w:val="center"/>
                </w:tcPr>
                <w:p w14:paraId="00C4E1C5">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r>
            <w:tr w14:paraId="157CD7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4" w:hRule="atLeast"/>
                <w:jc w:val="center"/>
              </w:trPr>
              <w:tc>
                <w:tcPr>
                  <w:tcW w:w="521" w:type="dxa"/>
                  <w:vMerge w:val="continue"/>
                  <w:noWrap w:val="0"/>
                  <w:vAlign w:val="center"/>
                </w:tcPr>
                <w:p w14:paraId="0FA58A94">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42" w:type="dxa"/>
                  <w:vMerge w:val="continue"/>
                  <w:noWrap w:val="0"/>
                  <w:vAlign w:val="center"/>
                </w:tcPr>
                <w:p w14:paraId="3F7C684A">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58" w:type="dxa"/>
                  <w:vMerge w:val="continue"/>
                  <w:noWrap w:val="0"/>
                  <w:vAlign w:val="center"/>
                </w:tcPr>
                <w:p w14:paraId="334C734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712" w:type="dxa"/>
                  <w:noWrap w:val="0"/>
                  <w:vAlign w:val="center"/>
                </w:tcPr>
                <w:p w14:paraId="080E1645">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eastAsia="宋体" w:cs="Times New Roman"/>
                      <w:color w:val="auto"/>
                      <w:spacing w:val="0"/>
                      <w:w w:val="100"/>
                      <w:kern w:val="0"/>
                      <w:position w:val="0"/>
                      <w:sz w:val="18"/>
                      <w:szCs w:val="18"/>
                      <w:highlight w:val="none"/>
                    </w:rPr>
                    <w:t>SS</w:t>
                  </w:r>
                </w:p>
              </w:tc>
              <w:tc>
                <w:tcPr>
                  <w:tcW w:w="661" w:type="dxa"/>
                  <w:vMerge w:val="continue"/>
                  <w:noWrap w:val="0"/>
                  <w:vAlign w:val="center"/>
                </w:tcPr>
                <w:p w14:paraId="1913661D">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32" w:type="dxa"/>
                  <w:vMerge w:val="continue"/>
                  <w:noWrap w:val="0"/>
                  <w:vAlign w:val="center"/>
                </w:tcPr>
                <w:p w14:paraId="1C6F84B6">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60" w:type="dxa"/>
                  <w:noWrap w:val="0"/>
                  <w:vAlign w:val="center"/>
                </w:tcPr>
                <w:p w14:paraId="630DF26C">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500</w:t>
                  </w:r>
                </w:p>
              </w:tc>
              <w:tc>
                <w:tcPr>
                  <w:tcW w:w="810" w:type="dxa"/>
                  <w:noWrap w:val="0"/>
                  <w:vAlign w:val="center"/>
                </w:tcPr>
                <w:p w14:paraId="3154CEDB">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6.36</w:t>
                  </w:r>
                </w:p>
              </w:tc>
              <w:tc>
                <w:tcPr>
                  <w:tcW w:w="531" w:type="dxa"/>
                  <w:vMerge w:val="continue"/>
                  <w:noWrap w:val="0"/>
                  <w:vAlign w:val="center"/>
                </w:tcPr>
                <w:p w14:paraId="065C3012">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60" w:type="dxa"/>
                  <w:noWrap w:val="0"/>
                  <w:vAlign w:val="center"/>
                </w:tcPr>
                <w:p w14:paraId="3A38765F">
                  <w:pPr>
                    <w:pStyle w:val="101"/>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firstLine="0" w:firstLineChars="0"/>
                    <w:contextualSpacing/>
                    <w:jc w:val="center"/>
                    <w:outlineLvl w:val="9"/>
                    <w:rPr>
                      <w:rFonts w:hint="default" w:ascii="Times New Roman" w:hAnsi="Times New Roman" w:eastAsia="宋体" w:cs="Times New Roman"/>
                      <w:bCs/>
                      <w:color w:val="auto"/>
                      <w:spacing w:val="0"/>
                      <w:w w:val="100"/>
                      <w:kern w:val="0"/>
                      <w:position w:val="0"/>
                      <w:sz w:val="18"/>
                      <w:szCs w:val="18"/>
                      <w:highlight w:val="none"/>
                      <w:lang w:val="en-US" w:eastAsia="zh-CN"/>
                    </w:rPr>
                  </w:pPr>
                  <w:r>
                    <w:rPr>
                      <w:rFonts w:hint="default" w:ascii="Times New Roman" w:hAnsi="Times New Roman" w:cs="Times New Roman"/>
                      <w:bCs/>
                      <w:color w:val="auto"/>
                      <w:spacing w:val="0"/>
                      <w:w w:val="100"/>
                      <w:kern w:val="0"/>
                      <w:position w:val="0"/>
                      <w:sz w:val="18"/>
                      <w:szCs w:val="18"/>
                      <w:highlight w:val="none"/>
                      <w:lang w:val="en-US" w:eastAsia="zh-CN"/>
                    </w:rPr>
                    <w:t>88.5</w:t>
                  </w:r>
                </w:p>
              </w:tc>
              <w:tc>
                <w:tcPr>
                  <w:tcW w:w="590" w:type="dxa"/>
                  <w:vMerge w:val="continue"/>
                  <w:noWrap w:val="0"/>
                  <w:vAlign w:val="center"/>
                </w:tcPr>
                <w:p w14:paraId="0E43608C">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46" w:type="dxa"/>
                  <w:noWrap w:val="0"/>
                  <w:vAlign w:val="center"/>
                </w:tcPr>
                <w:p w14:paraId="28886023">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57.269</w:t>
                  </w:r>
                </w:p>
              </w:tc>
              <w:tc>
                <w:tcPr>
                  <w:tcW w:w="796" w:type="dxa"/>
                  <w:noWrap w:val="0"/>
                  <w:vAlign w:val="center"/>
                </w:tcPr>
                <w:p w14:paraId="251129D6">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eastAsia="宋体" w:cs="Times New Roman"/>
                      <w:color w:val="auto"/>
                      <w:spacing w:val="0"/>
                      <w:w w:val="100"/>
                      <w:kern w:val="0"/>
                      <w:position w:val="0"/>
                      <w:sz w:val="18"/>
                      <w:szCs w:val="18"/>
                      <w:highlight w:val="none"/>
                      <w:lang w:val="en-US" w:eastAsia="zh-CN" w:bidi="ar-SA"/>
                    </w:rPr>
                    <w:t>0.728</w:t>
                  </w:r>
                </w:p>
              </w:tc>
              <w:tc>
                <w:tcPr>
                  <w:tcW w:w="456" w:type="dxa"/>
                  <w:vMerge w:val="continue"/>
                  <w:noWrap w:val="0"/>
                  <w:vAlign w:val="center"/>
                </w:tcPr>
                <w:p w14:paraId="3766EFA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r>
            <w:tr w14:paraId="24D309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4" w:hRule="atLeast"/>
                <w:jc w:val="center"/>
              </w:trPr>
              <w:tc>
                <w:tcPr>
                  <w:tcW w:w="521" w:type="dxa"/>
                  <w:vMerge w:val="continue"/>
                  <w:noWrap w:val="0"/>
                  <w:vAlign w:val="center"/>
                </w:tcPr>
                <w:p w14:paraId="3D8E58D9">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42" w:type="dxa"/>
                  <w:vMerge w:val="continue"/>
                  <w:noWrap w:val="0"/>
                  <w:vAlign w:val="center"/>
                </w:tcPr>
                <w:p w14:paraId="13BA374B">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58" w:type="dxa"/>
                  <w:vMerge w:val="continue"/>
                  <w:noWrap w:val="0"/>
                  <w:vAlign w:val="center"/>
                </w:tcPr>
                <w:p w14:paraId="725EF7B7">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712" w:type="dxa"/>
                  <w:noWrap w:val="0"/>
                  <w:vAlign w:val="center"/>
                </w:tcPr>
                <w:p w14:paraId="1092FCC7">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cs="Times New Roman"/>
                      <w:color w:val="auto"/>
                      <w:spacing w:val="0"/>
                      <w:w w:val="100"/>
                      <w:kern w:val="0"/>
                      <w:position w:val="0"/>
                      <w:sz w:val="18"/>
                      <w:szCs w:val="18"/>
                      <w:highlight w:val="none"/>
                      <w:lang w:val="en-US" w:eastAsia="zh-CN"/>
                    </w:rPr>
                    <w:t>动植物油</w:t>
                  </w:r>
                </w:p>
              </w:tc>
              <w:tc>
                <w:tcPr>
                  <w:tcW w:w="661" w:type="dxa"/>
                  <w:vMerge w:val="continue"/>
                  <w:noWrap w:val="0"/>
                  <w:vAlign w:val="center"/>
                </w:tcPr>
                <w:p w14:paraId="512A1900">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32" w:type="dxa"/>
                  <w:vMerge w:val="continue"/>
                  <w:noWrap w:val="0"/>
                  <w:vAlign w:val="center"/>
                </w:tcPr>
                <w:p w14:paraId="47DBEEF0">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60" w:type="dxa"/>
                  <w:noWrap w:val="0"/>
                  <w:vAlign w:val="center"/>
                </w:tcPr>
                <w:p w14:paraId="239D12C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100</w:t>
                  </w:r>
                </w:p>
              </w:tc>
              <w:tc>
                <w:tcPr>
                  <w:tcW w:w="810" w:type="dxa"/>
                  <w:noWrap w:val="0"/>
                  <w:vAlign w:val="center"/>
                </w:tcPr>
                <w:p w14:paraId="6D4404D5">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1.272</w:t>
                  </w:r>
                </w:p>
              </w:tc>
              <w:tc>
                <w:tcPr>
                  <w:tcW w:w="531" w:type="dxa"/>
                  <w:vMerge w:val="continue"/>
                  <w:noWrap w:val="0"/>
                  <w:vAlign w:val="center"/>
                </w:tcPr>
                <w:p w14:paraId="3CB9C321">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60" w:type="dxa"/>
                  <w:noWrap w:val="0"/>
                  <w:vAlign w:val="center"/>
                </w:tcPr>
                <w:p w14:paraId="3DA4EF1F">
                  <w:pPr>
                    <w:pStyle w:val="101"/>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firstLine="0" w:firstLineChars="0"/>
                    <w:contextualSpacing/>
                    <w:jc w:val="center"/>
                    <w:outlineLvl w:val="9"/>
                    <w:rPr>
                      <w:rFonts w:hint="default" w:ascii="Times New Roman" w:hAnsi="Times New Roman" w:eastAsia="宋体" w:cs="Times New Roman"/>
                      <w:bCs/>
                      <w:color w:val="auto"/>
                      <w:spacing w:val="0"/>
                      <w:w w:val="100"/>
                      <w:kern w:val="0"/>
                      <w:position w:val="0"/>
                      <w:sz w:val="18"/>
                      <w:szCs w:val="18"/>
                      <w:highlight w:val="none"/>
                      <w:lang w:val="en-US" w:eastAsia="zh-CN"/>
                    </w:rPr>
                  </w:pPr>
                  <w:r>
                    <w:rPr>
                      <w:rFonts w:hint="default" w:ascii="Times New Roman" w:hAnsi="Times New Roman" w:cs="Times New Roman"/>
                      <w:bCs/>
                      <w:color w:val="auto"/>
                      <w:spacing w:val="0"/>
                      <w:w w:val="100"/>
                      <w:kern w:val="0"/>
                      <w:position w:val="0"/>
                      <w:sz w:val="18"/>
                      <w:szCs w:val="18"/>
                      <w:highlight w:val="none"/>
                      <w:lang w:val="en-US" w:eastAsia="zh-CN"/>
                    </w:rPr>
                    <w:t>90.0</w:t>
                  </w:r>
                </w:p>
              </w:tc>
              <w:tc>
                <w:tcPr>
                  <w:tcW w:w="590" w:type="dxa"/>
                  <w:vMerge w:val="continue"/>
                  <w:noWrap w:val="0"/>
                  <w:vAlign w:val="center"/>
                </w:tcPr>
                <w:p w14:paraId="0AA52443">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46" w:type="dxa"/>
                  <w:noWrap w:val="0"/>
                  <w:vAlign w:val="center"/>
                </w:tcPr>
                <w:p w14:paraId="753CA57D">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18"/>
                      <w:szCs w:val="18"/>
                      <w:highlight w:val="none"/>
                      <w:lang w:val="en-US" w:eastAsia="zh-CN"/>
                    </w:rPr>
                  </w:pPr>
                  <w:r>
                    <w:rPr>
                      <w:rFonts w:hint="default" w:ascii="Times New Roman" w:hAnsi="Times New Roman" w:eastAsia="宋体" w:cs="Times New Roman"/>
                      <w:bCs/>
                      <w:color w:val="auto"/>
                      <w:spacing w:val="0"/>
                      <w:w w:val="100"/>
                      <w:kern w:val="0"/>
                      <w:position w:val="0"/>
                      <w:sz w:val="18"/>
                      <w:szCs w:val="18"/>
                      <w:highlight w:val="none"/>
                      <w:lang w:val="en-US" w:eastAsia="zh-CN"/>
                    </w:rPr>
                    <w:t>10</w:t>
                  </w:r>
                </w:p>
              </w:tc>
              <w:tc>
                <w:tcPr>
                  <w:tcW w:w="796" w:type="dxa"/>
                  <w:noWrap w:val="0"/>
                  <w:vAlign w:val="center"/>
                </w:tcPr>
                <w:p w14:paraId="24FD562B">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18"/>
                      <w:szCs w:val="18"/>
                      <w:highlight w:val="none"/>
                      <w:lang w:val="en-US" w:eastAsia="zh-CN"/>
                    </w:rPr>
                  </w:pPr>
                  <w:r>
                    <w:rPr>
                      <w:rFonts w:hint="default" w:ascii="Times New Roman" w:hAnsi="Times New Roman" w:eastAsia="宋体" w:cs="Times New Roman"/>
                      <w:bCs/>
                      <w:color w:val="auto"/>
                      <w:spacing w:val="0"/>
                      <w:w w:val="100"/>
                      <w:kern w:val="0"/>
                      <w:position w:val="0"/>
                      <w:sz w:val="18"/>
                      <w:szCs w:val="18"/>
                      <w:highlight w:val="none"/>
                      <w:lang w:val="en-US" w:eastAsia="zh-CN"/>
                    </w:rPr>
                    <w:t>0.127</w:t>
                  </w:r>
                </w:p>
              </w:tc>
              <w:tc>
                <w:tcPr>
                  <w:tcW w:w="456" w:type="dxa"/>
                  <w:vMerge w:val="continue"/>
                  <w:noWrap w:val="0"/>
                  <w:vAlign w:val="center"/>
                </w:tcPr>
                <w:p w14:paraId="3D1D34B4">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r>
            <w:tr w14:paraId="2AF243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2" w:hRule="atLeast"/>
                <w:jc w:val="center"/>
              </w:trPr>
              <w:tc>
                <w:tcPr>
                  <w:tcW w:w="521" w:type="dxa"/>
                  <w:vMerge w:val="continue"/>
                  <w:noWrap w:val="0"/>
                  <w:vAlign w:val="center"/>
                </w:tcPr>
                <w:p w14:paraId="0C98416A">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42" w:type="dxa"/>
                  <w:vMerge w:val="continue"/>
                  <w:noWrap w:val="0"/>
                  <w:vAlign w:val="center"/>
                </w:tcPr>
                <w:p w14:paraId="344183D0">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58" w:type="dxa"/>
                  <w:vMerge w:val="continue"/>
                  <w:noWrap w:val="0"/>
                  <w:vAlign w:val="center"/>
                </w:tcPr>
                <w:p w14:paraId="5529661E">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712" w:type="dxa"/>
                  <w:noWrap w:val="0"/>
                  <w:vAlign w:val="center"/>
                </w:tcPr>
                <w:p w14:paraId="09A6A835">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cs="Times New Roman"/>
                      <w:color w:val="auto"/>
                      <w:spacing w:val="0"/>
                      <w:w w:val="100"/>
                      <w:kern w:val="0"/>
                      <w:position w:val="0"/>
                      <w:sz w:val="18"/>
                      <w:szCs w:val="18"/>
                      <w:highlight w:val="none"/>
                      <w:lang w:val="en-US" w:eastAsia="zh-CN"/>
                    </w:rPr>
                  </w:pPr>
                  <w:r>
                    <w:rPr>
                      <w:rFonts w:hint="default" w:ascii="Times New Roman" w:hAnsi="Times New Roman" w:cs="Times New Roman"/>
                      <w:color w:val="auto"/>
                      <w:spacing w:val="0"/>
                      <w:w w:val="100"/>
                      <w:kern w:val="0"/>
                      <w:position w:val="0"/>
                      <w:sz w:val="18"/>
                      <w:szCs w:val="18"/>
                      <w:highlight w:val="none"/>
                      <w:lang w:val="en-US" w:eastAsia="zh-CN"/>
                    </w:rPr>
                    <w:t>TP</w:t>
                  </w:r>
                </w:p>
              </w:tc>
              <w:tc>
                <w:tcPr>
                  <w:tcW w:w="661" w:type="dxa"/>
                  <w:vMerge w:val="continue"/>
                  <w:noWrap w:val="0"/>
                  <w:vAlign w:val="center"/>
                </w:tcPr>
                <w:p w14:paraId="28B37301">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32" w:type="dxa"/>
                  <w:vMerge w:val="continue"/>
                  <w:noWrap w:val="0"/>
                  <w:vAlign w:val="center"/>
                </w:tcPr>
                <w:p w14:paraId="5C715497">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60" w:type="dxa"/>
                  <w:noWrap w:val="0"/>
                  <w:vAlign w:val="center"/>
                </w:tcPr>
                <w:p w14:paraId="6AA2CCA9">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cs="Times New Roman"/>
                      <w:color w:val="auto"/>
                      <w:spacing w:val="0"/>
                      <w:w w:val="100"/>
                      <w:kern w:val="0"/>
                      <w:position w:val="0"/>
                      <w:sz w:val="18"/>
                      <w:szCs w:val="18"/>
                      <w:highlight w:val="none"/>
                      <w:lang w:val="en-US" w:eastAsia="zh-CN"/>
                    </w:rPr>
                  </w:pPr>
                  <w:r>
                    <w:rPr>
                      <w:rFonts w:hint="default" w:ascii="Times New Roman" w:hAnsi="Times New Roman" w:cs="Times New Roman"/>
                      <w:color w:val="auto"/>
                      <w:spacing w:val="0"/>
                      <w:w w:val="100"/>
                      <w:kern w:val="0"/>
                      <w:position w:val="0"/>
                      <w:sz w:val="18"/>
                      <w:szCs w:val="18"/>
                      <w:highlight w:val="none"/>
                      <w:lang w:val="en-US" w:eastAsia="zh-CN"/>
                    </w:rPr>
                    <w:t>25</w:t>
                  </w:r>
                </w:p>
              </w:tc>
              <w:tc>
                <w:tcPr>
                  <w:tcW w:w="810" w:type="dxa"/>
                  <w:noWrap w:val="0"/>
                  <w:vAlign w:val="center"/>
                </w:tcPr>
                <w:p w14:paraId="5B3B0FFB">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cs="Times New Roman"/>
                      <w:color w:val="auto"/>
                      <w:spacing w:val="0"/>
                      <w:w w:val="100"/>
                      <w:kern w:val="0"/>
                      <w:position w:val="0"/>
                      <w:sz w:val="18"/>
                      <w:szCs w:val="18"/>
                      <w:highlight w:val="none"/>
                      <w:lang w:val="en-US" w:eastAsia="zh-CN"/>
                    </w:rPr>
                  </w:pPr>
                  <w:r>
                    <w:rPr>
                      <w:rFonts w:hint="default" w:ascii="Times New Roman" w:hAnsi="Times New Roman" w:cs="Times New Roman"/>
                      <w:color w:val="auto"/>
                      <w:spacing w:val="0"/>
                      <w:w w:val="100"/>
                      <w:kern w:val="0"/>
                      <w:position w:val="0"/>
                      <w:sz w:val="18"/>
                      <w:szCs w:val="18"/>
                      <w:highlight w:val="none"/>
                      <w:lang w:val="en-US" w:eastAsia="zh-CN"/>
                    </w:rPr>
                    <w:t>0.191</w:t>
                  </w:r>
                </w:p>
              </w:tc>
              <w:tc>
                <w:tcPr>
                  <w:tcW w:w="531" w:type="dxa"/>
                  <w:vMerge w:val="continue"/>
                  <w:noWrap w:val="0"/>
                  <w:vAlign w:val="center"/>
                </w:tcPr>
                <w:p w14:paraId="239F0007">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60" w:type="dxa"/>
                  <w:noWrap w:val="0"/>
                  <w:vAlign w:val="center"/>
                </w:tcPr>
                <w:p w14:paraId="3FB3787E">
                  <w:pPr>
                    <w:pStyle w:val="101"/>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firstLine="0" w:firstLineChars="0"/>
                    <w:contextualSpacing/>
                    <w:jc w:val="center"/>
                    <w:outlineLvl w:val="9"/>
                    <w:rPr>
                      <w:rFonts w:hint="default" w:ascii="Times New Roman" w:hAnsi="Times New Roman" w:cs="Times New Roman"/>
                      <w:bCs/>
                      <w:color w:val="auto"/>
                      <w:spacing w:val="0"/>
                      <w:w w:val="100"/>
                      <w:kern w:val="0"/>
                      <w:position w:val="0"/>
                      <w:sz w:val="18"/>
                      <w:szCs w:val="18"/>
                      <w:highlight w:val="none"/>
                      <w:lang w:val="en-US" w:eastAsia="zh-CN"/>
                    </w:rPr>
                  </w:pPr>
                  <w:r>
                    <w:rPr>
                      <w:rFonts w:hint="default" w:ascii="Times New Roman" w:hAnsi="Times New Roman" w:cs="Times New Roman"/>
                      <w:bCs/>
                      <w:color w:val="auto"/>
                      <w:spacing w:val="0"/>
                      <w:w w:val="100"/>
                      <w:kern w:val="0"/>
                      <w:position w:val="0"/>
                      <w:sz w:val="18"/>
                      <w:szCs w:val="18"/>
                      <w:highlight w:val="none"/>
                      <w:lang w:val="en-US" w:eastAsia="zh-CN"/>
                    </w:rPr>
                    <w:t>82.0</w:t>
                  </w:r>
                </w:p>
              </w:tc>
              <w:tc>
                <w:tcPr>
                  <w:tcW w:w="590" w:type="dxa"/>
                  <w:vMerge w:val="continue"/>
                  <w:noWrap w:val="0"/>
                  <w:vAlign w:val="center"/>
                </w:tcPr>
                <w:p w14:paraId="1A8D9F69">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46" w:type="dxa"/>
                  <w:noWrap w:val="0"/>
                  <w:vAlign w:val="center"/>
                </w:tcPr>
                <w:p w14:paraId="0D63E58E">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cs="Times New Roman"/>
                      <w:bCs/>
                      <w:color w:val="auto"/>
                      <w:spacing w:val="0"/>
                      <w:w w:val="100"/>
                      <w:kern w:val="0"/>
                      <w:position w:val="0"/>
                      <w:sz w:val="18"/>
                      <w:szCs w:val="18"/>
                      <w:highlight w:val="none"/>
                      <w:lang w:val="en-US" w:eastAsia="zh-CN"/>
                    </w:rPr>
                  </w:pPr>
                  <w:r>
                    <w:rPr>
                      <w:rFonts w:hint="default" w:ascii="Times New Roman" w:hAnsi="Times New Roman" w:cs="Times New Roman"/>
                      <w:bCs/>
                      <w:color w:val="auto"/>
                      <w:spacing w:val="0"/>
                      <w:w w:val="100"/>
                      <w:kern w:val="0"/>
                      <w:position w:val="0"/>
                      <w:sz w:val="18"/>
                      <w:szCs w:val="18"/>
                      <w:highlight w:val="none"/>
                      <w:lang w:val="en-US" w:eastAsia="zh-CN"/>
                    </w:rPr>
                    <w:t>4.5</w:t>
                  </w:r>
                </w:p>
              </w:tc>
              <w:tc>
                <w:tcPr>
                  <w:tcW w:w="796" w:type="dxa"/>
                  <w:noWrap w:val="0"/>
                  <w:vAlign w:val="center"/>
                </w:tcPr>
                <w:p w14:paraId="5F195E4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cs="Times New Roman"/>
                      <w:bCs/>
                      <w:color w:val="auto"/>
                      <w:spacing w:val="0"/>
                      <w:w w:val="100"/>
                      <w:kern w:val="0"/>
                      <w:position w:val="0"/>
                      <w:sz w:val="18"/>
                      <w:szCs w:val="18"/>
                      <w:highlight w:val="none"/>
                      <w:lang w:val="en-US" w:eastAsia="zh-CN"/>
                    </w:rPr>
                  </w:pPr>
                  <w:r>
                    <w:rPr>
                      <w:rFonts w:hint="default" w:ascii="Times New Roman" w:hAnsi="Times New Roman" w:cs="Times New Roman"/>
                      <w:bCs/>
                      <w:color w:val="auto"/>
                      <w:spacing w:val="0"/>
                      <w:w w:val="100"/>
                      <w:kern w:val="0"/>
                      <w:position w:val="0"/>
                      <w:sz w:val="18"/>
                      <w:szCs w:val="18"/>
                      <w:highlight w:val="none"/>
                      <w:lang w:val="en-US" w:eastAsia="zh-CN"/>
                    </w:rPr>
                    <w:t>0.034</w:t>
                  </w:r>
                </w:p>
              </w:tc>
              <w:tc>
                <w:tcPr>
                  <w:tcW w:w="456" w:type="dxa"/>
                  <w:vMerge w:val="continue"/>
                  <w:noWrap w:val="0"/>
                  <w:vAlign w:val="center"/>
                </w:tcPr>
                <w:p w14:paraId="61A4AD13">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r>
            <w:tr w14:paraId="1C3417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521" w:type="dxa"/>
                  <w:vMerge w:val="restart"/>
                  <w:noWrap w:val="0"/>
                  <w:vAlign w:val="center"/>
                </w:tcPr>
                <w:p w14:paraId="53670575">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生活污水</w:t>
                  </w:r>
                </w:p>
              </w:tc>
              <w:tc>
                <w:tcPr>
                  <w:tcW w:w="442" w:type="dxa"/>
                  <w:vMerge w:val="restart"/>
                  <w:noWrap w:val="0"/>
                  <w:vAlign w:val="center"/>
                </w:tcPr>
                <w:p w14:paraId="390C644E">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w:t>
                  </w:r>
                </w:p>
              </w:tc>
              <w:tc>
                <w:tcPr>
                  <w:tcW w:w="458" w:type="dxa"/>
                  <w:vMerge w:val="restart"/>
                  <w:noWrap w:val="0"/>
                  <w:vAlign w:val="center"/>
                </w:tcPr>
                <w:p w14:paraId="66BC23A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生活污水</w:t>
                  </w:r>
                </w:p>
              </w:tc>
              <w:tc>
                <w:tcPr>
                  <w:tcW w:w="712" w:type="dxa"/>
                  <w:shd w:val="clear" w:color="auto" w:fill="auto"/>
                  <w:noWrap w:val="0"/>
                  <w:vAlign w:val="center"/>
                </w:tcPr>
                <w:p w14:paraId="787D1149">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eastAsia="宋体" w:cs="Times New Roman"/>
                      <w:color w:val="auto"/>
                      <w:spacing w:val="0"/>
                      <w:w w:val="100"/>
                      <w:kern w:val="0"/>
                      <w:position w:val="0"/>
                      <w:sz w:val="18"/>
                      <w:szCs w:val="18"/>
                      <w:highlight w:val="none"/>
                    </w:rPr>
                    <w:t>COD</w:t>
                  </w:r>
                </w:p>
              </w:tc>
              <w:tc>
                <w:tcPr>
                  <w:tcW w:w="661" w:type="dxa"/>
                  <w:vMerge w:val="restart"/>
                  <w:noWrap w:val="0"/>
                  <w:vAlign w:val="center"/>
                </w:tcPr>
                <w:p w14:paraId="3543C453">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类比法</w:t>
                  </w:r>
                </w:p>
              </w:tc>
              <w:tc>
                <w:tcPr>
                  <w:tcW w:w="632" w:type="dxa"/>
                  <w:vMerge w:val="restart"/>
                  <w:noWrap w:val="0"/>
                  <w:vAlign w:val="center"/>
                </w:tcPr>
                <w:p w14:paraId="1676A9F3">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448</w:t>
                  </w:r>
                </w:p>
              </w:tc>
              <w:tc>
                <w:tcPr>
                  <w:tcW w:w="660" w:type="dxa"/>
                  <w:noWrap w:val="0"/>
                  <w:vAlign w:val="center"/>
                </w:tcPr>
                <w:p w14:paraId="70F29BBE">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cs="Times New Roman"/>
                      <w:color w:val="auto"/>
                      <w:spacing w:val="0"/>
                      <w:w w:val="100"/>
                      <w:kern w:val="0"/>
                      <w:position w:val="0"/>
                      <w:sz w:val="18"/>
                      <w:szCs w:val="18"/>
                      <w:highlight w:val="none"/>
                      <w:lang w:val="en-US" w:eastAsia="zh-CN"/>
                    </w:rPr>
                  </w:pPr>
                  <w:r>
                    <w:rPr>
                      <w:rFonts w:hint="default" w:ascii="Times New Roman" w:hAnsi="Times New Roman" w:cs="Times New Roman"/>
                      <w:color w:val="auto"/>
                      <w:spacing w:val="0"/>
                      <w:w w:val="100"/>
                      <w:kern w:val="0"/>
                      <w:position w:val="0"/>
                      <w:sz w:val="18"/>
                      <w:szCs w:val="18"/>
                      <w:highlight w:val="none"/>
                      <w:lang w:val="en-US" w:eastAsia="zh-CN"/>
                    </w:rPr>
                    <w:t>300</w:t>
                  </w:r>
                </w:p>
              </w:tc>
              <w:tc>
                <w:tcPr>
                  <w:tcW w:w="810" w:type="dxa"/>
                  <w:noWrap w:val="0"/>
                  <w:vAlign w:val="center"/>
                </w:tcPr>
                <w:p w14:paraId="4C1E39FB">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cs="Times New Roman"/>
                      <w:color w:val="auto"/>
                      <w:spacing w:val="0"/>
                      <w:w w:val="100"/>
                      <w:kern w:val="0"/>
                      <w:position w:val="0"/>
                      <w:sz w:val="18"/>
                      <w:szCs w:val="18"/>
                      <w:highlight w:val="none"/>
                      <w:lang w:val="en-US" w:eastAsia="zh-CN"/>
                    </w:rPr>
                  </w:pPr>
                  <w:r>
                    <w:rPr>
                      <w:rFonts w:hint="default" w:ascii="Times New Roman" w:hAnsi="Times New Roman" w:cs="Times New Roman"/>
                      <w:color w:val="auto"/>
                      <w:spacing w:val="0"/>
                      <w:w w:val="100"/>
                      <w:kern w:val="0"/>
                      <w:position w:val="0"/>
                      <w:sz w:val="18"/>
                      <w:szCs w:val="18"/>
                      <w:highlight w:val="none"/>
                      <w:lang w:val="en-US" w:eastAsia="zh-CN"/>
                    </w:rPr>
                    <w:t>0.134</w:t>
                  </w:r>
                </w:p>
              </w:tc>
              <w:tc>
                <w:tcPr>
                  <w:tcW w:w="531" w:type="dxa"/>
                  <w:vMerge w:val="restart"/>
                  <w:noWrap w:val="0"/>
                  <w:vAlign w:val="center"/>
                </w:tcPr>
                <w:p w14:paraId="72E18EA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w:t>
                  </w:r>
                </w:p>
              </w:tc>
              <w:tc>
                <w:tcPr>
                  <w:tcW w:w="460" w:type="dxa"/>
                  <w:noWrap w:val="0"/>
                  <w:vAlign w:val="center"/>
                </w:tcPr>
                <w:p w14:paraId="0C5C48C2">
                  <w:pPr>
                    <w:pStyle w:val="101"/>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firstLine="0" w:firstLineChars="0"/>
                    <w:contextualSpacing/>
                    <w:jc w:val="center"/>
                    <w:outlineLvl w:val="9"/>
                    <w:rPr>
                      <w:rFonts w:hint="default" w:ascii="Times New Roman" w:hAnsi="Times New Roman" w:cs="Times New Roman"/>
                      <w:bCs/>
                      <w:color w:val="auto"/>
                      <w:spacing w:val="0"/>
                      <w:w w:val="100"/>
                      <w:kern w:val="0"/>
                      <w:position w:val="0"/>
                      <w:sz w:val="18"/>
                      <w:szCs w:val="18"/>
                      <w:highlight w:val="none"/>
                      <w:lang w:val="en-US" w:eastAsia="zh-CN"/>
                    </w:rPr>
                  </w:pPr>
                  <w:r>
                    <w:rPr>
                      <w:rFonts w:hint="default" w:ascii="Times New Roman" w:hAnsi="Times New Roman" w:cs="Times New Roman"/>
                      <w:bCs/>
                      <w:color w:val="auto"/>
                      <w:spacing w:val="0"/>
                      <w:w w:val="100"/>
                      <w:kern w:val="0"/>
                      <w:position w:val="0"/>
                      <w:sz w:val="18"/>
                      <w:szCs w:val="18"/>
                      <w:highlight w:val="none"/>
                      <w:lang w:val="en-US" w:eastAsia="zh-CN"/>
                    </w:rPr>
                    <w:t>/</w:t>
                  </w:r>
                </w:p>
              </w:tc>
              <w:tc>
                <w:tcPr>
                  <w:tcW w:w="590" w:type="dxa"/>
                  <w:vMerge w:val="restart"/>
                  <w:noWrap w:val="0"/>
                  <w:vAlign w:val="center"/>
                </w:tcPr>
                <w:p w14:paraId="16833A61">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类比法</w:t>
                  </w:r>
                </w:p>
              </w:tc>
              <w:tc>
                <w:tcPr>
                  <w:tcW w:w="646" w:type="dxa"/>
                  <w:shd w:val="clear" w:color="auto" w:fill="auto"/>
                  <w:noWrap w:val="0"/>
                  <w:vAlign w:val="center"/>
                </w:tcPr>
                <w:p w14:paraId="3FC18107">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300</w:t>
                  </w:r>
                </w:p>
              </w:tc>
              <w:tc>
                <w:tcPr>
                  <w:tcW w:w="796" w:type="dxa"/>
                  <w:shd w:val="clear" w:color="auto" w:fill="auto"/>
                  <w:noWrap w:val="0"/>
                  <w:vAlign w:val="center"/>
                </w:tcPr>
                <w:p w14:paraId="7F4724B1">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0.134</w:t>
                  </w:r>
                </w:p>
              </w:tc>
              <w:tc>
                <w:tcPr>
                  <w:tcW w:w="456" w:type="dxa"/>
                  <w:vMerge w:val="restart"/>
                  <w:noWrap w:val="0"/>
                  <w:vAlign w:val="center"/>
                </w:tcPr>
                <w:p w14:paraId="0022BDC5">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8400</w:t>
                  </w:r>
                </w:p>
              </w:tc>
            </w:tr>
            <w:tr w14:paraId="5E2D7C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521" w:type="dxa"/>
                  <w:vMerge w:val="continue"/>
                  <w:noWrap w:val="0"/>
                  <w:vAlign w:val="center"/>
                </w:tcPr>
                <w:p w14:paraId="4FA0A67C">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42" w:type="dxa"/>
                  <w:vMerge w:val="continue"/>
                  <w:noWrap w:val="0"/>
                  <w:vAlign w:val="center"/>
                </w:tcPr>
                <w:p w14:paraId="37334CDA">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58" w:type="dxa"/>
                  <w:vMerge w:val="continue"/>
                  <w:noWrap w:val="0"/>
                  <w:vAlign w:val="center"/>
                </w:tcPr>
                <w:p w14:paraId="0B8D8CF0">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712" w:type="dxa"/>
                  <w:shd w:val="clear" w:color="auto" w:fill="auto"/>
                  <w:noWrap w:val="0"/>
                  <w:vAlign w:val="center"/>
                </w:tcPr>
                <w:p w14:paraId="43E26BF7">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eastAsia="宋体" w:cs="Times New Roman"/>
                      <w:color w:val="auto"/>
                      <w:spacing w:val="0"/>
                      <w:w w:val="100"/>
                      <w:kern w:val="0"/>
                      <w:position w:val="0"/>
                      <w:sz w:val="18"/>
                      <w:szCs w:val="18"/>
                      <w:highlight w:val="none"/>
                      <w:lang w:val="en-US" w:eastAsia="zh-CN"/>
                    </w:rPr>
                    <w:t>BOD</w:t>
                  </w:r>
                  <w:r>
                    <w:rPr>
                      <w:rFonts w:hint="default" w:ascii="Times New Roman" w:hAnsi="Times New Roman" w:eastAsia="宋体" w:cs="Times New Roman"/>
                      <w:color w:val="auto"/>
                      <w:spacing w:val="0"/>
                      <w:w w:val="100"/>
                      <w:kern w:val="0"/>
                      <w:position w:val="0"/>
                      <w:sz w:val="18"/>
                      <w:szCs w:val="18"/>
                      <w:highlight w:val="none"/>
                      <w:vertAlign w:val="subscript"/>
                      <w:lang w:val="en-US" w:eastAsia="zh-CN"/>
                    </w:rPr>
                    <w:t>5</w:t>
                  </w:r>
                </w:p>
              </w:tc>
              <w:tc>
                <w:tcPr>
                  <w:tcW w:w="661" w:type="dxa"/>
                  <w:vMerge w:val="continue"/>
                  <w:noWrap w:val="0"/>
                  <w:vAlign w:val="center"/>
                </w:tcPr>
                <w:p w14:paraId="17EE305A">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32" w:type="dxa"/>
                  <w:vMerge w:val="continue"/>
                  <w:noWrap w:val="0"/>
                  <w:vAlign w:val="center"/>
                </w:tcPr>
                <w:p w14:paraId="5D3CC877">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60" w:type="dxa"/>
                  <w:noWrap w:val="0"/>
                  <w:vAlign w:val="center"/>
                </w:tcPr>
                <w:p w14:paraId="76ECBBF6">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cs="Times New Roman"/>
                      <w:color w:val="auto"/>
                      <w:spacing w:val="0"/>
                      <w:w w:val="100"/>
                      <w:kern w:val="0"/>
                      <w:position w:val="0"/>
                      <w:sz w:val="18"/>
                      <w:szCs w:val="18"/>
                      <w:highlight w:val="none"/>
                      <w:lang w:val="en-US" w:eastAsia="zh-CN"/>
                    </w:rPr>
                  </w:pPr>
                  <w:r>
                    <w:rPr>
                      <w:rFonts w:hint="default" w:ascii="Times New Roman" w:hAnsi="Times New Roman" w:cs="Times New Roman"/>
                      <w:color w:val="auto"/>
                      <w:spacing w:val="0"/>
                      <w:w w:val="100"/>
                      <w:kern w:val="0"/>
                      <w:position w:val="0"/>
                      <w:sz w:val="18"/>
                      <w:szCs w:val="18"/>
                      <w:highlight w:val="none"/>
                      <w:lang w:val="en-US" w:eastAsia="zh-CN"/>
                    </w:rPr>
                    <w:t>150</w:t>
                  </w:r>
                </w:p>
              </w:tc>
              <w:tc>
                <w:tcPr>
                  <w:tcW w:w="810" w:type="dxa"/>
                  <w:noWrap w:val="0"/>
                  <w:vAlign w:val="center"/>
                </w:tcPr>
                <w:p w14:paraId="00B6278E">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cs="Times New Roman"/>
                      <w:color w:val="auto"/>
                      <w:spacing w:val="0"/>
                      <w:w w:val="100"/>
                      <w:kern w:val="0"/>
                      <w:position w:val="0"/>
                      <w:sz w:val="18"/>
                      <w:szCs w:val="18"/>
                      <w:highlight w:val="none"/>
                      <w:lang w:val="en-US" w:eastAsia="zh-CN"/>
                    </w:rPr>
                  </w:pPr>
                  <w:r>
                    <w:rPr>
                      <w:rFonts w:hint="default" w:ascii="Times New Roman" w:hAnsi="Times New Roman" w:cs="Times New Roman"/>
                      <w:color w:val="auto"/>
                      <w:spacing w:val="0"/>
                      <w:w w:val="100"/>
                      <w:kern w:val="0"/>
                      <w:position w:val="0"/>
                      <w:sz w:val="18"/>
                      <w:szCs w:val="18"/>
                      <w:highlight w:val="none"/>
                      <w:lang w:val="en-US" w:eastAsia="zh-CN"/>
                    </w:rPr>
                    <w:t>0.067</w:t>
                  </w:r>
                </w:p>
              </w:tc>
              <w:tc>
                <w:tcPr>
                  <w:tcW w:w="531" w:type="dxa"/>
                  <w:vMerge w:val="continue"/>
                  <w:noWrap w:val="0"/>
                  <w:vAlign w:val="center"/>
                </w:tcPr>
                <w:p w14:paraId="152B6D90">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60" w:type="dxa"/>
                  <w:noWrap w:val="0"/>
                  <w:vAlign w:val="center"/>
                </w:tcPr>
                <w:p w14:paraId="5CF642CF">
                  <w:pPr>
                    <w:pStyle w:val="101"/>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firstLine="0" w:firstLineChars="0"/>
                    <w:contextualSpacing/>
                    <w:jc w:val="center"/>
                    <w:outlineLvl w:val="9"/>
                    <w:rPr>
                      <w:rFonts w:hint="default" w:ascii="Times New Roman" w:hAnsi="Times New Roman" w:cs="Times New Roman"/>
                      <w:bCs/>
                      <w:color w:val="auto"/>
                      <w:spacing w:val="0"/>
                      <w:w w:val="100"/>
                      <w:kern w:val="0"/>
                      <w:position w:val="0"/>
                      <w:sz w:val="18"/>
                      <w:szCs w:val="18"/>
                      <w:highlight w:val="none"/>
                      <w:lang w:val="en-US" w:eastAsia="zh-CN"/>
                    </w:rPr>
                  </w:pPr>
                  <w:r>
                    <w:rPr>
                      <w:rFonts w:hint="default" w:ascii="Times New Roman" w:hAnsi="Times New Roman" w:cs="Times New Roman"/>
                      <w:bCs/>
                      <w:color w:val="auto"/>
                      <w:spacing w:val="0"/>
                      <w:w w:val="100"/>
                      <w:kern w:val="0"/>
                      <w:position w:val="0"/>
                      <w:sz w:val="18"/>
                      <w:szCs w:val="18"/>
                      <w:highlight w:val="none"/>
                      <w:lang w:val="en-US" w:eastAsia="zh-CN"/>
                    </w:rPr>
                    <w:t>/</w:t>
                  </w:r>
                </w:p>
              </w:tc>
              <w:tc>
                <w:tcPr>
                  <w:tcW w:w="590" w:type="dxa"/>
                  <w:vMerge w:val="continue"/>
                  <w:noWrap w:val="0"/>
                  <w:vAlign w:val="center"/>
                </w:tcPr>
                <w:p w14:paraId="7EF47017">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46" w:type="dxa"/>
                  <w:shd w:val="clear" w:color="auto" w:fill="auto"/>
                  <w:noWrap w:val="0"/>
                  <w:vAlign w:val="center"/>
                </w:tcPr>
                <w:p w14:paraId="03AAF976">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150</w:t>
                  </w:r>
                </w:p>
              </w:tc>
              <w:tc>
                <w:tcPr>
                  <w:tcW w:w="796" w:type="dxa"/>
                  <w:shd w:val="clear" w:color="auto" w:fill="auto"/>
                  <w:noWrap w:val="0"/>
                  <w:vAlign w:val="center"/>
                </w:tcPr>
                <w:p w14:paraId="6350D42C">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0.067</w:t>
                  </w:r>
                </w:p>
              </w:tc>
              <w:tc>
                <w:tcPr>
                  <w:tcW w:w="456" w:type="dxa"/>
                  <w:vMerge w:val="continue"/>
                  <w:noWrap w:val="0"/>
                  <w:vAlign w:val="center"/>
                </w:tcPr>
                <w:p w14:paraId="6F4F0661">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r>
            <w:tr w14:paraId="281D16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521" w:type="dxa"/>
                  <w:vMerge w:val="continue"/>
                  <w:noWrap w:val="0"/>
                  <w:vAlign w:val="center"/>
                </w:tcPr>
                <w:p w14:paraId="4E9971D6">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42" w:type="dxa"/>
                  <w:vMerge w:val="continue"/>
                  <w:noWrap w:val="0"/>
                  <w:vAlign w:val="center"/>
                </w:tcPr>
                <w:p w14:paraId="4663324A">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58" w:type="dxa"/>
                  <w:vMerge w:val="continue"/>
                  <w:noWrap w:val="0"/>
                  <w:vAlign w:val="center"/>
                </w:tcPr>
                <w:p w14:paraId="3094DAF0">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712" w:type="dxa"/>
                  <w:shd w:val="clear" w:color="auto" w:fill="auto"/>
                  <w:noWrap w:val="0"/>
                  <w:vAlign w:val="center"/>
                </w:tcPr>
                <w:p w14:paraId="46E84299">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eastAsia="宋体" w:cs="Times New Roman"/>
                      <w:color w:val="auto"/>
                      <w:spacing w:val="0"/>
                      <w:w w:val="100"/>
                      <w:kern w:val="0"/>
                      <w:position w:val="0"/>
                      <w:sz w:val="18"/>
                      <w:szCs w:val="18"/>
                      <w:highlight w:val="none"/>
                    </w:rPr>
                    <w:t>氨氮</w:t>
                  </w:r>
                </w:p>
              </w:tc>
              <w:tc>
                <w:tcPr>
                  <w:tcW w:w="661" w:type="dxa"/>
                  <w:vMerge w:val="continue"/>
                  <w:noWrap w:val="0"/>
                  <w:vAlign w:val="center"/>
                </w:tcPr>
                <w:p w14:paraId="5DB782FE">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32" w:type="dxa"/>
                  <w:vMerge w:val="continue"/>
                  <w:noWrap w:val="0"/>
                  <w:vAlign w:val="center"/>
                </w:tcPr>
                <w:p w14:paraId="7BF75F7A">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60" w:type="dxa"/>
                  <w:noWrap w:val="0"/>
                  <w:vAlign w:val="center"/>
                </w:tcPr>
                <w:p w14:paraId="54A21D1B">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cs="Times New Roman"/>
                      <w:color w:val="auto"/>
                      <w:spacing w:val="0"/>
                      <w:w w:val="100"/>
                      <w:kern w:val="0"/>
                      <w:position w:val="0"/>
                      <w:sz w:val="18"/>
                      <w:szCs w:val="18"/>
                      <w:highlight w:val="none"/>
                      <w:lang w:val="en-US" w:eastAsia="zh-CN"/>
                    </w:rPr>
                  </w:pPr>
                  <w:r>
                    <w:rPr>
                      <w:rFonts w:hint="default" w:ascii="Times New Roman" w:hAnsi="Times New Roman" w:cs="Times New Roman"/>
                      <w:color w:val="auto"/>
                      <w:spacing w:val="0"/>
                      <w:w w:val="100"/>
                      <w:kern w:val="0"/>
                      <w:position w:val="0"/>
                      <w:sz w:val="18"/>
                      <w:szCs w:val="18"/>
                      <w:highlight w:val="none"/>
                      <w:lang w:val="en-US" w:eastAsia="zh-CN"/>
                    </w:rPr>
                    <w:t>30</w:t>
                  </w:r>
                </w:p>
              </w:tc>
              <w:tc>
                <w:tcPr>
                  <w:tcW w:w="810" w:type="dxa"/>
                  <w:noWrap w:val="0"/>
                  <w:vAlign w:val="center"/>
                </w:tcPr>
                <w:p w14:paraId="05B6ADA1">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cs="Times New Roman"/>
                      <w:color w:val="auto"/>
                      <w:spacing w:val="0"/>
                      <w:w w:val="100"/>
                      <w:kern w:val="0"/>
                      <w:position w:val="0"/>
                      <w:sz w:val="18"/>
                      <w:szCs w:val="18"/>
                      <w:highlight w:val="none"/>
                      <w:lang w:val="en-US" w:eastAsia="zh-CN"/>
                    </w:rPr>
                  </w:pPr>
                  <w:r>
                    <w:rPr>
                      <w:rFonts w:hint="default" w:ascii="Times New Roman" w:hAnsi="Times New Roman" w:cs="Times New Roman"/>
                      <w:color w:val="auto"/>
                      <w:spacing w:val="0"/>
                      <w:w w:val="100"/>
                      <w:kern w:val="0"/>
                      <w:position w:val="0"/>
                      <w:sz w:val="18"/>
                      <w:szCs w:val="18"/>
                      <w:highlight w:val="none"/>
                      <w:lang w:val="en-US" w:eastAsia="zh-CN"/>
                    </w:rPr>
                    <w:t>0.013</w:t>
                  </w:r>
                </w:p>
              </w:tc>
              <w:tc>
                <w:tcPr>
                  <w:tcW w:w="531" w:type="dxa"/>
                  <w:vMerge w:val="continue"/>
                  <w:noWrap w:val="0"/>
                  <w:vAlign w:val="center"/>
                </w:tcPr>
                <w:p w14:paraId="13096F9B">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60" w:type="dxa"/>
                  <w:noWrap w:val="0"/>
                  <w:vAlign w:val="center"/>
                </w:tcPr>
                <w:p w14:paraId="0ED44267">
                  <w:pPr>
                    <w:pStyle w:val="101"/>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firstLine="0" w:firstLineChars="0"/>
                    <w:contextualSpacing/>
                    <w:jc w:val="center"/>
                    <w:outlineLvl w:val="9"/>
                    <w:rPr>
                      <w:rFonts w:hint="default" w:ascii="Times New Roman" w:hAnsi="Times New Roman" w:cs="Times New Roman"/>
                      <w:bCs/>
                      <w:color w:val="auto"/>
                      <w:spacing w:val="0"/>
                      <w:w w:val="100"/>
                      <w:kern w:val="0"/>
                      <w:position w:val="0"/>
                      <w:sz w:val="18"/>
                      <w:szCs w:val="18"/>
                      <w:highlight w:val="none"/>
                      <w:lang w:val="en-US" w:eastAsia="zh-CN"/>
                    </w:rPr>
                  </w:pPr>
                  <w:r>
                    <w:rPr>
                      <w:rFonts w:hint="default" w:ascii="Times New Roman" w:hAnsi="Times New Roman" w:cs="Times New Roman"/>
                      <w:bCs/>
                      <w:color w:val="auto"/>
                      <w:spacing w:val="0"/>
                      <w:w w:val="100"/>
                      <w:kern w:val="0"/>
                      <w:position w:val="0"/>
                      <w:sz w:val="18"/>
                      <w:szCs w:val="18"/>
                      <w:highlight w:val="none"/>
                      <w:lang w:val="en-US" w:eastAsia="zh-CN"/>
                    </w:rPr>
                    <w:t>/</w:t>
                  </w:r>
                </w:p>
              </w:tc>
              <w:tc>
                <w:tcPr>
                  <w:tcW w:w="590" w:type="dxa"/>
                  <w:vMerge w:val="continue"/>
                  <w:noWrap w:val="0"/>
                  <w:vAlign w:val="center"/>
                </w:tcPr>
                <w:p w14:paraId="1EBFCCF0">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46" w:type="dxa"/>
                  <w:shd w:val="clear" w:color="auto" w:fill="auto"/>
                  <w:noWrap w:val="0"/>
                  <w:vAlign w:val="center"/>
                </w:tcPr>
                <w:p w14:paraId="6275D7A6">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30</w:t>
                  </w:r>
                </w:p>
              </w:tc>
              <w:tc>
                <w:tcPr>
                  <w:tcW w:w="796" w:type="dxa"/>
                  <w:shd w:val="clear" w:color="auto" w:fill="auto"/>
                  <w:noWrap w:val="0"/>
                  <w:vAlign w:val="center"/>
                </w:tcPr>
                <w:p w14:paraId="2A1F2806">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0.013</w:t>
                  </w:r>
                </w:p>
              </w:tc>
              <w:tc>
                <w:tcPr>
                  <w:tcW w:w="456" w:type="dxa"/>
                  <w:vMerge w:val="continue"/>
                  <w:noWrap w:val="0"/>
                  <w:vAlign w:val="center"/>
                </w:tcPr>
                <w:p w14:paraId="7F2ED32E">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r>
            <w:tr w14:paraId="7D1A0C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521" w:type="dxa"/>
                  <w:vMerge w:val="continue"/>
                  <w:noWrap w:val="0"/>
                  <w:vAlign w:val="center"/>
                </w:tcPr>
                <w:p w14:paraId="4FC820AF">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42" w:type="dxa"/>
                  <w:vMerge w:val="continue"/>
                  <w:noWrap w:val="0"/>
                  <w:vAlign w:val="center"/>
                </w:tcPr>
                <w:p w14:paraId="07698C26">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58" w:type="dxa"/>
                  <w:vMerge w:val="continue"/>
                  <w:noWrap w:val="0"/>
                  <w:vAlign w:val="center"/>
                </w:tcPr>
                <w:p w14:paraId="1FFBFDF1">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712" w:type="dxa"/>
                  <w:shd w:val="clear" w:color="auto" w:fill="auto"/>
                  <w:noWrap w:val="0"/>
                  <w:vAlign w:val="center"/>
                </w:tcPr>
                <w:p w14:paraId="54FF1171">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eastAsia="宋体" w:cs="Times New Roman"/>
                      <w:color w:val="auto"/>
                      <w:spacing w:val="0"/>
                      <w:w w:val="100"/>
                      <w:kern w:val="0"/>
                      <w:position w:val="0"/>
                      <w:sz w:val="18"/>
                      <w:szCs w:val="18"/>
                      <w:highlight w:val="none"/>
                    </w:rPr>
                    <w:t>SS</w:t>
                  </w:r>
                </w:p>
              </w:tc>
              <w:tc>
                <w:tcPr>
                  <w:tcW w:w="661" w:type="dxa"/>
                  <w:vMerge w:val="continue"/>
                  <w:noWrap w:val="0"/>
                  <w:vAlign w:val="center"/>
                </w:tcPr>
                <w:p w14:paraId="55C86C5A">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32" w:type="dxa"/>
                  <w:vMerge w:val="continue"/>
                  <w:noWrap w:val="0"/>
                  <w:vAlign w:val="center"/>
                </w:tcPr>
                <w:p w14:paraId="3FD1626C">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60" w:type="dxa"/>
                  <w:noWrap w:val="0"/>
                  <w:vAlign w:val="center"/>
                </w:tcPr>
                <w:p w14:paraId="15A781E0">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cs="Times New Roman"/>
                      <w:color w:val="auto"/>
                      <w:spacing w:val="0"/>
                      <w:w w:val="100"/>
                      <w:kern w:val="0"/>
                      <w:position w:val="0"/>
                      <w:sz w:val="18"/>
                      <w:szCs w:val="18"/>
                      <w:highlight w:val="none"/>
                      <w:lang w:val="en-US" w:eastAsia="zh-CN"/>
                    </w:rPr>
                  </w:pPr>
                  <w:r>
                    <w:rPr>
                      <w:rFonts w:hint="default" w:ascii="Times New Roman" w:hAnsi="Times New Roman" w:cs="Times New Roman"/>
                      <w:color w:val="auto"/>
                      <w:spacing w:val="0"/>
                      <w:w w:val="100"/>
                      <w:kern w:val="0"/>
                      <w:position w:val="0"/>
                      <w:sz w:val="18"/>
                      <w:szCs w:val="18"/>
                      <w:highlight w:val="none"/>
                      <w:lang w:val="en-US" w:eastAsia="zh-CN"/>
                    </w:rPr>
                    <w:t>200</w:t>
                  </w:r>
                </w:p>
              </w:tc>
              <w:tc>
                <w:tcPr>
                  <w:tcW w:w="810" w:type="dxa"/>
                  <w:noWrap w:val="0"/>
                  <w:vAlign w:val="center"/>
                </w:tcPr>
                <w:p w14:paraId="546D3D82">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cs="Times New Roman"/>
                      <w:color w:val="auto"/>
                      <w:spacing w:val="0"/>
                      <w:w w:val="100"/>
                      <w:kern w:val="0"/>
                      <w:position w:val="0"/>
                      <w:sz w:val="18"/>
                      <w:szCs w:val="18"/>
                      <w:highlight w:val="none"/>
                      <w:lang w:val="en-US" w:eastAsia="zh-CN"/>
                    </w:rPr>
                  </w:pPr>
                  <w:r>
                    <w:rPr>
                      <w:rFonts w:hint="default" w:ascii="Times New Roman" w:hAnsi="Times New Roman" w:cs="Times New Roman"/>
                      <w:color w:val="auto"/>
                      <w:spacing w:val="0"/>
                      <w:w w:val="100"/>
                      <w:kern w:val="0"/>
                      <w:position w:val="0"/>
                      <w:sz w:val="18"/>
                      <w:szCs w:val="18"/>
                      <w:highlight w:val="none"/>
                      <w:lang w:val="en-US" w:eastAsia="zh-CN"/>
                    </w:rPr>
                    <w:t>0.090</w:t>
                  </w:r>
                </w:p>
              </w:tc>
              <w:tc>
                <w:tcPr>
                  <w:tcW w:w="531" w:type="dxa"/>
                  <w:vMerge w:val="continue"/>
                  <w:noWrap w:val="0"/>
                  <w:vAlign w:val="center"/>
                </w:tcPr>
                <w:p w14:paraId="0AD82279">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60" w:type="dxa"/>
                  <w:noWrap w:val="0"/>
                  <w:vAlign w:val="center"/>
                </w:tcPr>
                <w:p w14:paraId="5D7C83A7">
                  <w:pPr>
                    <w:pStyle w:val="101"/>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firstLine="0" w:firstLineChars="0"/>
                    <w:contextualSpacing/>
                    <w:jc w:val="center"/>
                    <w:outlineLvl w:val="9"/>
                    <w:rPr>
                      <w:rFonts w:hint="default" w:ascii="Times New Roman" w:hAnsi="Times New Roman" w:cs="Times New Roman"/>
                      <w:bCs/>
                      <w:color w:val="auto"/>
                      <w:spacing w:val="0"/>
                      <w:w w:val="100"/>
                      <w:kern w:val="0"/>
                      <w:position w:val="0"/>
                      <w:sz w:val="18"/>
                      <w:szCs w:val="18"/>
                      <w:highlight w:val="none"/>
                      <w:lang w:val="en-US" w:eastAsia="zh-CN"/>
                    </w:rPr>
                  </w:pPr>
                  <w:r>
                    <w:rPr>
                      <w:rFonts w:hint="default" w:ascii="Times New Roman" w:hAnsi="Times New Roman" w:cs="Times New Roman"/>
                      <w:bCs/>
                      <w:color w:val="auto"/>
                      <w:spacing w:val="0"/>
                      <w:w w:val="100"/>
                      <w:kern w:val="0"/>
                      <w:position w:val="0"/>
                      <w:sz w:val="18"/>
                      <w:szCs w:val="18"/>
                      <w:highlight w:val="none"/>
                      <w:lang w:val="en-US" w:eastAsia="zh-CN"/>
                    </w:rPr>
                    <w:t>/</w:t>
                  </w:r>
                </w:p>
              </w:tc>
              <w:tc>
                <w:tcPr>
                  <w:tcW w:w="590" w:type="dxa"/>
                  <w:vMerge w:val="continue"/>
                  <w:noWrap w:val="0"/>
                  <w:vAlign w:val="center"/>
                </w:tcPr>
                <w:p w14:paraId="789E76B2">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46" w:type="dxa"/>
                  <w:shd w:val="clear" w:color="auto" w:fill="auto"/>
                  <w:noWrap w:val="0"/>
                  <w:vAlign w:val="center"/>
                </w:tcPr>
                <w:p w14:paraId="18E24B3F">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200</w:t>
                  </w:r>
                </w:p>
              </w:tc>
              <w:tc>
                <w:tcPr>
                  <w:tcW w:w="796" w:type="dxa"/>
                  <w:shd w:val="clear" w:color="auto" w:fill="auto"/>
                  <w:noWrap w:val="0"/>
                  <w:vAlign w:val="center"/>
                </w:tcPr>
                <w:p w14:paraId="7A322D3F">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0.090</w:t>
                  </w:r>
                </w:p>
              </w:tc>
              <w:tc>
                <w:tcPr>
                  <w:tcW w:w="456" w:type="dxa"/>
                  <w:vMerge w:val="continue"/>
                  <w:noWrap w:val="0"/>
                  <w:vAlign w:val="center"/>
                </w:tcPr>
                <w:p w14:paraId="21B83BD5">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r>
            <w:tr w14:paraId="5C63CC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1" w:hRule="atLeast"/>
                <w:jc w:val="center"/>
              </w:trPr>
              <w:tc>
                <w:tcPr>
                  <w:tcW w:w="521" w:type="dxa"/>
                  <w:vMerge w:val="restart"/>
                  <w:noWrap w:val="0"/>
                  <w:vAlign w:val="center"/>
                </w:tcPr>
                <w:p w14:paraId="1BE85A5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锅炉</w:t>
                  </w:r>
                </w:p>
              </w:tc>
              <w:tc>
                <w:tcPr>
                  <w:tcW w:w="442" w:type="dxa"/>
                  <w:vMerge w:val="restart"/>
                  <w:noWrap w:val="0"/>
                  <w:vAlign w:val="center"/>
                </w:tcPr>
                <w:p w14:paraId="78EBF14A">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w:t>
                  </w:r>
                </w:p>
              </w:tc>
              <w:tc>
                <w:tcPr>
                  <w:tcW w:w="458" w:type="dxa"/>
                  <w:vMerge w:val="restart"/>
                  <w:noWrap w:val="0"/>
                  <w:vAlign w:val="center"/>
                </w:tcPr>
                <w:p w14:paraId="20F7B11D">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锅炉排污水、软化水处理浓水</w:t>
                  </w:r>
                </w:p>
              </w:tc>
              <w:tc>
                <w:tcPr>
                  <w:tcW w:w="712" w:type="dxa"/>
                  <w:noWrap w:val="0"/>
                  <w:vAlign w:val="center"/>
                </w:tcPr>
                <w:p w14:paraId="5BB00050">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rPr>
                    <w:t>COD</w:t>
                  </w:r>
                </w:p>
              </w:tc>
              <w:tc>
                <w:tcPr>
                  <w:tcW w:w="661" w:type="dxa"/>
                  <w:vMerge w:val="restart"/>
                  <w:noWrap w:val="0"/>
                  <w:vAlign w:val="center"/>
                </w:tcPr>
                <w:p w14:paraId="5F93D487">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eastAsia="宋体" w:cs="Times New Roman"/>
                      <w:color w:val="auto"/>
                      <w:spacing w:val="0"/>
                      <w:w w:val="100"/>
                      <w:kern w:val="0"/>
                      <w:position w:val="0"/>
                      <w:sz w:val="18"/>
                      <w:szCs w:val="18"/>
                      <w:highlight w:val="none"/>
                      <w:lang w:val="en-US" w:eastAsia="zh-CN"/>
                    </w:rPr>
                    <w:t>类比法</w:t>
                  </w:r>
                </w:p>
              </w:tc>
              <w:tc>
                <w:tcPr>
                  <w:tcW w:w="632" w:type="dxa"/>
                  <w:vMerge w:val="restart"/>
                  <w:noWrap w:val="0"/>
                  <w:vAlign w:val="center"/>
                </w:tcPr>
                <w:p w14:paraId="0598E37A">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12852</w:t>
                  </w:r>
                </w:p>
              </w:tc>
              <w:tc>
                <w:tcPr>
                  <w:tcW w:w="660" w:type="dxa"/>
                  <w:noWrap w:val="0"/>
                  <w:vAlign w:val="center"/>
                </w:tcPr>
                <w:p w14:paraId="00D94EDB">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cs="Times New Roman"/>
                      <w:color w:val="auto"/>
                      <w:spacing w:val="0"/>
                      <w:w w:val="100"/>
                      <w:kern w:val="0"/>
                      <w:position w:val="0"/>
                      <w:sz w:val="18"/>
                      <w:szCs w:val="18"/>
                      <w:highlight w:val="none"/>
                      <w:lang w:val="en-US" w:eastAsia="zh-CN"/>
                    </w:rPr>
                  </w:pPr>
                  <w:r>
                    <w:rPr>
                      <w:rFonts w:hint="default" w:ascii="Times New Roman" w:hAnsi="Times New Roman" w:cs="Times New Roman"/>
                      <w:color w:val="auto"/>
                      <w:spacing w:val="0"/>
                      <w:w w:val="100"/>
                      <w:kern w:val="0"/>
                      <w:position w:val="0"/>
                      <w:sz w:val="18"/>
                      <w:szCs w:val="18"/>
                      <w:highlight w:val="none"/>
                      <w:lang w:val="en-US" w:eastAsia="zh-CN"/>
                    </w:rPr>
                    <w:t>84.23</w:t>
                  </w:r>
                </w:p>
              </w:tc>
              <w:tc>
                <w:tcPr>
                  <w:tcW w:w="810" w:type="dxa"/>
                  <w:noWrap w:val="0"/>
                  <w:vAlign w:val="center"/>
                </w:tcPr>
                <w:p w14:paraId="0E308D0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cs="Times New Roman"/>
                      <w:color w:val="auto"/>
                      <w:spacing w:val="0"/>
                      <w:w w:val="100"/>
                      <w:kern w:val="0"/>
                      <w:position w:val="0"/>
                      <w:sz w:val="18"/>
                      <w:szCs w:val="18"/>
                      <w:highlight w:val="none"/>
                      <w:lang w:val="en-US" w:eastAsia="zh-CN"/>
                    </w:rPr>
                  </w:pPr>
                  <w:r>
                    <w:rPr>
                      <w:rFonts w:hint="default" w:ascii="Times New Roman" w:hAnsi="Times New Roman" w:cs="Times New Roman"/>
                      <w:color w:val="auto"/>
                      <w:spacing w:val="0"/>
                      <w:w w:val="100"/>
                      <w:kern w:val="0"/>
                      <w:position w:val="0"/>
                      <w:sz w:val="18"/>
                      <w:szCs w:val="18"/>
                      <w:highlight w:val="none"/>
                      <w:lang w:val="en-US" w:eastAsia="zh-CN"/>
                    </w:rPr>
                    <w:t>1.083</w:t>
                  </w:r>
                </w:p>
              </w:tc>
              <w:tc>
                <w:tcPr>
                  <w:tcW w:w="531" w:type="dxa"/>
                  <w:vMerge w:val="restart"/>
                  <w:noWrap w:val="0"/>
                  <w:vAlign w:val="center"/>
                </w:tcPr>
                <w:p w14:paraId="07FB37B0">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w:t>
                  </w:r>
                </w:p>
              </w:tc>
              <w:tc>
                <w:tcPr>
                  <w:tcW w:w="460" w:type="dxa"/>
                  <w:noWrap w:val="0"/>
                  <w:vAlign w:val="center"/>
                </w:tcPr>
                <w:p w14:paraId="30E5511B">
                  <w:pPr>
                    <w:pStyle w:val="101"/>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firstLine="0" w:firstLineChars="0"/>
                    <w:contextualSpacing/>
                    <w:jc w:val="center"/>
                    <w:outlineLvl w:val="9"/>
                    <w:rPr>
                      <w:rFonts w:hint="default" w:ascii="Times New Roman" w:hAnsi="Times New Roman" w:cs="Times New Roman"/>
                      <w:bCs/>
                      <w:color w:val="auto"/>
                      <w:spacing w:val="0"/>
                      <w:w w:val="100"/>
                      <w:kern w:val="0"/>
                      <w:position w:val="0"/>
                      <w:sz w:val="18"/>
                      <w:szCs w:val="18"/>
                      <w:highlight w:val="none"/>
                      <w:lang w:val="en-US" w:eastAsia="zh-CN"/>
                    </w:rPr>
                  </w:pPr>
                  <w:r>
                    <w:rPr>
                      <w:rFonts w:hint="default" w:ascii="Times New Roman" w:hAnsi="Times New Roman" w:cs="Times New Roman"/>
                      <w:bCs/>
                      <w:color w:val="auto"/>
                      <w:spacing w:val="0"/>
                      <w:w w:val="100"/>
                      <w:kern w:val="0"/>
                      <w:position w:val="0"/>
                      <w:sz w:val="18"/>
                      <w:szCs w:val="18"/>
                      <w:highlight w:val="none"/>
                      <w:lang w:val="en-US" w:eastAsia="zh-CN"/>
                    </w:rPr>
                    <w:t>/</w:t>
                  </w:r>
                </w:p>
              </w:tc>
              <w:tc>
                <w:tcPr>
                  <w:tcW w:w="590" w:type="dxa"/>
                  <w:vMerge w:val="restart"/>
                  <w:noWrap w:val="0"/>
                  <w:vAlign w:val="center"/>
                </w:tcPr>
                <w:p w14:paraId="3A1DCFBF">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eastAsia="宋体" w:cs="Times New Roman"/>
                      <w:color w:val="auto"/>
                      <w:spacing w:val="0"/>
                      <w:w w:val="100"/>
                      <w:kern w:val="0"/>
                      <w:position w:val="0"/>
                      <w:sz w:val="18"/>
                      <w:szCs w:val="18"/>
                      <w:highlight w:val="none"/>
                      <w:lang w:val="en-US" w:eastAsia="zh-CN"/>
                    </w:rPr>
                    <w:t>类比法</w:t>
                  </w:r>
                </w:p>
              </w:tc>
              <w:tc>
                <w:tcPr>
                  <w:tcW w:w="646" w:type="dxa"/>
                  <w:shd w:val="clear" w:color="auto" w:fill="auto"/>
                  <w:noWrap w:val="0"/>
                  <w:vAlign w:val="center"/>
                </w:tcPr>
                <w:p w14:paraId="0DE33806">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84.23</w:t>
                  </w:r>
                </w:p>
              </w:tc>
              <w:tc>
                <w:tcPr>
                  <w:tcW w:w="796" w:type="dxa"/>
                  <w:shd w:val="clear" w:color="auto" w:fill="auto"/>
                  <w:noWrap w:val="0"/>
                  <w:vAlign w:val="center"/>
                </w:tcPr>
                <w:p w14:paraId="2D1BCE65">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1.083</w:t>
                  </w:r>
                </w:p>
              </w:tc>
              <w:tc>
                <w:tcPr>
                  <w:tcW w:w="456" w:type="dxa"/>
                  <w:vMerge w:val="restart"/>
                  <w:noWrap w:val="0"/>
                  <w:vAlign w:val="center"/>
                </w:tcPr>
                <w:p w14:paraId="3DFCD901">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8400</w:t>
                  </w:r>
                </w:p>
              </w:tc>
            </w:tr>
            <w:tr w14:paraId="60D16C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87" w:hRule="atLeast"/>
                <w:jc w:val="center"/>
              </w:trPr>
              <w:tc>
                <w:tcPr>
                  <w:tcW w:w="521" w:type="dxa"/>
                  <w:vMerge w:val="continue"/>
                  <w:noWrap w:val="0"/>
                  <w:vAlign w:val="center"/>
                </w:tcPr>
                <w:p w14:paraId="228D4F94">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42" w:type="dxa"/>
                  <w:vMerge w:val="continue"/>
                  <w:noWrap w:val="0"/>
                  <w:vAlign w:val="center"/>
                </w:tcPr>
                <w:p w14:paraId="5263B019">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58" w:type="dxa"/>
                  <w:vMerge w:val="continue"/>
                  <w:noWrap w:val="0"/>
                  <w:vAlign w:val="center"/>
                </w:tcPr>
                <w:p w14:paraId="3AEA52AD">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712" w:type="dxa"/>
                  <w:noWrap w:val="0"/>
                  <w:vAlign w:val="center"/>
                </w:tcPr>
                <w:p w14:paraId="4A9A5BB5">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cs="Times New Roman"/>
                      <w:color w:val="auto"/>
                      <w:spacing w:val="0"/>
                      <w:w w:val="100"/>
                      <w:kern w:val="0"/>
                      <w:position w:val="0"/>
                      <w:sz w:val="18"/>
                      <w:szCs w:val="18"/>
                      <w:highlight w:val="none"/>
                      <w:lang w:val="en-US" w:eastAsia="zh-CN"/>
                    </w:rPr>
                  </w:pPr>
                  <w:r>
                    <w:rPr>
                      <w:rFonts w:hint="default" w:ascii="Times New Roman" w:hAnsi="Times New Roman" w:cs="Times New Roman"/>
                      <w:color w:val="auto"/>
                      <w:spacing w:val="0"/>
                      <w:w w:val="100"/>
                      <w:kern w:val="0"/>
                      <w:position w:val="0"/>
                      <w:sz w:val="18"/>
                      <w:szCs w:val="18"/>
                      <w:highlight w:val="none"/>
                      <w:lang w:val="en-US" w:eastAsia="zh-CN"/>
                    </w:rPr>
                    <w:t>TDS</w:t>
                  </w:r>
                </w:p>
              </w:tc>
              <w:tc>
                <w:tcPr>
                  <w:tcW w:w="661" w:type="dxa"/>
                  <w:vMerge w:val="continue"/>
                  <w:noWrap w:val="0"/>
                  <w:vAlign w:val="center"/>
                </w:tcPr>
                <w:p w14:paraId="6C56E1E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32" w:type="dxa"/>
                  <w:vMerge w:val="continue"/>
                  <w:noWrap w:val="0"/>
                  <w:vAlign w:val="center"/>
                </w:tcPr>
                <w:p w14:paraId="632C206C">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60" w:type="dxa"/>
                  <w:noWrap w:val="0"/>
                  <w:vAlign w:val="center"/>
                </w:tcPr>
                <w:p w14:paraId="6430993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cs="Times New Roman"/>
                      <w:color w:val="auto"/>
                      <w:spacing w:val="0"/>
                      <w:w w:val="100"/>
                      <w:kern w:val="0"/>
                      <w:position w:val="0"/>
                      <w:sz w:val="18"/>
                      <w:szCs w:val="18"/>
                      <w:highlight w:val="none"/>
                      <w:lang w:val="en-US" w:eastAsia="zh-CN"/>
                    </w:rPr>
                  </w:pPr>
                  <w:r>
                    <w:rPr>
                      <w:rFonts w:hint="default" w:ascii="Times New Roman" w:hAnsi="Times New Roman" w:cs="Times New Roman"/>
                      <w:color w:val="auto"/>
                      <w:spacing w:val="0"/>
                      <w:w w:val="100"/>
                      <w:kern w:val="0"/>
                      <w:position w:val="0"/>
                      <w:sz w:val="18"/>
                      <w:szCs w:val="18"/>
                      <w:highlight w:val="none"/>
                      <w:lang w:val="en-US" w:eastAsia="zh-CN"/>
                    </w:rPr>
                    <w:t>1200</w:t>
                  </w:r>
                </w:p>
              </w:tc>
              <w:tc>
                <w:tcPr>
                  <w:tcW w:w="810" w:type="dxa"/>
                  <w:noWrap w:val="0"/>
                  <w:vAlign w:val="center"/>
                </w:tcPr>
                <w:p w14:paraId="6DB7376E">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cs="Times New Roman"/>
                      <w:color w:val="auto"/>
                      <w:spacing w:val="0"/>
                      <w:w w:val="100"/>
                      <w:kern w:val="0"/>
                      <w:position w:val="0"/>
                      <w:sz w:val="18"/>
                      <w:szCs w:val="18"/>
                      <w:highlight w:val="none"/>
                      <w:lang w:val="en-US" w:eastAsia="zh-CN"/>
                    </w:rPr>
                  </w:pPr>
                  <w:r>
                    <w:rPr>
                      <w:rFonts w:hint="default" w:ascii="Times New Roman" w:hAnsi="Times New Roman" w:cs="Times New Roman"/>
                      <w:color w:val="auto"/>
                      <w:spacing w:val="0"/>
                      <w:w w:val="100"/>
                      <w:kern w:val="0"/>
                      <w:position w:val="0"/>
                      <w:sz w:val="18"/>
                      <w:szCs w:val="18"/>
                      <w:highlight w:val="none"/>
                      <w:lang w:val="en-US" w:eastAsia="zh-CN"/>
                    </w:rPr>
                    <w:t>15.422</w:t>
                  </w:r>
                </w:p>
              </w:tc>
              <w:tc>
                <w:tcPr>
                  <w:tcW w:w="531" w:type="dxa"/>
                  <w:vMerge w:val="continue"/>
                  <w:noWrap w:val="0"/>
                  <w:vAlign w:val="center"/>
                </w:tcPr>
                <w:p w14:paraId="10521D4D">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60" w:type="dxa"/>
                  <w:noWrap w:val="0"/>
                  <w:vAlign w:val="center"/>
                </w:tcPr>
                <w:p w14:paraId="40BCBBE7">
                  <w:pPr>
                    <w:pStyle w:val="101"/>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firstLine="0" w:firstLineChars="0"/>
                    <w:contextualSpacing/>
                    <w:jc w:val="center"/>
                    <w:outlineLvl w:val="9"/>
                    <w:rPr>
                      <w:rFonts w:hint="default" w:ascii="Times New Roman" w:hAnsi="Times New Roman" w:cs="Times New Roman"/>
                      <w:bCs/>
                      <w:color w:val="auto"/>
                      <w:spacing w:val="0"/>
                      <w:w w:val="100"/>
                      <w:kern w:val="0"/>
                      <w:position w:val="0"/>
                      <w:sz w:val="18"/>
                      <w:szCs w:val="18"/>
                      <w:highlight w:val="none"/>
                      <w:lang w:val="en-US" w:eastAsia="zh-CN"/>
                    </w:rPr>
                  </w:pPr>
                  <w:r>
                    <w:rPr>
                      <w:rFonts w:hint="default" w:ascii="Times New Roman" w:hAnsi="Times New Roman" w:cs="Times New Roman"/>
                      <w:bCs/>
                      <w:color w:val="auto"/>
                      <w:spacing w:val="0"/>
                      <w:w w:val="100"/>
                      <w:kern w:val="0"/>
                      <w:position w:val="0"/>
                      <w:sz w:val="18"/>
                      <w:szCs w:val="18"/>
                      <w:highlight w:val="none"/>
                      <w:lang w:val="en-US" w:eastAsia="zh-CN"/>
                    </w:rPr>
                    <w:t>/</w:t>
                  </w:r>
                </w:p>
              </w:tc>
              <w:tc>
                <w:tcPr>
                  <w:tcW w:w="590" w:type="dxa"/>
                  <w:vMerge w:val="continue"/>
                  <w:noWrap w:val="0"/>
                  <w:vAlign w:val="center"/>
                </w:tcPr>
                <w:p w14:paraId="32776F5A">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46" w:type="dxa"/>
                  <w:shd w:val="clear" w:color="auto" w:fill="auto"/>
                  <w:noWrap w:val="0"/>
                  <w:vAlign w:val="center"/>
                </w:tcPr>
                <w:p w14:paraId="68ABA49D">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1200</w:t>
                  </w:r>
                </w:p>
              </w:tc>
              <w:tc>
                <w:tcPr>
                  <w:tcW w:w="796" w:type="dxa"/>
                  <w:shd w:val="clear" w:color="auto" w:fill="auto"/>
                  <w:noWrap w:val="0"/>
                  <w:vAlign w:val="center"/>
                </w:tcPr>
                <w:p w14:paraId="39081781">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15.422</w:t>
                  </w:r>
                </w:p>
              </w:tc>
              <w:tc>
                <w:tcPr>
                  <w:tcW w:w="456" w:type="dxa"/>
                  <w:vMerge w:val="continue"/>
                  <w:noWrap w:val="0"/>
                  <w:vAlign w:val="center"/>
                </w:tcPr>
                <w:p w14:paraId="4D6BF497">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r>
            <w:tr w14:paraId="313F4D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521" w:type="dxa"/>
                  <w:vMerge w:val="restart"/>
                  <w:shd w:val="clear" w:color="auto" w:fill="auto"/>
                  <w:noWrap w:val="0"/>
                  <w:vAlign w:val="center"/>
                </w:tcPr>
                <w:p w14:paraId="079FA23F">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cs="Times New Roman"/>
                      <w:color w:val="auto"/>
                      <w:spacing w:val="0"/>
                      <w:w w:val="100"/>
                      <w:kern w:val="0"/>
                      <w:position w:val="0"/>
                      <w:sz w:val="18"/>
                      <w:szCs w:val="18"/>
                      <w:highlight w:val="none"/>
                      <w:lang w:val="en-US" w:eastAsia="zh-CN"/>
                    </w:rPr>
                    <w:t>冷却塔排污水</w:t>
                  </w:r>
                </w:p>
              </w:tc>
              <w:tc>
                <w:tcPr>
                  <w:tcW w:w="442" w:type="dxa"/>
                  <w:vMerge w:val="restart"/>
                  <w:shd w:val="clear" w:color="auto" w:fill="auto"/>
                  <w:noWrap w:val="0"/>
                  <w:vAlign w:val="center"/>
                </w:tcPr>
                <w:p w14:paraId="7D0EEB5A">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w:t>
                  </w:r>
                </w:p>
                <w:p w14:paraId="489FA3A5">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58" w:type="dxa"/>
                  <w:vMerge w:val="restart"/>
                  <w:shd w:val="clear" w:color="auto" w:fill="auto"/>
                  <w:noWrap w:val="0"/>
                  <w:vAlign w:val="center"/>
                </w:tcPr>
                <w:p w14:paraId="3CEA263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cs="Times New Roman"/>
                      <w:color w:val="auto"/>
                      <w:spacing w:val="0"/>
                      <w:w w:val="100"/>
                      <w:kern w:val="0"/>
                      <w:position w:val="0"/>
                      <w:sz w:val="18"/>
                      <w:szCs w:val="18"/>
                      <w:highlight w:val="none"/>
                      <w:lang w:val="en-US" w:eastAsia="zh-CN"/>
                    </w:rPr>
                    <w:t>冷却塔排污水</w:t>
                  </w:r>
                </w:p>
              </w:tc>
              <w:tc>
                <w:tcPr>
                  <w:tcW w:w="712" w:type="dxa"/>
                  <w:shd w:val="clear" w:color="auto" w:fill="auto"/>
                  <w:noWrap w:val="0"/>
                  <w:vAlign w:val="center"/>
                </w:tcPr>
                <w:p w14:paraId="0778465E">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eastAsia="宋体" w:cs="Times New Roman"/>
                      <w:color w:val="auto"/>
                      <w:spacing w:val="0"/>
                      <w:w w:val="100"/>
                      <w:kern w:val="0"/>
                      <w:position w:val="0"/>
                      <w:sz w:val="18"/>
                      <w:szCs w:val="18"/>
                      <w:highlight w:val="none"/>
                    </w:rPr>
                    <w:t>COD</w:t>
                  </w:r>
                </w:p>
              </w:tc>
              <w:tc>
                <w:tcPr>
                  <w:tcW w:w="661" w:type="dxa"/>
                  <w:vMerge w:val="restart"/>
                  <w:shd w:val="clear" w:color="auto" w:fill="auto"/>
                  <w:noWrap w:val="0"/>
                  <w:vAlign w:val="center"/>
                </w:tcPr>
                <w:p w14:paraId="343263A3">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cs="Times New Roman"/>
                      <w:color w:val="auto"/>
                      <w:spacing w:val="0"/>
                      <w:w w:val="100"/>
                      <w:kern w:val="0"/>
                      <w:position w:val="0"/>
                      <w:sz w:val="18"/>
                      <w:szCs w:val="18"/>
                      <w:highlight w:val="none"/>
                      <w:lang w:val="en-US" w:eastAsia="zh-CN"/>
                    </w:rPr>
                    <w:t>类比法</w:t>
                  </w:r>
                </w:p>
              </w:tc>
              <w:tc>
                <w:tcPr>
                  <w:tcW w:w="632" w:type="dxa"/>
                  <w:vMerge w:val="restart"/>
                  <w:shd w:val="clear" w:color="auto" w:fill="auto"/>
                  <w:noWrap w:val="0"/>
                  <w:vAlign w:val="center"/>
                </w:tcPr>
                <w:p w14:paraId="584AE7DD">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rPr>
                  </w:pPr>
                  <w:r>
                    <w:rPr>
                      <w:rFonts w:hint="default" w:ascii="Times New Roman" w:hAnsi="Times New Roman" w:cs="Times New Roman"/>
                      <w:color w:val="auto"/>
                      <w:spacing w:val="0"/>
                      <w:w w:val="100"/>
                      <w:kern w:val="0"/>
                      <w:position w:val="0"/>
                      <w:sz w:val="18"/>
                      <w:szCs w:val="18"/>
                      <w:highlight w:val="none"/>
                      <w:lang w:val="en-US" w:eastAsia="zh-CN"/>
                    </w:rPr>
                    <w:t>12600</w:t>
                  </w:r>
                </w:p>
              </w:tc>
              <w:tc>
                <w:tcPr>
                  <w:tcW w:w="660" w:type="dxa"/>
                  <w:shd w:val="clear" w:color="auto" w:fill="auto"/>
                  <w:noWrap w:val="0"/>
                  <w:vAlign w:val="center"/>
                </w:tcPr>
                <w:p w14:paraId="4173E574">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40</w:t>
                  </w:r>
                </w:p>
              </w:tc>
              <w:tc>
                <w:tcPr>
                  <w:tcW w:w="810" w:type="dxa"/>
                  <w:shd w:val="clear" w:color="auto" w:fill="auto"/>
                  <w:noWrap w:val="0"/>
                  <w:vAlign w:val="center"/>
                </w:tcPr>
                <w:p w14:paraId="26A963EC">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bidi="ar-SA"/>
                    </w:rPr>
                    <w:t>0.504</w:t>
                  </w:r>
                </w:p>
              </w:tc>
              <w:tc>
                <w:tcPr>
                  <w:tcW w:w="531" w:type="dxa"/>
                  <w:vMerge w:val="restart"/>
                  <w:shd w:val="clear" w:color="auto" w:fill="auto"/>
                  <w:noWrap w:val="0"/>
                  <w:vAlign w:val="center"/>
                </w:tcPr>
                <w:p w14:paraId="1918AB1D">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cs="Times New Roman"/>
                      <w:color w:val="auto"/>
                      <w:spacing w:val="0"/>
                      <w:w w:val="100"/>
                      <w:kern w:val="0"/>
                      <w:position w:val="0"/>
                      <w:sz w:val="18"/>
                      <w:szCs w:val="18"/>
                      <w:highlight w:val="none"/>
                      <w:lang w:val="en-US" w:eastAsia="zh-CN"/>
                    </w:rPr>
                    <w:t>/</w:t>
                  </w:r>
                </w:p>
              </w:tc>
              <w:tc>
                <w:tcPr>
                  <w:tcW w:w="460" w:type="dxa"/>
                  <w:shd w:val="clear" w:color="auto" w:fill="auto"/>
                  <w:noWrap w:val="0"/>
                  <w:vAlign w:val="center"/>
                </w:tcPr>
                <w:p w14:paraId="552029BF">
                  <w:pPr>
                    <w:pStyle w:val="101"/>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firstLine="0" w:firstLineChars="0"/>
                    <w:contextualSpacing/>
                    <w:jc w:val="center"/>
                    <w:outlineLvl w:val="9"/>
                    <w:rPr>
                      <w:rFonts w:hint="default" w:ascii="Times New Roman" w:hAnsi="Times New Roman" w:eastAsia="宋体" w:cs="Times New Roman"/>
                      <w:bCs/>
                      <w:color w:val="auto"/>
                      <w:spacing w:val="0"/>
                      <w:w w:val="100"/>
                      <w:kern w:val="0"/>
                      <w:position w:val="0"/>
                      <w:sz w:val="18"/>
                      <w:szCs w:val="18"/>
                      <w:highlight w:val="none"/>
                      <w:lang w:val="en-US" w:eastAsia="zh-CN" w:bidi="ar-SA"/>
                    </w:rPr>
                  </w:pPr>
                  <w:r>
                    <w:rPr>
                      <w:rFonts w:hint="default" w:ascii="Times New Roman" w:hAnsi="Times New Roman" w:cs="Times New Roman"/>
                      <w:bCs/>
                      <w:color w:val="auto"/>
                      <w:spacing w:val="0"/>
                      <w:w w:val="100"/>
                      <w:kern w:val="0"/>
                      <w:position w:val="0"/>
                      <w:sz w:val="18"/>
                      <w:szCs w:val="18"/>
                      <w:highlight w:val="none"/>
                      <w:lang w:val="en-US" w:eastAsia="zh-CN"/>
                    </w:rPr>
                    <w:t>/</w:t>
                  </w:r>
                </w:p>
              </w:tc>
              <w:tc>
                <w:tcPr>
                  <w:tcW w:w="590" w:type="dxa"/>
                  <w:vMerge w:val="restart"/>
                  <w:shd w:val="clear" w:color="auto" w:fill="auto"/>
                  <w:noWrap w:val="0"/>
                  <w:vAlign w:val="center"/>
                </w:tcPr>
                <w:p w14:paraId="792DF39A">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r>
                    <w:rPr>
                      <w:rFonts w:hint="default" w:ascii="Times New Roman" w:hAnsi="Times New Roman" w:cs="Times New Roman"/>
                      <w:color w:val="auto"/>
                      <w:spacing w:val="0"/>
                      <w:w w:val="100"/>
                      <w:kern w:val="0"/>
                      <w:position w:val="0"/>
                      <w:sz w:val="18"/>
                      <w:szCs w:val="18"/>
                      <w:highlight w:val="none"/>
                      <w:lang w:val="en-US" w:eastAsia="zh-CN"/>
                    </w:rPr>
                    <w:t>类比法</w:t>
                  </w:r>
                </w:p>
              </w:tc>
              <w:tc>
                <w:tcPr>
                  <w:tcW w:w="646" w:type="dxa"/>
                  <w:shd w:val="clear" w:color="auto" w:fill="auto"/>
                  <w:noWrap w:val="0"/>
                  <w:vAlign w:val="center"/>
                </w:tcPr>
                <w:p w14:paraId="7FF90E2F">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40</w:t>
                  </w:r>
                </w:p>
              </w:tc>
              <w:tc>
                <w:tcPr>
                  <w:tcW w:w="796" w:type="dxa"/>
                  <w:shd w:val="clear" w:color="auto" w:fill="auto"/>
                  <w:noWrap w:val="0"/>
                  <w:vAlign w:val="center"/>
                </w:tcPr>
                <w:p w14:paraId="04E27216">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bidi="ar-SA"/>
                    </w:rPr>
                    <w:t>0.504</w:t>
                  </w:r>
                </w:p>
              </w:tc>
              <w:tc>
                <w:tcPr>
                  <w:tcW w:w="456" w:type="dxa"/>
                  <w:vMerge w:val="restart"/>
                  <w:noWrap w:val="0"/>
                  <w:vAlign w:val="center"/>
                </w:tcPr>
                <w:p w14:paraId="29A54294">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rPr>
                  </w:pPr>
                  <w:r>
                    <w:rPr>
                      <w:rFonts w:hint="default" w:ascii="Times New Roman" w:hAnsi="Times New Roman" w:eastAsia="宋体" w:cs="Times New Roman"/>
                      <w:color w:val="auto"/>
                      <w:spacing w:val="0"/>
                      <w:w w:val="100"/>
                      <w:kern w:val="0"/>
                      <w:position w:val="0"/>
                      <w:sz w:val="18"/>
                      <w:szCs w:val="18"/>
                      <w:highlight w:val="none"/>
                      <w:lang w:val="en-US" w:eastAsia="zh-CN"/>
                    </w:rPr>
                    <w:t>8400</w:t>
                  </w:r>
                </w:p>
              </w:tc>
            </w:tr>
            <w:tr w14:paraId="7D6D8A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521" w:type="dxa"/>
                  <w:vMerge w:val="continue"/>
                  <w:noWrap w:val="0"/>
                  <w:vAlign w:val="center"/>
                </w:tcPr>
                <w:p w14:paraId="67BC0339">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42" w:type="dxa"/>
                  <w:vMerge w:val="continue"/>
                  <w:noWrap w:val="0"/>
                  <w:vAlign w:val="center"/>
                </w:tcPr>
                <w:p w14:paraId="6C64C639">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58" w:type="dxa"/>
                  <w:vMerge w:val="continue"/>
                  <w:noWrap w:val="0"/>
                  <w:vAlign w:val="center"/>
                </w:tcPr>
                <w:p w14:paraId="0540AFFF">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712" w:type="dxa"/>
                  <w:shd w:val="clear" w:color="auto" w:fill="auto"/>
                  <w:noWrap w:val="0"/>
                  <w:vAlign w:val="center"/>
                </w:tcPr>
                <w:p w14:paraId="5AD48EC7">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eastAsia="宋体" w:cs="Times New Roman"/>
                      <w:color w:val="auto"/>
                      <w:spacing w:val="0"/>
                      <w:w w:val="100"/>
                      <w:kern w:val="0"/>
                      <w:position w:val="0"/>
                      <w:sz w:val="18"/>
                      <w:szCs w:val="18"/>
                      <w:highlight w:val="none"/>
                      <w:lang w:val="en-US" w:eastAsia="zh-CN"/>
                    </w:rPr>
                    <w:t>BOD</w:t>
                  </w:r>
                  <w:r>
                    <w:rPr>
                      <w:rFonts w:hint="default" w:ascii="Times New Roman" w:hAnsi="Times New Roman" w:eastAsia="宋体" w:cs="Times New Roman"/>
                      <w:color w:val="auto"/>
                      <w:spacing w:val="0"/>
                      <w:w w:val="100"/>
                      <w:kern w:val="0"/>
                      <w:position w:val="0"/>
                      <w:sz w:val="18"/>
                      <w:szCs w:val="18"/>
                      <w:highlight w:val="none"/>
                      <w:vertAlign w:val="subscript"/>
                      <w:lang w:val="en-US" w:eastAsia="zh-CN"/>
                    </w:rPr>
                    <w:t>5</w:t>
                  </w:r>
                </w:p>
              </w:tc>
              <w:tc>
                <w:tcPr>
                  <w:tcW w:w="661" w:type="dxa"/>
                  <w:vMerge w:val="continue"/>
                  <w:noWrap w:val="0"/>
                  <w:vAlign w:val="center"/>
                </w:tcPr>
                <w:p w14:paraId="753F61AC">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32" w:type="dxa"/>
                  <w:vMerge w:val="continue"/>
                  <w:noWrap w:val="0"/>
                  <w:vAlign w:val="center"/>
                </w:tcPr>
                <w:p w14:paraId="58B3B03A">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60" w:type="dxa"/>
                  <w:shd w:val="clear" w:color="auto" w:fill="auto"/>
                  <w:noWrap w:val="0"/>
                  <w:vAlign w:val="center"/>
                </w:tcPr>
                <w:p w14:paraId="32BDFA14">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10</w:t>
                  </w:r>
                </w:p>
              </w:tc>
              <w:tc>
                <w:tcPr>
                  <w:tcW w:w="810" w:type="dxa"/>
                  <w:shd w:val="clear" w:color="auto" w:fill="auto"/>
                  <w:noWrap w:val="0"/>
                  <w:vAlign w:val="center"/>
                </w:tcPr>
                <w:p w14:paraId="7AA1724A">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bidi="ar-SA"/>
                    </w:rPr>
                    <w:t>0.126</w:t>
                  </w:r>
                </w:p>
              </w:tc>
              <w:tc>
                <w:tcPr>
                  <w:tcW w:w="531" w:type="dxa"/>
                  <w:vMerge w:val="continue"/>
                  <w:noWrap w:val="0"/>
                  <w:vAlign w:val="center"/>
                </w:tcPr>
                <w:p w14:paraId="5BA6C25C">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60" w:type="dxa"/>
                  <w:shd w:val="clear" w:color="auto" w:fill="auto"/>
                  <w:noWrap w:val="0"/>
                  <w:vAlign w:val="center"/>
                </w:tcPr>
                <w:p w14:paraId="6DF331D4">
                  <w:pPr>
                    <w:pStyle w:val="101"/>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firstLine="0" w:firstLineChars="0"/>
                    <w:contextualSpacing/>
                    <w:jc w:val="center"/>
                    <w:outlineLvl w:val="9"/>
                    <w:rPr>
                      <w:rFonts w:hint="default" w:ascii="Times New Roman" w:hAnsi="Times New Roman" w:eastAsia="宋体" w:cs="Times New Roman"/>
                      <w:bCs/>
                      <w:color w:val="auto"/>
                      <w:spacing w:val="0"/>
                      <w:w w:val="100"/>
                      <w:kern w:val="0"/>
                      <w:position w:val="0"/>
                      <w:sz w:val="18"/>
                      <w:szCs w:val="18"/>
                      <w:highlight w:val="none"/>
                      <w:lang w:val="en-US" w:eastAsia="zh-CN" w:bidi="ar-SA"/>
                    </w:rPr>
                  </w:pPr>
                  <w:r>
                    <w:rPr>
                      <w:rFonts w:hint="default" w:ascii="Times New Roman" w:hAnsi="Times New Roman" w:cs="Times New Roman"/>
                      <w:bCs/>
                      <w:color w:val="auto"/>
                      <w:spacing w:val="0"/>
                      <w:w w:val="100"/>
                      <w:kern w:val="0"/>
                      <w:position w:val="0"/>
                      <w:sz w:val="18"/>
                      <w:szCs w:val="18"/>
                      <w:highlight w:val="none"/>
                      <w:lang w:val="en-US" w:eastAsia="zh-CN"/>
                    </w:rPr>
                    <w:t>/</w:t>
                  </w:r>
                </w:p>
              </w:tc>
              <w:tc>
                <w:tcPr>
                  <w:tcW w:w="590" w:type="dxa"/>
                  <w:vMerge w:val="continue"/>
                  <w:noWrap w:val="0"/>
                  <w:vAlign w:val="center"/>
                </w:tcPr>
                <w:p w14:paraId="7BDB4975">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46" w:type="dxa"/>
                  <w:shd w:val="clear" w:color="auto" w:fill="auto"/>
                  <w:noWrap w:val="0"/>
                  <w:vAlign w:val="center"/>
                </w:tcPr>
                <w:p w14:paraId="0D30868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10</w:t>
                  </w:r>
                </w:p>
              </w:tc>
              <w:tc>
                <w:tcPr>
                  <w:tcW w:w="796" w:type="dxa"/>
                  <w:shd w:val="clear" w:color="auto" w:fill="auto"/>
                  <w:noWrap w:val="0"/>
                  <w:vAlign w:val="center"/>
                </w:tcPr>
                <w:p w14:paraId="77BE194E">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bidi="ar-SA"/>
                    </w:rPr>
                    <w:t>0.126</w:t>
                  </w:r>
                </w:p>
              </w:tc>
              <w:tc>
                <w:tcPr>
                  <w:tcW w:w="456" w:type="dxa"/>
                  <w:vMerge w:val="continue"/>
                  <w:noWrap w:val="0"/>
                  <w:vAlign w:val="center"/>
                </w:tcPr>
                <w:p w14:paraId="380544C1">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r>
            <w:tr w14:paraId="172222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521" w:type="dxa"/>
                  <w:vMerge w:val="continue"/>
                  <w:noWrap w:val="0"/>
                  <w:vAlign w:val="center"/>
                </w:tcPr>
                <w:p w14:paraId="33EA60C7">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42" w:type="dxa"/>
                  <w:vMerge w:val="continue"/>
                  <w:noWrap w:val="0"/>
                  <w:vAlign w:val="center"/>
                </w:tcPr>
                <w:p w14:paraId="6B02D5D4">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58" w:type="dxa"/>
                  <w:vMerge w:val="continue"/>
                  <w:noWrap w:val="0"/>
                  <w:vAlign w:val="center"/>
                </w:tcPr>
                <w:p w14:paraId="3CC38D8E">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712" w:type="dxa"/>
                  <w:shd w:val="clear" w:color="auto" w:fill="auto"/>
                  <w:noWrap w:val="0"/>
                  <w:vAlign w:val="center"/>
                </w:tcPr>
                <w:p w14:paraId="2244F369">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eastAsia="宋体" w:cs="Times New Roman"/>
                      <w:color w:val="auto"/>
                      <w:spacing w:val="0"/>
                      <w:w w:val="100"/>
                      <w:kern w:val="0"/>
                      <w:position w:val="0"/>
                      <w:sz w:val="18"/>
                      <w:szCs w:val="18"/>
                      <w:highlight w:val="none"/>
                    </w:rPr>
                    <w:t>氨氮</w:t>
                  </w:r>
                </w:p>
              </w:tc>
              <w:tc>
                <w:tcPr>
                  <w:tcW w:w="661" w:type="dxa"/>
                  <w:vMerge w:val="continue"/>
                  <w:noWrap w:val="0"/>
                  <w:vAlign w:val="center"/>
                </w:tcPr>
                <w:p w14:paraId="3A10E8BE">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32" w:type="dxa"/>
                  <w:vMerge w:val="continue"/>
                  <w:noWrap w:val="0"/>
                  <w:vAlign w:val="center"/>
                </w:tcPr>
                <w:p w14:paraId="294B29C4">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60" w:type="dxa"/>
                  <w:shd w:val="clear" w:color="auto" w:fill="auto"/>
                  <w:noWrap w:val="0"/>
                  <w:vAlign w:val="center"/>
                </w:tcPr>
                <w:p w14:paraId="651B757E">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5</w:t>
                  </w:r>
                </w:p>
              </w:tc>
              <w:tc>
                <w:tcPr>
                  <w:tcW w:w="810" w:type="dxa"/>
                  <w:shd w:val="clear" w:color="auto" w:fill="auto"/>
                  <w:noWrap w:val="0"/>
                  <w:vAlign w:val="center"/>
                </w:tcPr>
                <w:p w14:paraId="1B094057">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bidi="ar-SA"/>
                    </w:rPr>
                    <w:t>0.063</w:t>
                  </w:r>
                </w:p>
              </w:tc>
              <w:tc>
                <w:tcPr>
                  <w:tcW w:w="531" w:type="dxa"/>
                  <w:vMerge w:val="continue"/>
                  <w:noWrap w:val="0"/>
                  <w:vAlign w:val="center"/>
                </w:tcPr>
                <w:p w14:paraId="41DB024F">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60" w:type="dxa"/>
                  <w:shd w:val="clear" w:color="auto" w:fill="auto"/>
                  <w:noWrap w:val="0"/>
                  <w:vAlign w:val="center"/>
                </w:tcPr>
                <w:p w14:paraId="7B1ED877">
                  <w:pPr>
                    <w:pStyle w:val="101"/>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firstLine="0" w:firstLineChars="0"/>
                    <w:contextualSpacing/>
                    <w:jc w:val="center"/>
                    <w:outlineLvl w:val="9"/>
                    <w:rPr>
                      <w:rFonts w:hint="default" w:ascii="Times New Roman" w:hAnsi="Times New Roman" w:eastAsia="宋体" w:cs="Times New Roman"/>
                      <w:bCs/>
                      <w:color w:val="auto"/>
                      <w:spacing w:val="0"/>
                      <w:w w:val="100"/>
                      <w:kern w:val="0"/>
                      <w:position w:val="0"/>
                      <w:sz w:val="18"/>
                      <w:szCs w:val="18"/>
                      <w:highlight w:val="none"/>
                      <w:lang w:val="en-US" w:eastAsia="zh-CN" w:bidi="ar-SA"/>
                    </w:rPr>
                  </w:pPr>
                  <w:r>
                    <w:rPr>
                      <w:rFonts w:hint="default" w:ascii="Times New Roman" w:hAnsi="Times New Roman" w:cs="Times New Roman"/>
                      <w:bCs/>
                      <w:color w:val="auto"/>
                      <w:spacing w:val="0"/>
                      <w:w w:val="100"/>
                      <w:kern w:val="0"/>
                      <w:position w:val="0"/>
                      <w:sz w:val="18"/>
                      <w:szCs w:val="18"/>
                      <w:highlight w:val="none"/>
                      <w:lang w:val="en-US" w:eastAsia="zh-CN"/>
                    </w:rPr>
                    <w:t>/</w:t>
                  </w:r>
                </w:p>
              </w:tc>
              <w:tc>
                <w:tcPr>
                  <w:tcW w:w="590" w:type="dxa"/>
                  <w:vMerge w:val="continue"/>
                  <w:noWrap w:val="0"/>
                  <w:vAlign w:val="center"/>
                </w:tcPr>
                <w:p w14:paraId="5269EC35">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46" w:type="dxa"/>
                  <w:shd w:val="clear" w:color="auto" w:fill="auto"/>
                  <w:noWrap w:val="0"/>
                  <w:vAlign w:val="center"/>
                </w:tcPr>
                <w:p w14:paraId="56379D05">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5</w:t>
                  </w:r>
                </w:p>
              </w:tc>
              <w:tc>
                <w:tcPr>
                  <w:tcW w:w="796" w:type="dxa"/>
                  <w:shd w:val="clear" w:color="auto" w:fill="auto"/>
                  <w:noWrap w:val="0"/>
                  <w:vAlign w:val="center"/>
                </w:tcPr>
                <w:p w14:paraId="6D17890D">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bidi="ar-SA"/>
                    </w:rPr>
                    <w:t>0.063</w:t>
                  </w:r>
                </w:p>
              </w:tc>
              <w:tc>
                <w:tcPr>
                  <w:tcW w:w="456" w:type="dxa"/>
                  <w:vMerge w:val="continue"/>
                  <w:noWrap w:val="0"/>
                  <w:vAlign w:val="center"/>
                </w:tcPr>
                <w:p w14:paraId="6BB33A92">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r>
            <w:tr w14:paraId="5C89E1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521" w:type="dxa"/>
                  <w:vMerge w:val="continue"/>
                  <w:noWrap w:val="0"/>
                  <w:vAlign w:val="center"/>
                </w:tcPr>
                <w:p w14:paraId="6A02EFF9">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42" w:type="dxa"/>
                  <w:vMerge w:val="continue"/>
                  <w:noWrap w:val="0"/>
                  <w:vAlign w:val="center"/>
                </w:tcPr>
                <w:p w14:paraId="22A7A5B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58" w:type="dxa"/>
                  <w:vMerge w:val="continue"/>
                  <w:noWrap w:val="0"/>
                  <w:vAlign w:val="center"/>
                </w:tcPr>
                <w:p w14:paraId="44B62A14">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712" w:type="dxa"/>
                  <w:shd w:val="clear" w:color="auto" w:fill="auto"/>
                  <w:noWrap w:val="0"/>
                  <w:vAlign w:val="center"/>
                </w:tcPr>
                <w:p w14:paraId="70CE8762">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eastAsia="宋体" w:cs="Times New Roman"/>
                      <w:color w:val="auto"/>
                      <w:spacing w:val="0"/>
                      <w:w w:val="100"/>
                      <w:kern w:val="0"/>
                      <w:position w:val="0"/>
                      <w:sz w:val="18"/>
                      <w:szCs w:val="18"/>
                      <w:highlight w:val="none"/>
                    </w:rPr>
                    <w:t>SS</w:t>
                  </w:r>
                </w:p>
              </w:tc>
              <w:tc>
                <w:tcPr>
                  <w:tcW w:w="661" w:type="dxa"/>
                  <w:vMerge w:val="continue"/>
                  <w:noWrap w:val="0"/>
                  <w:vAlign w:val="center"/>
                </w:tcPr>
                <w:p w14:paraId="3E8980DE">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32" w:type="dxa"/>
                  <w:vMerge w:val="continue"/>
                  <w:noWrap w:val="0"/>
                  <w:vAlign w:val="center"/>
                </w:tcPr>
                <w:p w14:paraId="7A6C6B5D">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60" w:type="dxa"/>
                  <w:shd w:val="clear" w:color="auto" w:fill="auto"/>
                  <w:noWrap w:val="0"/>
                  <w:vAlign w:val="center"/>
                </w:tcPr>
                <w:p w14:paraId="55345AC3">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40</w:t>
                  </w:r>
                </w:p>
              </w:tc>
              <w:tc>
                <w:tcPr>
                  <w:tcW w:w="810" w:type="dxa"/>
                  <w:shd w:val="clear" w:color="auto" w:fill="auto"/>
                  <w:noWrap w:val="0"/>
                  <w:vAlign w:val="center"/>
                </w:tcPr>
                <w:p w14:paraId="4EC0A9F6">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bidi="ar-SA"/>
                    </w:rPr>
                    <w:t>0.504</w:t>
                  </w:r>
                </w:p>
              </w:tc>
              <w:tc>
                <w:tcPr>
                  <w:tcW w:w="531" w:type="dxa"/>
                  <w:vMerge w:val="continue"/>
                  <w:noWrap w:val="0"/>
                  <w:vAlign w:val="center"/>
                </w:tcPr>
                <w:p w14:paraId="2845C8C0">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60" w:type="dxa"/>
                  <w:shd w:val="clear" w:color="auto" w:fill="auto"/>
                  <w:noWrap w:val="0"/>
                  <w:vAlign w:val="center"/>
                </w:tcPr>
                <w:p w14:paraId="01C1240D">
                  <w:pPr>
                    <w:pStyle w:val="101"/>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firstLine="0" w:firstLineChars="0"/>
                    <w:contextualSpacing/>
                    <w:jc w:val="center"/>
                    <w:outlineLvl w:val="9"/>
                    <w:rPr>
                      <w:rFonts w:hint="default" w:ascii="Times New Roman" w:hAnsi="Times New Roman" w:eastAsia="宋体" w:cs="Times New Roman"/>
                      <w:bCs/>
                      <w:color w:val="auto"/>
                      <w:spacing w:val="0"/>
                      <w:w w:val="100"/>
                      <w:kern w:val="0"/>
                      <w:position w:val="0"/>
                      <w:sz w:val="18"/>
                      <w:szCs w:val="18"/>
                      <w:highlight w:val="none"/>
                      <w:lang w:val="en-US" w:eastAsia="zh-CN" w:bidi="ar-SA"/>
                    </w:rPr>
                  </w:pPr>
                  <w:r>
                    <w:rPr>
                      <w:rFonts w:hint="default" w:ascii="Times New Roman" w:hAnsi="Times New Roman" w:cs="Times New Roman"/>
                      <w:bCs/>
                      <w:color w:val="auto"/>
                      <w:spacing w:val="0"/>
                      <w:w w:val="100"/>
                      <w:kern w:val="0"/>
                      <w:position w:val="0"/>
                      <w:sz w:val="18"/>
                      <w:szCs w:val="18"/>
                      <w:highlight w:val="none"/>
                      <w:lang w:val="en-US" w:eastAsia="zh-CN"/>
                    </w:rPr>
                    <w:t>/</w:t>
                  </w:r>
                </w:p>
              </w:tc>
              <w:tc>
                <w:tcPr>
                  <w:tcW w:w="590" w:type="dxa"/>
                  <w:vMerge w:val="continue"/>
                  <w:noWrap w:val="0"/>
                  <w:vAlign w:val="center"/>
                </w:tcPr>
                <w:p w14:paraId="155694D0">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46" w:type="dxa"/>
                  <w:shd w:val="clear" w:color="auto" w:fill="auto"/>
                  <w:noWrap w:val="0"/>
                  <w:vAlign w:val="center"/>
                </w:tcPr>
                <w:p w14:paraId="1D62F955">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40</w:t>
                  </w:r>
                </w:p>
              </w:tc>
              <w:tc>
                <w:tcPr>
                  <w:tcW w:w="796" w:type="dxa"/>
                  <w:shd w:val="clear" w:color="auto" w:fill="auto"/>
                  <w:noWrap w:val="0"/>
                  <w:vAlign w:val="center"/>
                </w:tcPr>
                <w:p w14:paraId="49A14EB9">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bidi="ar-SA"/>
                    </w:rPr>
                    <w:t>0.504</w:t>
                  </w:r>
                </w:p>
              </w:tc>
              <w:tc>
                <w:tcPr>
                  <w:tcW w:w="456" w:type="dxa"/>
                  <w:vMerge w:val="continue"/>
                  <w:noWrap w:val="0"/>
                  <w:vAlign w:val="center"/>
                </w:tcPr>
                <w:p w14:paraId="6E5F727A">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r>
            <w:tr w14:paraId="42C413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521" w:type="dxa"/>
                  <w:vMerge w:val="continue"/>
                  <w:noWrap w:val="0"/>
                  <w:vAlign w:val="center"/>
                </w:tcPr>
                <w:p w14:paraId="12DE2B92">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42" w:type="dxa"/>
                  <w:vMerge w:val="continue"/>
                  <w:noWrap w:val="0"/>
                  <w:vAlign w:val="center"/>
                </w:tcPr>
                <w:p w14:paraId="47681B51">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58" w:type="dxa"/>
                  <w:vMerge w:val="continue"/>
                  <w:noWrap w:val="0"/>
                  <w:vAlign w:val="center"/>
                </w:tcPr>
                <w:p w14:paraId="7353DF8B">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712" w:type="dxa"/>
                  <w:shd w:val="clear" w:color="auto" w:fill="auto"/>
                  <w:noWrap w:val="0"/>
                  <w:vAlign w:val="center"/>
                </w:tcPr>
                <w:p w14:paraId="3518882A">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盐类</w:t>
                  </w:r>
                </w:p>
              </w:tc>
              <w:tc>
                <w:tcPr>
                  <w:tcW w:w="661" w:type="dxa"/>
                  <w:vMerge w:val="continue"/>
                  <w:noWrap w:val="0"/>
                  <w:vAlign w:val="center"/>
                </w:tcPr>
                <w:p w14:paraId="48A3F19A">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32" w:type="dxa"/>
                  <w:vMerge w:val="continue"/>
                  <w:noWrap w:val="0"/>
                  <w:vAlign w:val="center"/>
                </w:tcPr>
                <w:p w14:paraId="6686B63A">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60" w:type="dxa"/>
                  <w:shd w:val="clear" w:color="auto" w:fill="auto"/>
                  <w:noWrap w:val="0"/>
                  <w:vAlign w:val="center"/>
                </w:tcPr>
                <w:p w14:paraId="7AE8B755">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1200</w:t>
                  </w:r>
                </w:p>
              </w:tc>
              <w:tc>
                <w:tcPr>
                  <w:tcW w:w="810" w:type="dxa"/>
                  <w:shd w:val="clear" w:color="auto" w:fill="auto"/>
                  <w:noWrap w:val="0"/>
                  <w:vAlign w:val="center"/>
                </w:tcPr>
                <w:p w14:paraId="6DF620EC">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bidi="ar-SA"/>
                    </w:rPr>
                    <w:t>15.12</w:t>
                  </w:r>
                </w:p>
              </w:tc>
              <w:tc>
                <w:tcPr>
                  <w:tcW w:w="531" w:type="dxa"/>
                  <w:vMerge w:val="continue"/>
                  <w:noWrap w:val="0"/>
                  <w:vAlign w:val="center"/>
                </w:tcPr>
                <w:p w14:paraId="3C4CBC9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460" w:type="dxa"/>
                  <w:shd w:val="clear" w:color="auto" w:fill="auto"/>
                  <w:noWrap w:val="0"/>
                  <w:vAlign w:val="center"/>
                </w:tcPr>
                <w:p w14:paraId="38446DED">
                  <w:pPr>
                    <w:pStyle w:val="101"/>
                    <w:keepLines w:val="0"/>
                    <w:pageBreakBefore w:val="0"/>
                    <w:widowControl w:val="0"/>
                    <w:wordWrap/>
                    <w:overflowPunct w:val="0"/>
                    <w:topLinePunct w:val="0"/>
                    <w:autoSpaceDE/>
                    <w:autoSpaceDN/>
                    <w:bidi w:val="0"/>
                    <w:adjustRightInd w:val="0"/>
                    <w:snapToGrid w:val="0"/>
                    <w:spacing w:beforeAutospacing="0" w:afterAutospacing="0" w:line="240" w:lineRule="auto"/>
                    <w:ind w:left="0" w:leftChars="0" w:right="0" w:rightChars="0" w:firstLine="0" w:firstLineChars="0"/>
                    <w:contextualSpacing/>
                    <w:jc w:val="center"/>
                    <w:outlineLvl w:val="9"/>
                    <w:rPr>
                      <w:rFonts w:hint="default" w:ascii="Times New Roman" w:hAnsi="Times New Roman" w:eastAsia="宋体" w:cs="Times New Roman"/>
                      <w:bCs/>
                      <w:color w:val="auto"/>
                      <w:spacing w:val="0"/>
                      <w:w w:val="100"/>
                      <w:kern w:val="0"/>
                      <w:position w:val="0"/>
                      <w:sz w:val="18"/>
                      <w:szCs w:val="18"/>
                      <w:highlight w:val="none"/>
                      <w:lang w:val="en-US" w:eastAsia="zh-CN" w:bidi="ar-SA"/>
                    </w:rPr>
                  </w:pPr>
                  <w:r>
                    <w:rPr>
                      <w:rFonts w:hint="default" w:ascii="Times New Roman" w:hAnsi="Times New Roman" w:cs="Times New Roman"/>
                      <w:bCs/>
                      <w:color w:val="auto"/>
                      <w:spacing w:val="0"/>
                      <w:w w:val="100"/>
                      <w:kern w:val="0"/>
                      <w:position w:val="0"/>
                      <w:sz w:val="18"/>
                      <w:szCs w:val="18"/>
                      <w:highlight w:val="none"/>
                      <w:lang w:val="en-US" w:eastAsia="zh-CN"/>
                    </w:rPr>
                    <w:t>/</w:t>
                  </w:r>
                </w:p>
              </w:tc>
              <w:tc>
                <w:tcPr>
                  <w:tcW w:w="590" w:type="dxa"/>
                  <w:vMerge w:val="continue"/>
                  <w:noWrap w:val="0"/>
                  <w:vAlign w:val="center"/>
                </w:tcPr>
                <w:p w14:paraId="7FC76E44">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c>
                <w:tcPr>
                  <w:tcW w:w="646" w:type="dxa"/>
                  <w:shd w:val="clear" w:color="auto" w:fill="auto"/>
                  <w:noWrap w:val="0"/>
                  <w:vAlign w:val="center"/>
                </w:tcPr>
                <w:p w14:paraId="59FCD08F">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rPr>
                    <w:t>1200</w:t>
                  </w:r>
                </w:p>
              </w:tc>
              <w:tc>
                <w:tcPr>
                  <w:tcW w:w="796" w:type="dxa"/>
                  <w:shd w:val="clear" w:color="auto" w:fill="auto"/>
                  <w:noWrap w:val="0"/>
                  <w:vAlign w:val="center"/>
                </w:tcPr>
                <w:p w14:paraId="47A213DF">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18"/>
                      <w:szCs w:val="18"/>
                      <w:highlight w:val="none"/>
                      <w:lang w:val="en-US" w:eastAsia="zh-CN" w:bidi="ar-SA"/>
                    </w:rPr>
                  </w:pPr>
                  <w:r>
                    <w:rPr>
                      <w:rFonts w:hint="default" w:ascii="Times New Roman" w:hAnsi="Times New Roman" w:cs="Times New Roman"/>
                      <w:color w:val="auto"/>
                      <w:spacing w:val="0"/>
                      <w:w w:val="100"/>
                      <w:kern w:val="0"/>
                      <w:position w:val="0"/>
                      <w:sz w:val="18"/>
                      <w:szCs w:val="18"/>
                      <w:highlight w:val="none"/>
                      <w:lang w:val="en-US" w:eastAsia="zh-CN" w:bidi="ar-SA"/>
                    </w:rPr>
                    <w:t>15.12</w:t>
                  </w:r>
                </w:p>
              </w:tc>
              <w:tc>
                <w:tcPr>
                  <w:tcW w:w="456" w:type="dxa"/>
                  <w:vMerge w:val="continue"/>
                  <w:noWrap w:val="0"/>
                  <w:vAlign w:val="center"/>
                </w:tcPr>
                <w:p w14:paraId="65B332D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w w:val="100"/>
                      <w:kern w:val="0"/>
                      <w:position w:val="0"/>
                      <w:sz w:val="18"/>
                      <w:szCs w:val="18"/>
                      <w:highlight w:val="none"/>
                    </w:rPr>
                  </w:pPr>
                </w:p>
              </w:tc>
            </w:tr>
          </w:tbl>
          <w:p w14:paraId="01490A7B">
            <w:pPr>
              <w:pStyle w:val="102"/>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b/>
                <w:bCs/>
                <w:color w:val="auto"/>
                <w:spacing w:val="0"/>
                <w:position w:val="0"/>
                <w:sz w:val="24"/>
                <w:szCs w:val="28"/>
                <w:highlight w:val="none"/>
              </w:rPr>
            </w:pPr>
            <w:r>
              <w:rPr>
                <w:rFonts w:hint="default" w:ascii="Times New Roman" w:hAnsi="Times New Roman" w:eastAsia="宋体" w:cs="Times New Roman"/>
                <w:b/>
                <w:bCs/>
                <w:color w:val="auto"/>
                <w:spacing w:val="0"/>
                <w:position w:val="0"/>
                <w:sz w:val="24"/>
                <w:szCs w:val="28"/>
                <w:highlight w:val="none"/>
              </w:rPr>
              <w:t>表4-</w:t>
            </w:r>
            <w:r>
              <w:rPr>
                <w:rFonts w:hint="default" w:ascii="Times New Roman" w:hAnsi="Times New Roman" w:eastAsia="宋体" w:cs="Times New Roman"/>
                <w:b/>
                <w:bCs/>
                <w:color w:val="auto"/>
                <w:spacing w:val="0"/>
                <w:position w:val="0"/>
                <w:sz w:val="24"/>
                <w:szCs w:val="28"/>
                <w:highlight w:val="none"/>
                <w:lang w:val="en-US" w:eastAsia="zh-CN"/>
              </w:rPr>
              <w:t>7</w:t>
            </w:r>
            <w:r>
              <w:rPr>
                <w:rFonts w:hint="default" w:ascii="Times New Roman" w:hAnsi="Times New Roman" w:eastAsia="宋体" w:cs="Times New Roman"/>
                <w:b/>
                <w:bCs/>
                <w:color w:val="auto"/>
                <w:spacing w:val="0"/>
                <w:position w:val="0"/>
                <w:sz w:val="24"/>
                <w:szCs w:val="28"/>
                <w:highlight w:val="none"/>
              </w:rPr>
              <w:t xml:space="preserve"> 废水类别、污染物及污染治理设施信息表</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0"/>
              <w:gridCol w:w="834"/>
              <w:gridCol w:w="802"/>
              <w:gridCol w:w="934"/>
              <w:gridCol w:w="941"/>
              <w:gridCol w:w="662"/>
              <w:gridCol w:w="669"/>
              <w:gridCol w:w="757"/>
              <w:gridCol w:w="688"/>
              <w:gridCol w:w="813"/>
              <w:gridCol w:w="794"/>
            </w:tblGrid>
            <w:tr w14:paraId="3EB887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9" w:type="pct"/>
                  <w:vMerge w:val="restart"/>
                  <w:tcBorders>
                    <w:tl2br w:val="nil"/>
                    <w:tr2bl w:val="nil"/>
                  </w:tcBorders>
                  <w:vAlign w:val="center"/>
                </w:tcPr>
                <w:p w14:paraId="15F6D31A">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序号</w:t>
                  </w:r>
                </w:p>
              </w:tc>
              <w:tc>
                <w:tcPr>
                  <w:tcW w:w="499" w:type="pct"/>
                  <w:vMerge w:val="restart"/>
                  <w:tcBorders>
                    <w:tl2br w:val="nil"/>
                    <w:tr2bl w:val="nil"/>
                  </w:tcBorders>
                  <w:vAlign w:val="center"/>
                </w:tcPr>
                <w:p w14:paraId="5D93FA71">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废水类别</w:t>
                  </w:r>
                </w:p>
              </w:tc>
              <w:tc>
                <w:tcPr>
                  <w:tcW w:w="480" w:type="pct"/>
                  <w:vMerge w:val="restart"/>
                  <w:tcBorders>
                    <w:tl2br w:val="nil"/>
                    <w:tr2bl w:val="nil"/>
                  </w:tcBorders>
                  <w:vAlign w:val="center"/>
                </w:tcPr>
                <w:p w14:paraId="377C97B0">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污染物种类</w:t>
                  </w:r>
                </w:p>
              </w:tc>
              <w:tc>
                <w:tcPr>
                  <w:tcW w:w="559" w:type="pct"/>
                  <w:vMerge w:val="restart"/>
                  <w:tcBorders>
                    <w:tl2br w:val="nil"/>
                    <w:tr2bl w:val="nil"/>
                  </w:tcBorders>
                  <w:vAlign w:val="center"/>
                </w:tcPr>
                <w:p w14:paraId="6DFDC21E">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排放去向</w:t>
                  </w:r>
                </w:p>
              </w:tc>
              <w:tc>
                <w:tcPr>
                  <w:tcW w:w="563" w:type="pct"/>
                  <w:vMerge w:val="restart"/>
                  <w:tcBorders>
                    <w:tl2br w:val="nil"/>
                    <w:tr2bl w:val="nil"/>
                  </w:tcBorders>
                  <w:vAlign w:val="center"/>
                </w:tcPr>
                <w:p w14:paraId="60BAE456">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排放规律</w:t>
                  </w:r>
                </w:p>
              </w:tc>
              <w:tc>
                <w:tcPr>
                  <w:tcW w:w="1251" w:type="pct"/>
                  <w:gridSpan w:val="3"/>
                  <w:tcBorders>
                    <w:tl2br w:val="nil"/>
                    <w:tr2bl w:val="nil"/>
                  </w:tcBorders>
                  <w:vAlign w:val="center"/>
                </w:tcPr>
                <w:p w14:paraId="116F6AEA">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污染治理设施</w:t>
                  </w:r>
                </w:p>
              </w:tc>
              <w:tc>
                <w:tcPr>
                  <w:tcW w:w="412" w:type="pct"/>
                  <w:vMerge w:val="restart"/>
                  <w:tcBorders>
                    <w:tl2br w:val="nil"/>
                    <w:tr2bl w:val="nil"/>
                  </w:tcBorders>
                  <w:vAlign w:val="center"/>
                </w:tcPr>
                <w:p w14:paraId="24CD6565">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排放口编号</w:t>
                  </w:r>
                </w:p>
              </w:tc>
              <w:tc>
                <w:tcPr>
                  <w:tcW w:w="487" w:type="pct"/>
                  <w:vMerge w:val="restart"/>
                  <w:tcBorders>
                    <w:tl2br w:val="nil"/>
                    <w:tr2bl w:val="nil"/>
                  </w:tcBorders>
                  <w:vAlign w:val="center"/>
                </w:tcPr>
                <w:p w14:paraId="3CCFB067">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排放口设置是否符合要求</w:t>
                  </w:r>
                </w:p>
              </w:tc>
              <w:tc>
                <w:tcPr>
                  <w:tcW w:w="475" w:type="pct"/>
                  <w:vMerge w:val="restart"/>
                  <w:tcBorders>
                    <w:tl2br w:val="nil"/>
                    <w:tr2bl w:val="nil"/>
                  </w:tcBorders>
                  <w:vAlign w:val="center"/>
                </w:tcPr>
                <w:p w14:paraId="6230A51B">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排放口</w:t>
                  </w:r>
                </w:p>
                <w:p w14:paraId="1F16C9A8">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类型</w:t>
                  </w:r>
                </w:p>
              </w:tc>
            </w:tr>
            <w:tr w14:paraId="2C1272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9" w:type="pct"/>
                  <w:vMerge w:val="continue"/>
                  <w:tcBorders>
                    <w:tl2br w:val="nil"/>
                    <w:tr2bl w:val="nil"/>
                  </w:tcBorders>
                  <w:vAlign w:val="center"/>
                </w:tcPr>
                <w:p w14:paraId="528672A1">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499" w:type="pct"/>
                  <w:vMerge w:val="continue"/>
                  <w:tcBorders>
                    <w:tl2br w:val="nil"/>
                    <w:tr2bl w:val="nil"/>
                  </w:tcBorders>
                  <w:vAlign w:val="center"/>
                </w:tcPr>
                <w:p w14:paraId="095B2C31">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480" w:type="pct"/>
                  <w:vMerge w:val="continue"/>
                  <w:tcBorders>
                    <w:tl2br w:val="nil"/>
                    <w:tr2bl w:val="nil"/>
                  </w:tcBorders>
                  <w:vAlign w:val="center"/>
                </w:tcPr>
                <w:p w14:paraId="2C8F551D">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559" w:type="pct"/>
                  <w:vMerge w:val="continue"/>
                  <w:tcBorders>
                    <w:tl2br w:val="nil"/>
                    <w:tr2bl w:val="nil"/>
                  </w:tcBorders>
                  <w:vAlign w:val="center"/>
                </w:tcPr>
                <w:p w14:paraId="7D877DE8">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563" w:type="pct"/>
                  <w:vMerge w:val="continue"/>
                  <w:tcBorders>
                    <w:tl2br w:val="nil"/>
                    <w:tr2bl w:val="nil"/>
                  </w:tcBorders>
                  <w:vAlign w:val="center"/>
                </w:tcPr>
                <w:p w14:paraId="3BBAC5F8">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396" w:type="pct"/>
                  <w:tcBorders>
                    <w:tl2br w:val="nil"/>
                    <w:tr2bl w:val="nil"/>
                  </w:tcBorders>
                  <w:vAlign w:val="center"/>
                </w:tcPr>
                <w:p w14:paraId="2E2E432F">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污染治理设施编号</w:t>
                  </w:r>
                </w:p>
              </w:tc>
              <w:tc>
                <w:tcPr>
                  <w:tcW w:w="400" w:type="pct"/>
                  <w:tcBorders>
                    <w:tl2br w:val="nil"/>
                    <w:tr2bl w:val="nil"/>
                  </w:tcBorders>
                  <w:vAlign w:val="center"/>
                </w:tcPr>
                <w:p w14:paraId="23456905">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污染治理设施名称</w:t>
                  </w:r>
                </w:p>
              </w:tc>
              <w:tc>
                <w:tcPr>
                  <w:tcW w:w="453" w:type="pct"/>
                  <w:tcBorders>
                    <w:tl2br w:val="nil"/>
                    <w:tr2bl w:val="nil"/>
                  </w:tcBorders>
                  <w:vAlign w:val="center"/>
                </w:tcPr>
                <w:p w14:paraId="65613464">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污染治理设施工艺</w:t>
                  </w:r>
                </w:p>
              </w:tc>
              <w:tc>
                <w:tcPr>
                  <w:tcW w:w="412" w:type="pct"/>
                  <w:vMerge w:val="continue"/>
                  <w:tcBorders>
                    <w:tl2br w:val="nil"/>
                    <w:tr2bl w:val="nil"/>
                  </w:tcBorders>
                  <w:vAlign w:val="center"/>
                </w:tcPr>
                <w:p w14:paraId="7B54FAAE">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487" w:type="pct"/>
                  <w:vMerge w:val="continue"/>
                  <w:tcBorders>
                    <w:tl2br w:val="nil"/>
                    <w:tr2bl w:val="nil"/>
                  </w:tcBorders>
                  <w:vAlign w:val="center"/>
                </w:tcPr>
                <w:p w14:paraId="71B4F7C0">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475" w:type="pct"/>
                  <w:vMerge w:val="continue"/>
                  <w:tcBorders>
                    <w:tl2br w:val="nil"/>
                    <w:tr2bl w:val="nil"/>
                  </w:tcBorders>
                  <w:vAlign w:val="center"/>
                </w:tcPr>
                <w:p w14:paraId="1DAF0081">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r>
            <w:tr w14:paraId="7E18A1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9" w:type="pct"/>
                  <w:tcBorders>
                    <w:tl2br w:val="nil"/>
                    <w:tr2bl w:val="nil"/>
                  </w:tcBorders>
                  <w:vAlign w:val="center"/>
                </w:tcPr>
                <w:p w14:paraId="455CF0BF">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1</w:t>
                  </w:r>
                </w:p>
              </w:tc>
              <w:tc>
                <w:tcPr>
                  <w:tcW w:w="499" w:type="pct"/>
                  <w:tcBorders>
                    <w:tl2br w:val="nil"/>
                    <w:tr2bl w:val="nil"/>
                  </w:tcBorders>
                  <w:vAlign w:val="center"/>
                </w:tcPr>
                <w:p w14:paraId="19919448">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eastAsia="宋体" w:cs="Times New Roman"/>
                      <w:color w:val="auto"/>
                      <w:spacing w:val="0"/>
                      <w:position w:val="0"/>
                      <w:szCs w:val="21"/>
                      <w:highlight w:val="none"/>
                      <w:lang w:val="en-US" w:eastAsia="zh-CN"/>
                    </w:rPr>
                    <w:t>浸出废水、精炼废水</w:t>
                  </w:r>
                </w:p>
              </w:tc>
              <w:tc>
                <w:tcPr>
                  <w:tcW w:w="480" w:type="pct"/>
                  <w:tcBorders>
                    <w:tl2br w:val="nil"/>
                    <w:tr2bl w:val="nil"/>
                  </w:tcBorders>
                  <w:vAlign w:val="center"/>
                </w:tcPr>
                <w:p w14:paraId="6F8D7B03">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COD</w:t>
                  </w:r>
                </w:p>
                <w:p w14:paraId="3AC39DDC">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BOD</w:t>
                  </w:r>
                  <w:r>
                    <w:rPr>
                      <w:rFonts w:hint="default" w:ascii="Times New Roman" w:hAnsi="Times New Roman" w:eastAsia="宋体" w:cs="Times New Roman"/>
                      <w:color w:val="auto"/>
                      <w:spacing w:val="0"/>
                      <w:position w:val="0"/>
                      <w:szCs w:val="21"/>
                      <w:highlight w:val="none"/>
                      <w:vertAlign w:val="subscript"/>
                    </w:rPr>
                    <w:t>5</w:t>
                  </w:r>
                </w:p>
                <w:p w14:paraId="2313953E">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氨氮SS</w:t>
                  </w:r>
                </w:p>
                <w:p w14:paraId="43CDFB8B">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pacing w:val="0"/>
                      <w:position w:val="0"/>
                      <w:szCs w:val="21"/>
                      <w:highlight w:val="none"/>
                      <w:lang w:val="en-US" w:eastAsia="zh-CN"/>
                    </w:rPr>
                  </w:pPr>
                  <w:r>
                    <w:rPr>
                      <w:rFonts w:hint="default" w:ascii="Times New Roman" w:hAnsi="Times New Roman" w:eastAsia="宋体" w:cs="Times New Roman"/>
                      <w:color w:val="auto"/>
                      <w:spacing w:val="0"/>
                      <w:position w:val="0"/>
                      <w:szCs w:val="21"/>
                      <w:highlight w:val="none"/>
                      <w:lang w:val="en-US" w:eastAsia="zh-CN"/>
                    </w:rPr>
                    <w:t>动植物油</w:t>
                  </w:r>
                  <w:r>
                    <w:rPr>
                      <w:rFonts w:hint="default" w:ascii="Times New Roman" w:hAnsi="Times New Roman" w:cs="Times New Roman"/>
                      <w:color w:val="auto"/>
                      <w:spacing w:val="0"/>
                      <w:position w:val="0"/>
                      <w:szCs w:val="21"/>
                      <w:highlight w:val="none"/>
                      <w:lang w:val="en-US" w:eastAsia="zh-CN"/>
                    </w:rPr>
                    <w:t>TP</w:t>
                  </w:r>
                </w:p>
                <w:p w14:paraId="5AE21B6A">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559" w:type="pct"/>
                  <w:tcBorders>
                    <w:tl2br w:val="nil"/>
                    <w:tr2bl w:val="nil"/>
                  </w:tcBorders>
                  <w:vAlign w:val="center"/>
                </w:tcPr>
                <w:p w14:paraId="2070C867">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lang w:eastAsia="zh-CN"/>
                    </w:rPr>
                  </w:pPr>
                  <w:r>
                    <w:rPr>
                      <w:rFonts w:hint="default" w:ascii="Times New Roman" w:hAnsi="Times New Roman" w:cs="Times New Roman"/>
                      <w:color w:val="auto"/>
                      <w:spacing w:val="0"/>
                      <w:position w:val="0"/>
                      <w:szCs w:val="21"/>
                      <w:highlight w:val="none"/>
                      <w:lang w:eastAsia="zh-CN"/>
                    </w:rPr>
                    <w:t>桦川县污水处理厂</w:t>
                  </w:r>
                </w:p>
              </w:tc>
              <w:tc>
                <w:tcPr>
                  <w:tcW w:w="563" w:type="pct"/>
                  <w:tcBorders>
                    <w:tl2br w:val="nil"/>
                    <w:tr2bl w:val="nil"/>
                  </w:tcBorders>
                  <w:vAlign w:val="center"/>
                </w:tcPr>
                <w:p w14:paraId="4E4714A0">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间歇排放，流量不稳定</w:t>
                  </w:r>
                </w:p>
              </w:tc>
              <w:tc>
                <w:tcPr>
                  <w:tcW w:w="396" w:type="pct"/>
                  <w:tcBorders>
                    <w:tl2br w:val="nil"/>
                    <w:tr2bl w:val="nil"/>
                  </w:tcBorders>
                  <w:vAlign w:val="center"/>
                </w:tcPr>
                <w:p w14:paraId="7939622B">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eastAsia="宋体" w:cs="Times New Roman"/>
                      <w:color w:val="auto"/>
                      <w:spacing w:val="0"/>
                      <w:position w:val="0"/>
                      <w:highlight w:val="none"/>
                      <w:lang w:val="en-US" w:eastAsia="zh-CN"/>
                    </w:rPr>
                    <w:t>TW001</w:t>
                  </w:r>
                </w:p>
              </w:tc>
              <w:tc>
                <w:tcPr>
                  <w:tcW w:w="400" w:type="pct"/>
                  <w:tcBorders>
                    <w:tl2br w:val="nil"/>
                    <w:tr2bl w:val="nil"/>
                  </w:tcBorders>
                  <w:vAlign w:val="center"/>
                </w:tcPr>
                <w:p w14:paraId="6DD75F61">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lang w:eastAsia="zh-CN"/>
                    </w:rPr>
                  </w:pPr>
                  <w:r>
                    <w:rPr>
                      <w:rFonts w:hint="default" w:ascii="Times New Roman" w:hAnsi="Times New Roman" w:eastAsia="宋体" w:cs="Times New Roman"/>
                      <w:color w:val="auto"/>
                      <w:spacing w:val="0"/>
                      <w:position w:val="0"/>
                      <w:szCs w:val="21"/>
                      <w:highlight w:val="none"/>
                      <w:lang w:val="en-US" w:eastAsia="zh-CN"/>
                    </w:rPr>
                    <w:t>污水处理站</w:t>
                  </w:r>
                </w:p>
              </w:tc>
              <w:tc>
                <w:tcPr>
                  <w:tcW w:w="453" w:type="pct"/>
                  <w:tcBorders>
                    <w:tl2br w:val="nil"/>
                    <w:tr2bl w:val="nil"/>
                  </w:tcBorders>
                  <w:vAlign w:val="center"/>
                </w:tcPr>
                <w:p w14:paraId="37F33FC8">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隔油沉淀池+调节池+高效溶气气浮+厌氧池+生物接触氧化池+清水池</w:t>
                  </w:r>
                </w:p>
              </w:tc>
              <w:tc>
                <w:tcPr>
                  <w:tcW w:w="412" w:type="pct"/>
                  <w:tcBorders>
                    <w:tl2br w:val="nil"/>
                    <w:tr2bl w:val="nil"/>
                  </w:tcBorders>
                  <w:vAlign w:val="center"/>
                </w:tcPr>
                <w:p w14:paraId="51B6E068">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DW</w:t>
                  </w:r>
                </w:p>
                <w:p w14:paraId="20D5983B">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001</w:t>
                  </w:r>
                </w:p>
              </w:tc>
              <w:tc>
                <w:tcPr>
                  <w:tcW w:w="487" w:type="pct"/>
                  <w:tcBorders>
                    <w:tl2br w:val="nil"/>
                    <w:tr2bl w:val="nil"/>
                  </w:tcBorders>
                  <w:vAlign w:val="center"/>
                </w:tcPr>
                <w:p w14:paraId="00F87F0E">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是</w:t>
                  </w:r>
                </w:p>
              </w:tc>
              <w:tc>
                <w:tcPr>
                  <w:tcW w:w="475" w:type="pct"/>
                  <w:vMerge w:val="restart"/>
                  <w:tcBorders>
                    <w:tl2br w:val="nil"/>
                    <w:tr2bl w:val="nil"/>
                  </w:tcBorders>
                  <w:vAlign w:val="center"/>
                </w:tcPr>
                <w:p w14:paraId="0B95BBCA">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√企业总排</w:t>
                  </w:r>
                </w:p>
                <w:p w14:paraId="0ACA2C08">
                  <w:pPr>
                    <w:pStyle w:val="50"/>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□雨水排放</w:t>
                  </w:r>
                </w:p>
                <w:p w14:paraId="1AD43231">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□清净下水排放</w:t>
                  </w:r>
                </w:p>
                <w:p w14:paraId="6D87A14B">
                  <w:pPr>
                    <w:pStyle w:val="50"/>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□温排水排放</w:t>
                  </w:r>
                </w:p>
                <w:p w14:paraId="1FA1FC8C">
                  <w:pPr>
                    <w:pStyle w:val="92"/>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□车间或车间处理设施排放</w:t>
                  </w:r>
                </w:p>
              </w:tc>
            </w:tr>
            <w:tr w14:paraId="10E493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9" w:type="pct"/>
                  <w:tcBorders>
                    <w:tl2br w:val="nil"/>
                    <w:tr2bl w:val="nil"/>
                  </w:tcBorders>
                  <w:vAlign w:val="center"/>
                </w:tcPr>
                <w:p w14:paraId="56F328D1">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2</w:t>
                  </w:r>
                </w:p>
              </w:tc>
              <w:tc>
                <w:tcPr>
                  <w:tcW w:w="499" w:type="pct"/>
                  <w:tcBorders>
                    <w:tl2br w:val="nil"/>
                    <w:tr2bl w:val="nil"/>
                  </w:tcBorders>
                  <w:vAlign w:val="center"/>
                </w:tcPr>
                <w:p w14:paraId="45848304">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生活污水、锅炉排污水、软化水处理浓水、冷却塔排污水</w:t>
                  </w:r>
                </w:p>
              </w:tc>
              <w:tc>
                <w:tcPr>
                  <w:tcW w:w="480" w:type="pct"/>
                  <w:tcBorders>
                    <w:tl2br w:val="nil"/>
                    <w:tr2bl w:val="nil"/>
                  </w:tcBorders>
                  <w:vAlign w:val="center"/>
                </w:tcPr>
                <w:p w14:paraId="657C86C4">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COD</w:t>
                  </w:r>
                </w:p>
                <w:p w14:paraId="3928EA82">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BOD</w:t>
                  </w:r>
                  <w:r>
                    <w:rPr>
                      <w:rFonts w:hint="default" w:ascii="Times New Roman" w:hAnsi="Times New Roman" w:eastAsia="宋体" w:cs="Times New Roman"/>
                      <w:color w:val="auto"/>
                      <w:spacing w:val="0"/>
                      <w:position w:val="0"/>
                      <w:szCs w:val="21"/>
                      <w:highlight w:val="none"/>
                      <w:vertAlign w:val="subscript"/>
                    </w:rPr>
                    <w:t>5</w:t>
                  </w:r>
                </w:p>
                <w:p w14:paraId="521C2C76">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氨氮SS</w:t>
                  </w:r>
                </w:p>
                <w:p w14:paraId="48AD85E7">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TDS盐类</w:t>
                  </w:r>
                </w:p>
              </w:tc>
              <w:tc>
                <w:tcPr>
                  <w:tcW w:w="559" w:type="pct"/>
                  <w:tcBorders>
                    <w:tl2br w:val="nil"/>
                    <w:tr2bl w:val="nil"/>
                  </w:tcBorders>
                  <w:vAlign w:val="center"/>
                </w:tcPr>
                <w:p w14:paraId="53E98D13">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pacing w:val="0"/>
                      <w:position w:val="0"/>
                      <w:szCs w:val="21"/>
                      <w:highlight w:val="none"/>
                      <w:lang w:eastAsia="zh-CN"/>
                    </w:rPr>
                  </w:pPr>
                  <w:r>
                    <w:rPr>
                      <w:rFonts w:hint="default" w:ascii="Times New Roman" w:hAnsi="Times New Roman" w:cs="Times New Roman"/>
                      <w:color w:val="auto"/>
                      <w:spacing w:val="0"/>
                      <w:position w:val="0"/>
                      <w:szCs w:val="21"/>
                      <w:highlight w:val="none"/>
                      <w:lang w:eastAsia="zh-CN"/>
                    </w:rPr>
                    <w:t>桦川县污水处理厂</w:t>
                  </w:r>
                </w:p>
              </w:tc>
              <w:tc>
                <w:tcPr>
                  <w:tcW w:w="563" w:type="pct"/>
                  <w:tcBorders>
                    <w:tl2br w:val="nil"/>
                    <w:tr2bl w:val="nil"/>
                  </w:tcBorders>
                  <w:vAlign w:val="center"/>
                </w:tcPr>
                <w:p w14:paraId="7D9774D4">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间歇排放，流量不稳定</w:t>
                  </w:r>
                </w:p>
              </w:tc>
              <w:tc>
                <w:tcPr>
                  <w:tcW w:w="396" w:type="pct"/>
                  <w:tcBorders>
                    <w:tl2br w:val="nil"/>
                    <w:tr2bl w:val="nil"/>
                  </w:tcBorders>
                  <w:vAlign w:val="center"/>
                </w:tcPr>
                <w:p w14:paraId="385590A5">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eastAsia="宋体" w:cs="Times New Roman"/>
                      <w:color w:val="auto"/>
                      <w:spacing w:val="0"/>
                      <w:position w:val="0"/>
                      <w:highlight w:val="none"/>
                      <w:lang w:val="en-US" w:eastAsia="zh-CN"/>
                    </w:rPr>
                    <w:t>/</w:t>
                  </w:r>
                </w:p>
              </w:tc>
              <w:tc>
                <w:tcPr>
                  <w:tcW w:w="400" w:type="pct"/>
                  <w:tcBorders>
                    <w:tl2br w:val="nil"/>
                    <w:tr2bl w:val="nil"/>
                  </w:tcBorders>
                  <w:vAlign w:val="center"/>
                </w:tcPr>
                <w:p w14:paraId="1628F066">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w:t>
                  </w:r>
                </w:p>
              </w:tc>
              <w:tc>
                <w:tcPr>
                  <w:tcW w:w="453" w:type="pct"/>
                  <w:tcBorders>
                    <w:tl2br w:val="nil"/>
                    <w:tr2bl w:val="nil"/>
                  </w:tcBorders>
                  <w:vAlign w:val="center"/>
                </w:tcPr>
                <w:p w14:paraId="2CD785AF">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w:t>
                  </w:r>
                </w:p>
              </w:tc>
              <w:tc>
                <w:tcPr>
                  <w:tcW w:w="412" w:type="pct"/>
                  <w:tcBorders>
                    <w:tl2br w:val="nil"/>
                    <w:tr2bl w:val="nil"/>
                  </w:tcBorders>
                  <w:vAlign w:val="center"/>
                </w:tcPr>
                <w:p w14:paraId="7E676E60">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DW</w:t>
                  </w:r>
                </w:p>
                <w:p w14:paraId="147C9776">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001</w:t>
                  </w:r>
                </w:p>
              </w:tc>
              <w:tc>
                <w:tcPr>
                  <w:tcW w:w="487" w:type="pct"/>
                  <w:tcBorders>
                    <w:tl2br w:val="nil"/>
                    <w:tr2bl w:val="nil"/>
                  </w:tcBorders>
                  <w:vAlign w:val="center"/>
                </w:tcPr>
                <w:p w14:paraId="7D756537">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是</w:t>
                  </w:r>
                </w:p>
              </w:tc>
              <w:tc>
                <w:tcPr>
                  <w:tcW w:w="475" w:type="pct"/>
                  <w:vMerge w:val="continue"/>
                  <w:tcBorders>
                    <w:tl2br w:val="nil"/>
                    <w:tr2bl w:val="nil"/>
                  </w:tcBorders>
                  <w:vAlign w:val="center"/>
                </w:tcPr>
                <w:p w14:paraId="21EE8D0E">
                  <w:pPr>
                    <w:pStyle w:val="92"/>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position w:val="0"/>
                      <w:sz w:val="21"/>
                      <w:szCs w:val="21"/>
                      <w:highlight w:val="none"/>
                    </w:rPr>
                  </w:pPr>
                </w:p>
              </w:tc>
            </w:tr>
          </w:tbl>
          <w:p w14:paraId="4B176CF1">
            <w:pPr>
              <w:pStyle w:val="102"/>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b/>
                <w:bCs/>
                <w:color w:val="auto"/>
                <w:spacing w:val="0"/>
                <w:position w:val="0"/>
                <w:sz w:val="24"/>
                <w:szCs w:val="28"/>
                <w:highlight w:val="none"/>
              </w:rPr>
            </w:pPr>
            <w:r>
              <w:rPr>
                <w:rFonts w:hint="default" w:ascii="Times New Roman" w:hAnsi="Times New Roman" w:eastAsia="宋体" w:cs="Times New Roman"/>
                <w:b/>
                <w:bCs/>
                <w:color w:val="auto"/>
                <w:spacing w:val="0"/>
                <w:position w:val="0"/>
                <w:sz w:val="24"/>
                <w:szCs w:val="28"/>
                <w:highlight w:val="none"/>
              </w:rPr>
              <w:t>表4-</w:t>
            </w:r>
            <w:r>
              <w:rPr>
                <w:rFonts w:hint="default" w:ascii="Times New Roman" w:hAnsi="Times New Roman" w:eastAsia="宋体" w:cs="Times New Roman"/>
                <w:b/>
                <w:bCs/>
                <w:color w:val="auto"/>
                <w:spacing w:val="0"/>
                <w:position w:val="0"/>
                <w:sz w:val="24"/>
                <w:szCs w:val="28"/>
                <w:highlight w:val="none"/>
                <w:lang w:val="en-US" w:eastAsia="zh-CN"/>
              </w:rPr>
              <w:t>8</w:t>
            </w:r>
            <w:r>
              <w:rPr>
                <w:rFonts w:hint="default" w:ascii="Times New Roman" w:hAnsi="Times New Roman" w:eastAsia="宋体" w:cs="Times New Roman"/>
                <w:b/>
                <w:bCs/>
                <w:color w:val="auto"/>
                <w:spacing w:val="0"/>
                <w:position w:val="0"/>
                <w:sz w:val="24"/>
                <w:szCs w:val="28"/>
                <w:highlight w:val="none"/>
              </w:rPr>
              <w:t xml:space="preserve"> 废水间接排放口基本情况表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6"/>
              <w:gridCol w:w="750"/>
              <w:gridCol w:w="852"/>
              <w:gridCol w:w="852"/>
              <w:gridCol w:w="855"/>
              <w:gridCol w:w="678"/>
              <w:gridCol w:w="851"/>
              <w:gridCol w:w="512"/>
              <w:gridCol w:w="713"/>
              <w:gridCol w:w="825"/>
              <w:gridCol w:w="983"/>
            </w:tblGrid>
            <w:tr w14:paraId="1D1AE2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dxa"/>
                  <w:vMerge w:val="restart"/>
                  <w:tcBorders>
                    <w:top w:val="single" w:color="auto" w:sz="12" w:space="0"/>
                    <w:left w:val="nil"/>
                    <w:right w:val="single" w:color="auto" w:sz="4" w:space="0"/>
                  </w:tcBorders>
                  <w:vAlign w:val="center"/>
                </w:tcPr>
                <w:p w14:paraId="50A6143A">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序号</w:t>
                  </w:r>
                </w:p>
              </w:tc>
              <w:tc>
                <w:tcPr>
                  <w:tcW w:w="723" w:type="dxa"/>
                  <w:vMerge w:val="restart"/>
                  <w:tcBorders>
                    <w:top w:val="single" w:color="auto" w:sz="12" w:space="0"/>
                    <w:left w:val="single" w:color="auto" w:sz="4" w:space="0"/>
                    <w:bottom w:val="single" w:color="auto" w:sz="4" w:space="0"/>
                    <w:right w:val="single" w:color="auto" w:sz="4" w:space="0"/>
                  </w:tcBorders>
                  <w:vAlign w:val="center"/>
                </w:tcPr>
                <w:p w14:paraId="17965875">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排放口编号</w:t>
                  </w:r>
                </w:p>
              </w:tc>
              <w:tc>
                <w:tcPr>
                  <w:tcW w:w="1642" w:type="dxa"/>
                  <w:gridSpan w:val="2"/>
                  <w:tcBorders>
                    <w:top w:val="single" w:color="auto" w:sz="12" w:space="0"/>
                    <w:left w:val="single" w:color="auto" w:sz="4" w:space="0"/>
                    <w:bottom w:val="single" w:color="auto" w:sz="4" w:space="0"/>
                    <w:right w:val="single" w:color="auto" w:sz="4" w:space="0"/>
                  </w:tcBorders>
                  <w:vAlign w:val="center"/>
                </w:tcPr>
                <w:p w14:paraId="0B32F6F8">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排放口地理坐标</w:t>
                  </w:r>
                </w:p>
              </w:tc>
              <w:tc>
                <w:tcPr>
                  <w:tcW w:w="824" w:type="dxa"/>
                  <w:vMerge w:val="restart"/>
                  <w:tcBorders>
                    <w:top w:val="single" w:color="auto" w:sz="12" w:space="0"/>
                    <w:left w:val="single" w:color="auto" w:sz="4" w:space="0"/>
                    <w:bottom w:val="single" w:color="auto" w:sz="4" w:space="0"/>
                    <w:right w:val="single" w:color="auto" w:sz="4" w:space="0"/>
                  </w:tcBorders>
                  <w:vAlign w:val="center"/>
                </w:tcPr>
                <w:p w14:paraId="4D03DECF">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废水排放量/万t/a</w:t>
                  </w:r>
                </w:p>
              </w:tc>
              <w:tc>
                <w:tcPr>
                  <w:tcW w:w="654" w:type="dxa"/>
                  <w:vMerge w:val="restart"/>
                  <w:tcBorders>
                    <w:top w:val="single" w:color="auto" w:sz="12" w:space="0"/>
                    <w:left w:val="single" w:color="auto" w:sz="4" w:space="0"/>
                    <w:bottom w:val="single" w:color="auto" w:sz="4" w:space="0"/>
                    <w:right w:val="single" w:color="auto" w:sz="4" w:space="0"/>
                  </w:tcBorders>
                  <w:vAlign w:val="center"/>
                </w:tcPr>
                <w:p w14:paraId="4D1A0509">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排放去向</w:t>
                  </w:r>
                </w:p>
              </w:tc>
              <w:tc>
                <w:tcPr>
                  <w:tcW w:w="820" w:type="dxa"/>
                  <w:vMerge w:val="restart"/>
                  <w:tcBorders>
                    <w:top w:val="single" w:color="auto" w:sz="12" w:space="0"/>
                    <w:left w:val="single" w:color="auto" w:sz="4" w:space="0"/>
                    <w:bottom w:val="single" w:color="auto" w:sz="4" w:space="0"/>
                    <w:right w:val="single" w:color="auto" w:sz="4" w:space="0"/>
                  </w:tcBorders>
                  <w:vAlign w:val="center"/>
                </w:tcPr>
                <w:p w14:paraId="6855B260">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排放规律</w:t>
                  </w:r>
                </w:p>
              </w:tc>
              <w:tc>
                <w:tcPr>
                  <w:tcW w:w="494" w:type="dxa"/>
                  <w:vMerge w:val="restart"/>
                  <w:tcBorders>
                    <w:top w:val="single" w:color="auto" w:sz="12" w:space="0"/>
                    <w:left w:val="single" w:color="auto" w:sz="4" w:space="0"/>
                    <w:bottom w:val="single" w:color="auto" w:sz="4" w:space="0"/>
                    <w:right w:val="single" w:color="auto" w:sz="4" w:space="0"/>
                  </w:tcBorders>
                  <w:vAlign w:val="center"/>
                </w:tcPr>
                <w:p w14:paraId="073CAC56">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间歇排放时段</w:t>
                  </w:r>
                </w:p>
              </w:tc>
              <w:tc>
                <w:tcPr>
                  <w:tcW w:w="2430" w:type="dxa"/>
                  <w:gridSpan w:val="3"/>
                  <w:tcBorders>
                    <w:top w:val="single" w:color="auto" w:sz="12" w:space="0"/>
                    <w:left w:val="single" w:color="auto" w:sz="4" w:space="0"/>
                    <w:bottom w:val="single" w:color="auto" w:sz="4" w:space="0"/>
                    <w:right w:val="nil"/>
                  </w:tcBorders>
                  <w:vAlign w:val="center"/>
                </w:tcPr>
                <w:p w14:paraId="727C865D">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受纳污水处理厂信息</w:t>
                  </w:r>
                </w:p>
              </w:tc>
            </w:tr>
            <w:tr w14:paraId="5C0A35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dxa"/>
                  <w:vMerge w:val="continue"/>
                  <w:tcBorders>
                    <w:left w:val="nil"/>
                    <w:bottom w:val="single" w:color="auto" w:sz="4" w:space="0"/>
                    <w:right w:val="single" w:color="auto" w:sz="4" w:space="0"/>
                  </w:tcBorders>
                  <w:vAlign w:val="center"/>
                </w:tcPr>
                <w:p w14:paraId="7E8DFAB1">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723" w:type="dxa"/>
                  <w:vMerge w:val="continue"/>
                  <w:tcBorders>
                    <w:top w:val="single" w:color="auto" w:sz="12" w:space="0"/>
                    <w:left w:val="single" w:color="auto" w:sz="4" w:space="0"/>
                    <w:bottom w:val="single" w:color="auto" w:sz="4" w:space="0"/>
                    <w:right w:val="single" w:color="auto" w:sz="4" w:space="0"/>
                  </w:tcBorders>
                  <w:vAlign w:val="center"/>
                </w:tcPr>
                <w:p w14:paraId="391D2C79">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821" w:type="dxa"/>
                  <w:tcBorders>
                    <w:top w:val="single" w:color="auto" w:sz="4" w:space="0"/>
                    <w:left w:val="single" w:color="auto" w:sz="4" w:space="0"/>
                    <w:bottom w:val="single" w:color="auto" w:sz="4" w:space="0"/>
                    <w:right w:val="single" w:color="auto" w:sz="4" w:space="0"/>
                  </w:tcBorders>
                  <w:vAlign w:val="center"/>
                </w:tcPr>
                <w:p w14:paraId="05E8CA3F">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经度</w:t>
                  </w:r>
                </w:p>
              </w:tc>
              <w:tc>
                <w:tcPr>
                  <w:tcW w:w="821" w:type="dxa"/>
                  <w:tcBorders>
                    <w:top w:val="single" w:color="auto" w:sz="4" w:space="0"/>
                    <w:left w:val="single" w:color="auto" w:sz="4" w:space="0"/>
                    <w:bottom w:val="single" w:color="auto" w:sz="4" w:space="0"/>
                    <w:right w:val="single" w:color="auto" w:sz="4" w:space="0"/>
                  </w:tcBorders>
                  <w:vAlign w:val="center"/>
                </w:tcPr>
                <w:p w14:paraId="5F50167E">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纬度</w:t>
                  </w:r>
                </w:p>
              </w:tc>
              <w:tc>
                <w:tcPr>
                  <w:tcW w:w="824" w:type="dxa"/>
                  <w:vMerge w:val="continue"/>
                  <w:tcBorders>
                    <w:top w:val="single" w:color="auto" w:sz="12" w:space="0"/>
                    <w:left w:val="single" w:color="auto" w:sz="4" w:space="0"/>
                    <w:bottom w:val="single" w:color="auto" w:sz="4" w:space="0"/>
                    <w:right w:val="single" w:color="auto" w:sz="4" w:space="0"/>
                  </w:tcBorders>
                  <w:vAlign w:val="center"/>
                </w:tcPr>
                <w:p w14:paraId="36C3C406">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654" w:type="dxa"/>
                  <w:vMerge w:val="continue"/>
                  <w:tcBorders>
                    <w:top w:val="single" w:color="auto" w:sz="12" w:space="0"/>
                    <w:left w:val="single" w:color="auto" w:sz="4" w:space="0"/>
                    <w:bottom w:val="single" w:color="auto" w:sz="4" w:space="0"/>
                    <w:right w:val="single" w:color="auto" w:sz="4" w:space="0"/>
                  </w:tcBorders>
                  <w:vAlign w:val="center"/>
                </w:tcPr>
                <w:p w14:paraId="5A1079D4">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820" w:type="dxa"/>
                  <w:vMerge w:val="continue"/>
                  <w:tcBorders>
                    <w:top w:val="single" w:color="auto" w:sz="12" w:space="0"/>
                    <w:left w:val="single" w:color="auto" w:sz="4" w:space="0"/>
                    <w:bottom w:val="single" w:color="auto" w:sz="4" w:space="0"/>
                    <w:right w:val="single" w:color="auto" w:sz="4" w:space="0"/>
                  </w:tcBorders>
                  <w:vAlign w:val="center"/>
                </w:tcPr>
                <w:p w14:paraId="1E227EB9">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494" w:type="dxa"/>
                  <w:vMerge w:val="continue"/>
                  <w:tcBorders>
                    <w:top w:val="single" w:color="auto" w:sz="12" w:space="0"/>
                    <w:left w:val="single" w:color="auto" w:sz="4" w:space="0"/>
                    <w:bottom w:val="single" w:color="auto" w:sz="4" w:space="0"/>
                    <w:right w:val="single" w:color="auto" w:sz="4" w:space="0"/>
                  </w:tcBorders>
                  <w:vAlign w:val="center"/>
                </w:tcPr>
                <w:p w14:paraId="2AD72F4C">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687" w:type="dxa"/>
                  <w:tcBorders>
                    <w:top w:val="single" w:color="auto" w:sz="4" w:space="0"/>
                    <w:left w:val="single" w:color="auto" w:sz="4" w:space="0"/>
                    <w:bottom w:val="single" w:color="auto" w:sz="4" w:space="0"/>
                    <w:right w:val="single" w:color="auto" w:sz="4" w:space="0"/>
                  </w:tcBorders>
                  <w:vAlign w:val="center"/>
                </w:tcPr>
                <w:p w14:paraId="234728A8">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名称</w:t>
                  </w:r>
                </w:p>
              </w:tc>
              <w:tc>
                <w:tcPr>
                  <w:tcW w:w="795" w:type="dxa"/>
                  <w:tcBorders>
                    <w:top w:val="single" w:color="auto" w:sz="4" w:space="0"/>
                    <w:left w:val="single" w:color="auto" w:sz="4" w:space="0"/>
                    <w:bottom w:val="single" w:color="auto" w:sz="4" w:space="0"/>
                    <w:right w:val="single" w:color="auto" w:sz="4" w:space="0"/>
                  </w:tcBorders>
                  <w:vAlign w:val="center"/>
                </w:tcPr>
                <w:p w14:paraId="1E0D1C83">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污染物种类</w:t>
                  </w:r>
                </w:p>
              </w:tc>
              <w:tc>
                <w:tcPr>
                  <w:tcW w:w="948" w:type="dxa"/>
                  <w:tcBorders>
                    <w:top w:val="single" w:color="auto" w:sz="4" w:space="0"/>
                    <w:left w:val="single" w:color="auto" w:sz="4" w:space="0"/>
                    <w:bottom w:val="single" w:color="auto" w:sz="4" w:space="0"/>
                    <w:right w:val="nil"/>
                  </w:tcBorders>
                  <w:vAlign w:val="center"/>
                </w:tcPr>
                <w:p w14:paraId="728DCF52">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国家或地方污染物排放标准浓度限值/mg/L</w:t>
                  </w:r>
                </w:p>
              </w:tc>
            </w:tr>
            <w:tr w14:paraId="267B17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dxa"/>
                  <w:vMerge w:val="restart"/>
                  <w:tcBorders>
                    <w:top w:val="single" w:color="auto" w:sz="4" w:space="0"/>
                    <w:left w:val="nil"/>
                    <w:right w:val="single" w:color="auto" w:sz="4" w:space="0"/>
                  </w:tcBorders>
                  <w:vAlign w:val="center"/>
                </w:tcPr>
                <w:p w14:paraId="43A0B572">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1</w:t>
                  </w:r>
                </w:p>
              </w:tc>
              <w:tc>
                <w:tcPr>
                  <w:tcW w:w="723" w:type="dxa"/>
                  <w:vMerge w:val="restart"/>
                  <w:tcBorders>
                    <w:top w:val="single" w:color="auto" w:sz="4" w:space="0"/>
                    <w:left w:val="single" w:color="auto" w:sz="4" w:space="0"/>
                    <w:bottom w:val="single" w:color="auto" w:sz="12" w:space="0"/>
                    <w:right w:val="single" w:color="auto" w:sz="4" w:space="0"/>
                  </w:tcBorders>
                  <w:vAlign w:val="center"/>
                </w:tcPr>
                <w:p w14:paraId="545DB6C0">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DW</w:t>
                  </w:r>
                </w:p>
                <w:p w14:paraId="6B11EB3A">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001</w:t>
                  </w:r>
                </w:p>
              </w:tc>
              <w:tc>
                <w:tcPr>
                  <w:tcW w:w="821" w:type="dxa"/>
                  <w:vMerge w:val="restart"/>
                  <w:tcBorders>
                    <w:top w:val="single" w:color="auto" w:sz="4" w:space="0"/>
                    <w:left w:val="single" w:color="auto" w:sz="4" w:space="0"/>
                    <w:bottom w:val="single" w:color="auto" w:sz="12" w:space="0"/>
                    <w:right w:val="single" w:color="auto" w:sz="4" w:space="0"/>
                  </w:tcBorders>
                  <w:vAlign w:val="center"/>
                </w:tcPr>
                <w:p w14:paraId="42C3A2D3">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eastAsia="宋体" w:cs="Times New Roman"/>
                      <w:color w:val="auto"/>
                      <w:spacing w:val="0"/>
                      <w:position w:val="0"/>
                      <w:szCs w:val="21"/>
                      <w:highlight w:val="none"/>
                      <w:lang w:val="en-US" w:eastAsia="zh-CN"/>
                    </w:rPr>
                    <w:t>130.723979</w:t>
                  </w:r>
                </w:p>
              </w:tc>
              <w:tc>
                <w:tcPr>
                  <w:tcW w:w="821" w:type="dxa"/>
                  <w:vMerge w:val="restart"/>
                  <w:tcBorders>
                    <w:top w:val="single" w:color="auto" w:sz="4" w:space="0"/>
                    <w:left w:val="single" w:color="auto" w:sz="4" w:space="0"/>
                    <w:bottom w:val="single" w:color="auto" w:sz="12" w:space="0"/>
                    <w:right w:val="single" w:color="auto" w:sz="4" w:space="0"/>
                  </w:tcBorders>
                  <w:vAlign w:val="center"/>
                </w:tcPr>
                <w:p w14:paraId="2F204972">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eastAsia="宋体" w:cs="Times New Roman"/>
                      <w:color w:val="auto"/>
                      <w:spacing w:val="0"/>
                      <w:position w:val="0"/>
                      <w:szCs w:val="21"/>
                      <w:highlight w:val="none"/>
                      <w:lang w:val="en-US" w:eastAsia="zh-CN"/>
                    </w:rPr>
                    <w:t>46.999624</w:t>
                  </w:r>
                </w:p>
              </w:tc>
              <w:tc>
                <w:tcPr>
                  <w:tcW w:w="824" w:type="dxa"/>
                  <w:vMerge w:val="restart"/>
                  <w:tcBorders>
                    <w:top w:val="single" w:color="auto" w:sz="4" w:space="0"/>
                    <w:left w:val="single" w:color="auto" w:sz="4" w:space="0"/>
                    <w:bottom w:val="single" w:color="auto" w:sz="12" w:space="0"/>
                    <w:right w:val="single" w:color="auto" w:sz="4" w:space="0"/>
                  </w:tcBorders>
                  <w:vAlign w:val="center"/>
                </w:tcPr>
                <w:p w14:paraId="27722BA0">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3.8620</w:t>
                  </w:r>
                </w:p>
              </w:tc>
              <w:tc>
                <w:tcPr>
                  <w:tcW w:w="654" w:type="dxa"/>
                  <w:vMerge w:val="restart"/>
                  <w:tcBorders>
                    <w:top w:val="single" w:color="auto" w:sz="4" w:space="0"/>
                    <w:left w:val="single" w:color="auto" w:sz="4" w:space="0"/>
                    <w:bottom w:val="single" w:color="auto" w:sz="12" w:space="0"/>
                    <w:right w:val="single" w:color="auto" w:sz="4" w:space="0"/>
                  </w:tcBorders>
                  <w:vAlign w:val="center"/>
                </w:tcPr>
                <w:p w14:paraId="6F8D0E83">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城市污水处理厂</w:t>
                  </w:r>
                </w:p>
              </w:tc>
              <w:tc>
                <w:tcPr>
                  <w:tcW w:w="820" w:type="dxa"/>
                  <w:vMerge w:val="restart"/>
                  <w:tcBorders>
                    <w:top w:val="single" w:color="auto" w:sz="4" w:space="0"/>
                    <w:left w:val="single" w:color="auto" w:sz="4" w:space="0"/>
                    <w:bottom w:val="single" w:color="auto" w:sz="12" w:space="0"/>
                    <w:right w:val="single" w:color="auto" w:sz="4" w:space="0"/>
                  </w:tcBorders>
                  <w:vAlign w:val="center"/>
                </w:tcPr>
                <w:p w14:paraId="781CD9EF">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间断排放，流量不稳定</w:t>
                  </w:r>
                </w:p>
              </w:tc>
              <w:tc>
                <w:tcPr>
                  <w:tcW w:w="494" w:type="dxa"/>
                  <w:vMerge w:val="restart"/>
                  <w:tcBorders>
                    <w:top w:val="single" w:color="auto" w:sz="4" w:space="0"/>
                    <w:left w:val="single" w:color="auto" w:sz="4" w:space="0"/>
                    <w:bottom w:val="single" w:color="auto" w:sz="12" w:space="0"/>
                    <w:right w:val="single" w:color="auto" w:sz="4" w:space="0"/>
                  </w:tcBorders>
                  <w:vAlign w:val="center"/>
                </w:tcPr>
                <w:p w14:paraId="574C187C">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w:t>
                  </w:r>
                </w:p>
              </w:tc>
              <w:tc>
                <w:tcPr>
                  <w:tcW w:w="687" w:type="dxa"/>
                  <w:vMerge w:val="restart"/>
                  <w:tcBorders>
                    <w:top w:val="single" w:color="auto" w:sz="4" w:space="0"/>
                    <w:left w:val="single" w:color="auto" w:sz="4" w:space="0"/>
                    <w:bottom w:val="single" w:color="auto" w:sz="12" w:space="0"/>
                    <w:right w:val="single" w:color="auto" w:sz="4" w:space="0"/>
                  </w:tcBorders>
                  <w:vAlign w:val="center"/>
                </w:tcPr>
                <w:p w14:paraId="523534B1">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lang w:eastAsia="zh-CN"/>
                    </w:rPr>
                  </w:pPr>
                  <w:r>
                    <w:rPr>
                      <w:rFonts w:hint="default" w:ascii="Times New Roman" w:hAnsi="Times New Roman" w:cs="Times New Roman"/>
                      <w:color w:val="auto"/>
                      <w:spacing w:val="0"/>
                      <w:position w:val="0"/>
                      <w:szCs w:val="21"/>
                      <w:highlight w:val="none"/>
                      <w:lang w:eastAsia="zh-CN"/>
                    </w:rPr>
                    <w:t>桦川县污水处理厂</w:t>
                  </w:r>
                </w:p>
              </w:tc>
              <w:tc>
                <w:tcPr>
                  <w:tcW w:w="795" w:type="dxa"/>
                  <w:tcBorders>
                    <w:top w:val="single" w:color="auto" w:sz="4" w:space="0"/>
                    <w:left w:val="single" w:color="auto" w:sz="4" w:space="0"/>
                    <w:bottom w:val="single" w:color="auto" w:sz="2" w:space="0"/>
                    <w:right w:val="single" w:color="auto" w:sz="4" w:space="0"/>
                  </w:tcBorders>
                  <w:vAlign w:val="center"/>
                </w:tcPr>
                <w:p w14:paraId="17AF05D1">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COD</w:t>
                  </w:r>
                </w:p>
              </w:tc>
              <w:tc>
                <w:tcPr>
                  <w:tcW w:w="948" w:type="dxa"/>
                  <w:tcBorders>
                    <w:top w:val="single" w:color="auto" w:sz="4" w:space="0"/>
                    <w:left w:val="single" w:color="auto" w:sz="4" w:space="0"/>
                    <w:bottom w:val="single" w:color="auto" w:sz="2" w:space="0"/>
                    <w:right w:val="nil"/>
                  </w:tcBorders>
                  <w:vAlign w:val="center"/>
                </w:tcPr>
                <w:p w14:paraId="0F48AE89">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50</w:t>
                  </w:r>
                </w:p>
              </w:tc>
            </w:tr>
            <w:tr w14:paraId="3953C9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dxa"/>
                  <w:vMerge w:val="continue"/>
                  <w:tcBorders>
                    <w:left w:val="nil"/>
                    <w:right w:val="single" w:color="auto" w:sz="4" w:space="0"/>
                  </w:tcBorders>
                  <w:vAlign w:val="center"/>
                </w:tcPr>
                <w:p w14:paraId="7CFCF8C7">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723" w:type="dxa"/>
                  <w:vMerge w:val="continue"/>
                  <w:tcBorders>
                    <w:top w:val="single" w:color="auto" w:sz="4" w:space="0"/>
                    <w:left w:val="single" w:color="auto" w:sz="4" w:space="0"/>
                    <w:bottom w:val="single" w:color="auto" w:sz="12" w:space="0"/>
                    <w:right w:val="single" w:color="auto" w:sz="4" w:space="0"/>
                  </w:tcBorders>
                  <w:vAlign w:val="center"/>
                </w:tcPr>
                <w:p w14:paraId="41880624">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821" w:type="dxa"/>
                  <w:vMerge w:val="continue"/>
                  <w:tcBorders>
                    <w:top w:val="single" w:color="auto" w:sz="4" w:space="0"/>
                    <w:left w:val="single" w:color="auto" w:sz="4" w:space="0"/>
                    <w:bottom w:val="single" w:color="auto" w:sz="12" w:space="0"/>
                    <w:right w:val="single" w:color="auto" w:sz="4" w:space="0"/>
                  </w:tcBorders>
                  <w:vAlign w:val="center"/>
                </w:tcPr>
                <w:p w14:paraId="65199A89">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821" w:type="dxa"/>
                  <w:vMerge w:val="continue"/>
                  <w:tcBorders>
                    <w:top w:val="single" w:color="auto" w:sz="4" w:space="0"/>
                    <w:left w:val="single" w:color="auto" w:sz="4" w:space="0"/>
                    <w:bottom w:val="single" w:color="auto" w:sz="12" w:space="0"/>
                    <w:right w:val="single" w:color="auto" w:sz="4" w:space="0"/>
                  </w:tcBorders>
                  <w:vAlign w:val="center"/>
                </w:tcPr>
                <w:p w14:paraId="7E3896B2">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824" w:type="dxa"/>
                  <w:vMerge w:val="continue"/>
                  <w:tcBorders>
                    <w:top w:val="single" w:color="auto" w:sz="4" w:space="0"/>
                    <w:left w:val="single" w:color="auto" w:sz="4" w:space="0"/>
                    <w:bottom w:val="single" w:color="auto" w:sz="12" w:space="0"/>
                    <w:right w:val="single" w:color="auto" w:sz="4" w:space="0"/>
                  </w:tcBorders>
                  <w:vAlign w:val="center"/>
                </w:tcPr>
                <w:p w14:paraId="5B0A02E4">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654" w:type="dxa"/>
                  <w:vMerge w:val="continue"/>
                  <w:tcBorders>
                    <w:top w:val="single" w:color="auto" w:sz="4" w:space="0"/>
                    <w:left w:val="single" w:color="auto" w:sz="4" w:space="0"/>
                    <w:bottom w:val="single" w:color="auto" w:sz="12" w:space="0"/>
                    <w:right w:val="single" w:color="auto" w:sz="4" w:space="0"/>
                  </w:tcBorders>
                  <w:vAlign w:val="center"/>
                </w:tcPr>
                <w:p w14:paraId="28AE82F3">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820" w:type="dxa"/>
                  <w:vMerge w:val="continue"/>
                  <w:tcBorders>
                    <w:top w:val="single" w:color="auto" w:sz="4" w:space="0"/>
                    <w:left w:val="single" w:color="auto" w:sz="4" w:space="0"/>
                    <w:bottom w:val="single" w:color="auto" w:sz="12" w:space="0"/>
                    <w:right w:val="single" w:color="auto" w:sz="4" w:space="0"/>
                  </w:tcBorders>
                  <w:vAlign w:val="center"/>
                </w:tcPr>
                <w:p w14:paraId="0C636698">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494" w:type="dxa"/>
                  <w:vMerge w:val="continue"/>
                  <w:tcBorders>
                    <w:top w:val="single" w:color="auto" w:sz="4" w:space="0"/>
                    <w:left w:val="single" w:color="auto" w:sz="4" w:space="0"/>
                    <w:bottom w:val="single" w:color="auto" w:sz="12" w:space="0"/>
                    <w:right w:val="single" w:color="auto" w:sz="4" w:space="0"/>
                  </w:tcBorders>
                  <w:vAlign w:val="center"/>
                </w:tcPr>
                <w:p w14:paraId="4E0AD854">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687" w:type="dxa"/>
                  <w:vMerge w:val="continue"/>
                  <w:tcBorders>
                    <w:top w:val="single" w:color="auto" w:sz="4" w:space="0"/>
                    <w:left w:val="single" w:color="auto" w:sz="4" w:space="0"/>
                    <w:bottom w:val="single" w:color="auto" w:sz="12" w:space="0"/>
                    <w:right w:val="single" w:color="auto" w:sz="4" w:space="0"/>
                  </w:tcBorders>
                  <w:vAlign w:val="center"/>
                </w:tcPr>
                <w:p w14:paraId="2682ADAB">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795" w:type="dxa"/>
                  <w:tcBorders>
                    <w:top w:val="single" w:color="auto" w:sz="2" w:space="0"/>
                    <w:left w:val="single" w:color="auto" w:sz="4" w:space="0"/>
                    <w:bottom w:val="single" w:color="auto" w:sz="2" w:space="0"/>
                    <w:right w:val="single" w:color="auto" w:sz="4" w:space="0"/>
                  </w:tcBorders>
                  <w:vAlign w:val="center"/>
                </w:tcPr>
                <w:p w14:paraId="6478035B">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氨氮</w:t>
                  </w:r>
                </w:p>
              </w:tc>
              <w:tc>
                <w:tcPr>
                  <w:tcW w:w="948" w:type="dxa"/>
                  <w:tcBorders>
                    <w:top w:val="single" w:color="auto" w:sz="2" w:space="0"/>
                    <w:left w:val="single" w:color="auto" w:sz="4" w:space="0"/>
                    <w:bottom w:val="single" w:color="auto" w:sz="2" w:space="0"/>
                    <w:right w:val="nil"/>
                  </w:tcBorders>
                  <w:vAlign w:val="center"/>
                </w:tcPr>
                <w:p w14:paraId="4286C089">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5</w:t>
                  </w:r>
                  <w:r>
                    <w:rPr>
                      <w:rFonts w:hint="default" w:ascii="Times New Roman" w:hAnsi="Times New Roman" w:cs="Times New Roman"/>
                      <w:color w:val="auto"/>
                      <w:spacing w:val="0"/>
                      <w:position w:val="0"/>
                      <w:szCs w:val="21"/>
                      <w:highlight w:val="none"/>
                      <w:lang w:eastAsia="zh-CN"/>
                    </w:rPr>
                    <w:t>（</w:t>
                  </w:r>
                  <w:r>
                    <w:rPr>
                      <w:rFonts w:hint="default" w:ascii="Times New Roman" w:hAnsi="Times New Roman" w:cs="Times New Roman"/>
                      <w:color w:val="auto"/>
                      <w:spacing w:val="0"/>
                      <w:position w:val="0"/>
                      <w:szCs w:val="21"/>
                      <w:highlight w:val="none"/>
                      <w:lang w:val="en-US" w:eastAsia="zh-CN"/>
                    </w:rPr>
                    <w:t>8</w:t>
                  </w:r>
                  <w:r>
                    <w:rPr>
                      <w:rFonts w:hint="default" w:ascii="Times New Roman" w:hAnsi="Times New Roman" w:cs="Times New Roman"/>
                      <w:color w:val="auto"/>
                      <w:spacing w:val="0"/>
                      <w:position w:val="0"/>
                      <w:szCs w:val="21"/>
                      <w:highlight w:val="none"/>
                      <w:lang w:eastAsia="zh-CN"/>
                    </w:rPr>
                    <w:t>）</w:t>
                  </w:r>
                </w:p>
              </w:tc>
            </w:tr>
            <w:tr w14:paraId="31AF7A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dxa"/>
                  <w:vMerge w:val="continue"/>
                  <w:tcBorders>
                    <w:left w:val="nil"/>
                    <w:right w:val="single" w:color="auto" w:sz="4" w:space="0"/>
                  </w:tcBorders>
                  <w:vAlign w:val="center"/>
                </w:tcPr>
                <w:p w14:paraId="7C761C3C">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723" w:type="dxa"/>
                  <w:vMerge w:val="continue"/>
                  <w:tcBorders>
                    <w:top w:val="single" w:color="auto" w:sz="4" w:space="0"/>
                    <w:left w:val="single" w:color="auto" w:sz="4" w:space="0"/>
                    <w:bottom w:val="single" w:color="auto" w:sz="12" w:space="0"/>
                    <w:right w:val="single" w:color="auto" w:sz="4" w:space="0"/>
                  </w:tcBorders>
                  <w:vAlign w:val="center"/>
                </w:tcPr>
                <w:p w14:paraId="6AD6DB91">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821" w:type="dxa"/>
                  <w:vMerge w:val="continue"/>
                  <w:tcBorders>
                    <w:top w:val="single" w:color="auto" w:sz="4" w:space="0"/>
                    <w:left w:val="single" w:color="auto" w:sz="4" w:space="0"/>
                    <w:bottom w:val="single" w:color="auto" w:sz="12" w:space="0"/>
                    <w:right w:val="single" w:color="auto" w:sz="4" w:space="0"/>
                  </w:tcBorders>
                  <w:vAlign w:val="center"/>
                </w:tcPr>
                <w:p w14:paraId="50B44357">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821" w:type="dxa"/>
                  <w:vMerge w:val="continue"/>
                  <w:tcBorders>
                    <w:top w:val="single" w:color="auto" w:sz="4" w:space="0"/>
                    <w:left w:val="single" w:color="auto" w:sz="4" w:space="0"/>
                    <w:bottom w:val="single" w:color="auto" w:sz="12" w:space="0"/>
                    <w:right w:val="single" w:color="auto" w:sz="4" w:space="0"/>
                  </w:tcBorders>
                  <w:vAlign w:val="center"/>
                </w:tcPr>
                <w:p w14:paraId="47B5F5B8">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824" w:type="dxa"/>
                  <w:vMerge w:val="continue"/>
                  <w:tcBorders>
                    <w:top w:val="single" w:color="auto" w:sz="4" w:space="0"/>
                    <w:left w:val="single" w:color="auto" w:sz="4" w:space="0"/>
                    <w:bottom w:val="single" w:color="auto" w:sz="12" w:space="0"/>
                    <w:right w:val="single" w:color="auto" w:sz="4" w:space="0"/>
                  </w:tcBorders>
                  <w:vAlign w:val="center"/>
                </w:tcPr>
                <w:p w14:paraId="1257E298">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654" w:type="dxa"/>
                  <w:vMerge w:val="continue"/>
                  <w:tcBorders>
                    <w:top w:val="single" w:color="auto" w:sz="4" w:space="0"/>
                    <w:left w:val="single" w:color="auto" w:sz="4" w:space="0"/>
                    <w:bottom w:val="single" w:color="auto" w:sz="12" w:space="0"/>
                    <w:right w:val="single" w:color="auto" w:sz="4" w:space="0"/>
                  </w:tcBorders>
                  <w:vAlign w:val="center"/>
                </w:tcPr>
                <w:p w14:paraId="79583F8D">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820" w:type="dxa"/>
                  <w:vMerge w:val="continue"/>
                  <w:tcBorders>
                    <w:top w:val="single" w:color="auto" w:sz="4" w:space="0"/>
                    <w:left w:val="single" w:color="auto" w:sz="4" w:space="0"/>
                    <w:bottom w:val="single" w:color="auto" w:sz="12" w:space="0"/>
                    <w:right w:val="single" w:color="auto" w:sz="4" w:space="0"/>
                  </w:tcBorders>
                  <w:vAlign w:val="center"/>
                </w:tcPr>
                <w:p w14:paraId="69ADED88">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494" w:type="dxa"/>
                  <w:vMerge w:val="continue"/>
                  <w:tcBorders>
                    <w:top w:val="single" w:color="auto" w:sz="4" w:space="0"/>
                    <w:left w:val="single" w:color="auto" w:sz="4" w:space="0"/>
                    <w:bottom w:val="single" w:color="auto" w:sz="12" w:space="0"/>
                    <w:right w:val="single" w:color="auto" w:sz="4" w:space="0"/>
                  </w:tcBorders>
                  <w:vAlign w:val="center"/>
                </w:tcPr>
                <w:p w14:paraId="75D86183">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687" w:type="dxa"/>
                  <w:vMerge w:val="continue"/>
                  <w:tcBorders>
                    <w:top w:val="single" w:color="auto" w:sz="4" w:space="0"/>
                    <w:left w:val="single" w:color="auto" w:sz="4" w:space="0"/>
                    <w:bottom w:val="single" w:color="auto" w:sz="12" w:space="0"/>
                    <w:right w:val="single" w:color="auto" w:sz="4" w:space="0"/>
                  </w:tcBorders>
                  <w:vAlign w:val="center"/>
                </w:tcPr>
                <w:p w14:paraId="4B660325">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795" w:type="dxa"/>
                  <w:tcBorders>
                    <w:top w:val="single" w:color="auto" w:sz="2" w:space="0"/>
                    <w:left w:val="single" w:color="auto" w:sz="4" w:space="0"/>
                    <w:bottom w:val="single" w:color="auto" w:sz="2" w:space="0"/>
                    <w:right w:val="single" w:color="auto" w:sz="4" w:space="0"/>
                  </w:tcBorders>
                  <w:vAlign w:val="center"/>
                </w:tcPr>
                <w:p w14:paraId="30364F88">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SS</w:t>
                  </w:r>
                </w:p>
              </w:tc>
              <w:tc>
                <w:tcPr>
                  <w:tcW w:w="948" w:type="dxa"/>
                  <w:tcBorders>
                    <w:top w:val="single" w:color="auto" w:sz="2" w:space="0"/>
                    <w:left w:val="single" w:color="auto" w:sz="4" w:space="0"/>
                    <w:bottom w:val="single" w:color="auto" w:sz="2" w:space="0"/>
                    <w:right w:val="nil"/>
                  </w:tcBorders>
                  <w:vAlign w:val="center"/>
                </w:tcPr>
                <w:p w14:paraId="2F997572">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10</w:t>
                  </w:r>
                </w:p>
              </w:tc>
            </w:tr>
            <w:tr w14:paraId="758089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dxa"/>
                  <w:vMerge w:val="continue"/>
                  <w:tcBorders>
                    <w:left w:val="nil"/>
                    <w:bottom w:val="single" w:color="auto" w:sz="12" w:space="0"/>
                    <w:right w:val="single" w:color="auto" w:sz="4" w:space="0"/>
                  </w:tcBorders>
                  <w:vAlign w:val="center"/>
                </w:tcPr>
                <w:p w14:paraId="191C7EED">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723" w:type="dxa"/>
                  <w:vMerge w:val="continue"/>
                  <w:tcBorders>
                    <w:top w:val="single" w:color="auto" w:sz="4" w:space="0"/>
                    <w:left w:val="single" w:color="auto" w:sz="4" w:space="0"/>
                    <w:bottom w:val="single" w:color="auto" w:sz="12" w:space="0"/>
                    <w:right w:val="single" w:color="auto" w:sz="4" w:space="0"/>
                  </w:tcBorders>
                  <w:vAlign w:val="center"/>
                </w:tcPr>
                <w:p w14:paraId="70C832BC">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821" w:type="dxa"/>
                  <w:vMerge w:val="continue"/>
                  <w:tcBorders>
                    <w:top w:val="single" w:color="auto" w:sz="4" w:space="0"/>
                    <w:left w:val="single" w:color="auto" w:sz="4" w:space="0"/>
                    <w:bottom w:val="single" w:color="auto" w:sz="12" w:space="0"/>
                    <w:right w:val="single" w:color="auto" w:sz="4" w:space="0"/>
                  </w:tcBorders>
                  <w:vAlign w:val="center"/>
                </w:tcPr>
                <w:p w14:paraId="73904BB6">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821" w:type="dxa"/>
                  <w:vMerge w:val="continue"/>
                  <w:tcBorders>
                    <w:top w:val="single" w:color="auto" w:sz="4" w:space="0"/>
                    <w:left w:val="single" w:color="auto" w:sz="4" w:space="0"/>
                    <w:bottom w:val="single" w:color="auto" w:sz="12" w:space="0"/>
                    <w:right w:val="single" w:color="auto" w:sz="4" w:space="0"/>
                  </w:tcBorders>
                  <w:vAlign w:val="center"/>
                </w:tcPr>
                <w:p w14:paraId="06231634">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824" w:type="dxa"/>
                  <w:vMerge w:val="continue"/>
                  <w:tcBorders>
                    <w:top w:val="single" w:color="auto" w:sz="4" w:space="0"/>
                    <w:left w:val="single" w:color="auto" w:sz="4" w:space="0"/>
                    <w:bottom w:val="single" w:color="auto" w:sz="12" w:space="0"/>
                    <w:right w:val="single" w:color="auto" w:sz="4" w:space="0"/>
                  </w:tcBorders>
                  <w:vAlign w:val="center"/>
                </w:tcPr>
                <w:p w14:paraId="2C9405E2">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654" w:type="dxa"/>
                  <w:vMerge w:val="continue"/>
                  <w:tcBorders>
                    <w:top w:val="single" w:color="auto" w:sz="4" w:space="0"/>
                    <w:left w:val="single" w:color="auto" w:sz="4" w:space="0"/>
                    <w:bottom w:val="single" w:color="auto" w:sz="12" w:space="0"/>
                    <w:right w:val="single" w:color="auto" w:sz="4" w:space="0"/>
                  </w:tcBorders>
                  <w:vAlign w:val="center"/>
                </w:tcPr>
                <w:p w14:paraId="67190C0D">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820" w:type="dxa"/>
                  <w:vMerge w:val="continue"/>
                  <w:tcBorders>
                    <w:top w:val="single" w:color="auto" w:sz="4" w:space="0"/>
                    <w:left w:val="single" w:color="auto" w:sz="4" w:space="0"/>
                    <w:bottom w:val="single" w:color="auto" w:sz="12" w:space="0"/>
                    <w:right w:val="single" w:color="auto" w:sz="4" w:space="0"/>
                  </w:tcBorders>
                  <w:vAlign w:val="center"/>
                </w:tcPr>
                <w:p w14:paraId="3002267D">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494" w:type="dxa"/>
                  <w:vMerge w:val="continue"/>
                  <w:tcBorders>
                    <w:top w:val="single" w:color="auto" w:sz="4" w:space="0"/>
                    <w:left w:val="single" w:color="auto" w:sz="4" w:space="0"/>
                    <w:bottom w:val="single" w:color="auto" w:sz="12" w:space="0"/>
                    <w:right w:val="single" w:color="auto" w:sz="4" w:space="0"/>
                  </w:tcBorders>
                  <w:vAlign w:val="center"/>
                </w:tcPr>
                <w:p w14:paraId="04CE0FCE">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687" w:type="dxa"/>
                  <w:vMerge w:val="continue"/>
                  <w:tcBorders>
                    <w:top w:val="single" w:color="auto" w:sz="4" w:space="0"/>
                    <w:left w:val="single" w:color="auto" w:sz="4" w:space="0"/>
                    <w:bottom w:val="single" w:color="auto" w:sz="12" w:space="0"/>
                    <w:right w:val="single" w:color="auto" w:sz="4" w:space="0"/>
                  </w:tcBorders>
                  <w:vAlign w:val="center"/>
                </w:tcPr>
                <w:p w14:paraId="3AAB3657">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795" w:type="dxa"/>
                  <w:tcBorders>
                    <w:top w:val="single" w:color="auto" w:sz="2" w:space="0"/>
                    <w:left w:val="single" w:color="auto" w:sz="4" w:space="0"/>
                    <w:bottom w:val="single" w:color="auto" w:sz="12" w:space="0"/>
                    <w:right w:val="single" w:color="auto" w:sz="4" w:space="0"/>
                  </w:tcBorders>
                  <w:vAlign w:val="center"/>
                </w:tcPr>
                <w:p w14:paraId="1CDA0A8B">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BOD</w:t>
                  </w:r>
                  <w:r>
                    <w:rPr>
                      <w:rFonts w:hint="default" w:ascii="Times New Roman" w:hAnsi="Times New Roman" w:eastAsia="宋体" w:cs="Times New Roman"/>
                      <w:color w:val="auto"/>
                      <w:spacing w:val="0"/>
                      <w:position w:val="0"/>
                      <w:szCs w:val="21"/>
                      <w:highlight w:val="none"/>
                      <w:vertAlign w:val="subscript"/>
                    </w:rPr>
                    <w:t>5</w:t>
                  </w:r>
                </w:p>
              </w:tc>
              <w:tc>
                <w:tcPr>
                  <w:tcW w:w="948" w:type="dxa"/>
                  <w:tcBorders>
                    <w:top w:val="single" w:color="auto" w:sz="2" w:space="0"/>
                    <w:left w:val="single" w:color="auto" w:sz="4" w:space="0"/>
                    <w:bottom w:val="single" w:color="auto" w:sz="12" w:space="0"/>
                    <w:right w:val="nil"/>
                  </w:tcBorders>
                  <w:vAlign w:val="center"/>
                </w:tcPr>
                <w:p w14:paraId="54793533">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10</w:t>
                  </w:r>
                </w:p>
              </w:tc>
            </w:tr>
          </w:tbl>
          <w:p w14:paraId="6929FB89">
            <w:pPr>
              <w:pStyle w:val="102"/>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b/>
                <w:bCs/>
                <w:color w:val="auto"/>
                <w:spacing w:val="0"/>
                <w:position w:val="0"/>
                <w:sz w:val="24"/>
                <w:szCs w:val="28"/>
                <w:highlight w:val="none"/>
              </w:rPr>
            </w:pPr>
            <w:r>
              <w:rPr>
                <w:rFonts w:hint="default" w:ascii="Times New Roman" w:hAnsi="Times New Roman" w:eastAsia="宋体" w:cs="Times New Roman"/>
                <w:b/>
                <w:bCs/>
                <w:color w:val="auto"/>
                <w:spacing w:val="0"/>
                <w:position w:val="0"/>
                <w:sz w:val="24"/>
                <w:szCs w:val="28"/>
                <w:highlight w:val="none"/>
              </w:rPr>
              <w:t>表4-</w:t>
            </w:r>
            <w:r>
              <w:rPr>
                <w:rFonts w:hint="default" w:ascii="Times New Roman" w:hAnsi="Times New Roman" w:eastAsia="宋体" w:cs="Times New Roman"/>
                <w:b/>
                <w:bCs/>
                <w:color w:val="auto"/>
                <w:spacing w:val="0"/>
                <w:position w:val="0"/>
                <w:sz w:val="24"/>
                <w:szCs w:val="28"/>
                <w:highlight w:val="none"/>
                <w:lang w:val="en-US" w:eastAsia="zh-CN"/>
              </w:rPr>
              <w:t>9</w:t>
            </w:r>
            <w:r>
              <w:rPr>
                <w:rFonts w:hint="default" w:ascii="Times New Roman" w:hAnsi="Times New Roman" w:eastAsia="宋体" w:cs="Times New Roman"/>
                <w:b/>
                <w:bCs/>
                <w:color w:val="auto"/>
                <w:spacing w:val="0"/>
                <w:position w:val="0"/>
                <w:sz w:val="24"/>
                <w:szCs w:val="28"/>
                <w:highlight w:val="none"/>
              </w:rPr>
              <w:t xml:space="preserve"> 废水污染物排放执行标准表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4"/>
              <w:gridCol w:w="1004"/>
              <w:gridCol w:w="1336"/>
              <w:gridCol w:w="3270"/>
              <w:gridCol w:w="1862"/>
            </w:tblGrid>
            <w:tr w14:paraId="13A449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3" w:type="dxa"/>
                  <w:vMerge w:val="restart"/>
                  <w:tcBorders>
                    <w:top w:val="single" w:color="auto" w:sz="12" w:space="0"/>
                    <w:left w:val="nil"/>
                    <w:bottom w:val="single" w:color="auto" w:sz="4" w:space="0"/>
                    <w:right w:val="single" w:color="auto" w:sz="4" w:space="0"/>
                  </w:tcBorders>
                  <w:vAlign w:val="center"/>
                </w:tcPr>
                <w:p w14:paraId="75974182">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序号</w:t>
                  </w:r>
                </w:p>
              </w:tc>
              <w:tc>
                <w:tcPr>
                  <w:tcW w:w="854" w:type="dxa"/>
                  <w:vMerge w:val="restart"/>
                  <w:tcBorders>
                    <w:top w:val="single" w:color="auto" w:sz="12" w:space="0"/>
                    <w:left w:val="single" w:color="auto" w:sz="4" w:space="0"/>
                    <w:bottom w:val="single" w:color="auto" w:sz="4" w:space="0"/>
                    <w:right w:val="single" w:color="auto" w:sz="4" w:space="0"/>
                  </w:tcBorders>
                  <w:vAlign w:val="center"/>
                </w:tcPr>
                <w:p w14:paraId="193B3FDB">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排放口编号</w:t>
                  </w:r>
                </w:p>
              </w:tc>
              <w:tc>
                <w:tcPr>
                  <w:tcW w:w="1136" w:type="dxa"/>
                  <w:vMerge w:val="restart"/>
                  <w:tcBorders>
                    <w:top w:val="single" w:color="auto" w:sz="12" w:space="0"/>
                    <w:left w:val="single" w:color="auto" w:sz="4" w:space="0"/>
                    <w:bottom w:val="single" w:color="auto" w:sz="4" w:space="0"/>
                    <w:right w:val="single" w:color="auto" w:sz="4" w:space="0"/>
                  </w:tcBorders>
                  <w:vAlign w:val="center"/>
                </w:tcPr>
                <w:p w14:paraId="69019CAF">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污染物种类</w:t>
                  </w:r>
                </w:p>
              </w:tc>
              <w:tc>
                <w:tcPr>
                  <w:tcW w:w="4363" w:type="dxa"/>
                  <w:gridSpan w:val="2"/>
                  <w:tcBorders>
                    <w:top w:val="single" w:color="auto" w:sz="12" w:space="0"/>
                    <w:left w:val="single" w:color="auto" w:sz="4" w:space="0"/>
                    <w:bottom w:val="single" w:color="auto" w:sz="4" w:space="0"/>
                    <w:right w:val="nil"/>
                  </w:tcBorders>
                  <w:vAlign w:val="center"/>
                </w:tcPr>
                <w:p w14:paraId="4E50ADC3">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国家或地方污染物排放标准及其他按规定商定的排放协议（a）</w:t>
                  </w:r>
                </w:p>
              </w:tc>
            </w:tr>
            <w:tr w14:paraId="2BA8EE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3" w:type="dxa"/>
                  <w:vMerge w:val="continue"/>
                  <w:tcBorders>
                    <w:top w:val="single" w:color="auto" w:sz="12" w:space="0"/>
                    <w:left w:val="nil"/>
                    <w:bottom w:val="single" w:color="auto" w:sz="4" w:space="0"/>
                    <w:right w:val="single" w:color="auto" w:sz="4" w:space="0"/>
                  </w:tcBorders>
                  <w:vAlign w:val="center"/>
                </w:tcPr>
                <w:p w14:paraId="1F830342">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854" w:type="dxa"/>
                  <w:vMerge w:val="continue"/>
                  <w:tcBorders>
                    <w:top w:val="single" w:color="auto" w:sz="12" w:space="0"/>
                    <w:left w:val="single" w:color="auto" w:sz="4" w:space="0"/>
                    <w:bottom w:val="single" w:color="auto" w:sz="4" w:space="0"/>
                    <w:right w:val="single" w:color="auto" w:sz="4" w:space="0"/>
                  </w:tcBorders>
                  <w:vAlign w:val="center"/>
                </w:tcPr>
                <w:p w14:paraId="595EADB8">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1136" w:type="dxa"/>
                  <w:vMerge w:val="continue"/>
                  <w:tcBorders>
                    <w:top w:val="single" w:color="auto" w:sz="12" w:space="0"/>
                    <w:left w:val="single" w:color="auto" w:sz="4" w:space="0"/>
                    <w:bottom w:val="single" w:color="auto" w:sz="4" w:space="0"/>
                    <w:right w:val="single" w:color="auto" w:sz="4" w:space="0"/>
                  </w:tcBorders>
                  <w:vAlign w:val="center"/>
                </w:tcPr>
                <w:p w14:paraId="5654CEB7">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p>
              </w:tc>
              <w:tc>
                <w:tcPr>
                  <w:tcW w:w="2780" w:type="dxa"/>
                  <w:tcBorders>
                    <w:top w:val="single" w:color="auto" w:sz="4" w:space="0"/>
                    <w:left w:val="single" w:color="auto" w:sz="4" w:space="0"/>
                    <w:bottom w:val="single" w:color="auto" w:sz="4" w:space="0"/>
                    <w:right w:val="single" w:color="auto" w:sz="4" w:space="0"/>
                  </w:tcBorders>
                  <w:vAlign w:val="center"/>
                </w:tcPr>
                <w:p w14:paraId="44AC60F0">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名称</w:t>
                  </w:r>
                </w:p>
              </w:tc>
              <w:tc>
                <w:tcPr>
                  <w:tcW w:w="1583" w:type="dxa"/>
                  <w:tcBorders>
                    <w:top w:val="single" w:color="auto" w:sz="4" w:space="0"/>
                    <w:left w:val="single" w:color="auto" w:sz="4" w:space="0"/>
                    <w:bottom w:val="single" w:color="auto" w:sz="4" w:space="0"/>
                    <w:right w:val="nil"/>
                  </w:tcBorders>
                  <w:vAlign w:val="center"/>
                </w:tcPr>
                <w:p w14:paraId="1E828722">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浓度限值/(mg/L)</w:t>
                  </w:r>
                </w:p>
              </w:tc>
            </w:tr>
            <w:tr w14:paraId="0F3558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3" w:type="dxa"/>
                  <w:tcBorders>
                    <w:top w:val="single" w:color="auto" w:sz="4" w:space="0"/>
                    <w:left w:val="nil"/>
                    <w:bottom w:val="single" w:color="auto" w:sz="4" w:space="0"/>
                    <w:right w:val="single" w:color="auto" w:sz="4" w:space="0"/>
                  </w:tcBorders>
                  <w:vAlign w:val="center"/>
                </w:tcPr>
                <w:p w14:paraId="76EEECE5">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1</w:t>
                  </w:r>
                </w:p>
              </w:tc>
              <w:tc>
                <w:tcPr>
                  <w:tcW w:w="854" w:type="dxa"/>
                  <w:tcBorders>
                    <w:top w:val="single" w:color="auto" w:sz="4" w:space="0"/>
                    <w:left w:val="single" w:color="auto" w:sz="4" w:space="0"/>
                    <w:bottom w:val="single" w:color="auto" w:sz="4" w:space="0"/>
                    <w:right w:val="single" w:color="auto" w:sz="4" w:space="0"/>
                  </w:tcBorders>
                  <w:vAlign w:val="center"/>
                </w:tcPr>
                <w:p w14:paraId="3338CA82">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DW001</w:t>
                  </w:r>
                </w:p>
              </w:tc>
              <w:tc>
                <w:tcPr>
                  <w:tcW w:w="1136" w:type="dxa"/>
                  <w:tcBorders>
                    <w:top w:val="single" w:color="auto" w:sz="4" w:space="0"/>
                    <w:left w:val="single" w:color="auto" w:sz="4" w:space="0"/>
                    <w:bottom w:val="single" w:color="auto" w:sz="4" w:space="0"/>
                    <w:right w:val="single" w:color="auto" w:sz="4" w:space="0"/>
                  </w:tcBorders>
                  <w:vAlign w:val="center"/>
                </w:tcPr>
                <w:p w14:paraId="5CED4D65">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COD</w:t>
                  </w:r>
                </w:p>
                <w:p w14:paraId="28A6F776">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BOD</w:t>
                  </w:r>
                  <w:r>
                    <w:rPr>
                      <w:rFonts w:hint="default" w:ascii="Times New Roman" w:hAnsi="Times New Roman" w:eastAsia="宋体" w:cs="Times New Roman"/>
                      <w:color w:val="auto"/>
                      <w:spacing w:val="0"/>
                      <w:position w:val="0"/>
                      <w:szCs w:val="21"/>
                      <w:highlight w:val="none"/>
                      <w:vertAlign w:val="subscript"/>
                    </w:rPr>
                    <w:t>5</w:t>
                  </w:r>
                </w:p>
                <w:p w14:paraId="3EEAC8B6">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SS</w:t>
                  </w:r>
                </w:p>
                <w:p w14:paraId="1BD2DA5C">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NH</w:t>
                  </w:r>
                  <w:r>
                    <w:rPr>
                      <w:rFonts w:hint="default" w:ascii="Times New Roman" w:hAnsi="Times New Roman" w:eastAsia="宋体" w:cs="Times New Roman"/>
                      <w:color w:val="auto"/>
                      <w:spacing w:val="0"/>
                      <w:position w:val="0"/>
                      <w:szCs w:val="21"/>
                      <w:highlight w:val="none"/>
                      <w:vertAlign w:val="subscript"/>
                    </w:rPr>
                    <w:t>3</w:t>
                  </w:r>
                  <w:r>
                    <w:rPr>
                      <w:rFonts w:hint="default" w:ascii="Times New Roman" w:hAnsi="Times New Roman" w:eastAsia="宋体" w:cs="Times New Roman"/>
                      <w:color w:val="auto"/>
                      <w:spacing w:val="0"/>
                      <w:position w:val="0"/>
                      <w:szCs w:val="21"/>
                      <w:highlight w:val="none"/>
                    </w:rPr>
                    <w:t>-N</w:t>
                  </w:r>
                </w:p>
                <w:p w14:paraId="4BFFEC5D">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TP</w:t>
                  </w:r>
                </w:p>
                <w:p w14:paraId="2780A417">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eastAsia="宋体" w:cs="Times New Roman"/>
                      <w:color w:val="auto"/>
                      <w:spacing w:val="0"/>
                      <w:position w:val="0"/>
                      <w:szCs w:val="21"/>
                      <w:highlight w:val="none"/>
                      <w:lang w:val="en-US" w:eastAsia="zh-CN"/>
                    </w:rPr>
                    <w:t>动植物油</w:t>
                  </w:r>
                </w:p>
              </w:tc>
              <w:tc>
                <w:tcPr>
                  <w:tcW w:w="2780" w:type="dxa"/>
                  <w:tcBorders>
                    <w:top w:val="single" w:color="auto" w:sz="4" w:space="0"/>
                    <w:left w:val="single" w:color="auto" w:sz="4" w:space="0"/>
                    <w:bottom w:val="single" w:color="auto" w:sz="4" w:space="0"/>
                    <w:right w:val="single" w:color="auto" w:sz="4" w:space="0"/>
                  </w:tcBorders>
                  <w:vAlign w:val="center"/>
                </w:tcPr>
                <w:p w14:paraId="542B09DF">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 xml:space="preserve">《食品加工制造业水污染物排放标准》（GB </w:t>
                  </w:r>
                  <w:r>
                    <w:rPr>
                      <w:rFonts w:hint="default" w:ascii="Times New Roman" w:hAnsi="Times New Roman" w:eastAsia="宋体" w:cs="Times New Roman"/>
                      <w:color w:val="auto"/>
                      <w:spacing w:val="0"/>
                      <w:position w:val="0"/>
                      <w:szCs w:val="21"/>
                      <w:highlight w:val="none"/>
                      <w:lang w:val="en-US" w:eastAsia="zh-CN"/>
                    </w:rPr>
                    <w:t>46817-2025</w:t>
                  </w:r>
                  <w:r>
                    <w:rPr>
                      <w:rFonts w:hint="default" w:ascii="Times New Roman" w:hAnsi="Times New Roman" w:eastAsia="宋体" w:cs="Times New Roman"/>
                      <w:color w:val="auto"/>
                      <w:spacing w:val="0"/>
                      <w:position w:val="0"/>
                      <w:szCs w:val="21"/>
                      <w:highlight w:val="none"/>
                    </w:rPr>
                    <w:t>）表</w:t>
                  </w:r>
                  <w:r>
                    <w:rPr>
                      <w:rFonts w:hint="default" w:ascii="Times New Roman" w:hAnsi="Times New Roman" w:eastAsia="宋体" w:cs="Times New Roman"/>
                      <w:color w:val="auto"/>
                      <w:spacing w:val="0"/>
                      <w:position w:val="0"/>
                      <w:szCs w:val="21"/>
                      <w:highlight w:val="none"/>
                      <w:lang w:val="en-US" w:eastAsia="zh-CN"/>
                    </w:rPr>
                    <w:t>1</w:t>
                  </w:r>
                  <w:r>
                    <w:rPr>
                      <w:rFonts w:hint="default" w:ascii="Times New Roman" w:hAnsi="Times New Roman" w:eastAsia="宋体" w:cs="Times New Roman"/>
                      <w:color w:val="auto"/>
                      <w:spacing w:val="0"/>
                      <w:position w:val="0"/>
                      <w:szCs w:val="21"/>
                      <w:highlight w:val="none"/>
                    </w:rPr>
                    <w:t>中</w:t>
                  </w:r>
                  <w:r>
                    <w:rPr>
                      <w:rFonts w:hint="default" w:ascii="Times New Roman" w:hAnsi="Times New Roman" w:eastAsia="宋体" w:cs="Times New Roman"/>
                      <w:color w:val="auto"/>
                      <w:spacing w:val="0"/>
                      <w:position w:val="0"/>
                      <w:szCs w:val="21"/>
                      <w:highlight w:val="none"/>
                      <w:lang w:val="en-US" w:eastAsia="zh-CN"/>
                    </w:rPr>
                    <w:t>间接排放</w:t>
                  </w:r>
                  <w:r>
                    <w:rPr>
                      <w:rFonts w:hint="default" w:ascii="Times New Roman" w:hAnsi="Times New Roman" w:eastAsia="宋体" w:cs="Times New Roman"/>
                      <w:color w:val="auto"/>
                      <w:spacing w:val="0"/>
                      <w:position w:val="0"/>
                      <w:szCs w:val="21"/>
                      <w:highlight w:val="none"/>
                    </w:rPr>
                    <w:t>标准及</w:t>
                  </w:r>
                  <w:r>
                    <w:rPr>
                      <w:rFonts w:hint="default" w:ascii="Times New Roman" w:hAnsi="Times New Roman" w:eastAsia="宋体" w:cs="Times New Roman"/>
                      <w:color w:val="auto"/>
                      <w:spacing w:val="0"/>
                      <w:position w:val="0"/>
                      <w:szCs w:val="21"/>
                      <w:highlight w:val="none"/>
                      <w:lang w:eastAsia="zh-CN"/>
                    </w:rPr>
                    <w:t>桦川县污水处理厂</w:t>
                  </w:r>
                  <w:r>
                    <w:rPr>
                      <w:rFonts w:hint="default" w:ascii="Times New Roman" w:hAnsi="Times New Roman" w:eastAsia="宋体" w:cs="Times New Roman"/>
                      <w:color w:val="auto"/>
                      <w:spacing w:val="0"/>
                      <w:position w:val="0"/>
                      <w:szCs w:val="21"/>
                      <w:highlight w:val="none"/>
                    </w:rPr>
                    <w:t>进水水质标准</w:t>
                  </w:r>
                </w:p>
              </w:tc>
              <w:tc>
                <w:tcPr>
                  <w:tcW w:w="1583" w:type="dxa"/>
                  <w:tcBorders>
                    <w:top w:val="single" w:color="auto" w:sz="4" w:space="0"/>
                    <w:left w:val="single" w:color="auto" w:sz="4" w:space="0"/>
                    <w:bottom w:val="single" w:color="auto" w:sz="4" w:space="0"/>
                    <w:right w:val="nil"/>
                  </w:tcBorders>
                  <w:vAlign w:val="center"/>
                </w:tcPr>
                <w:p w14:paraId="12FECD47">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lang w:val="en-US" w:eastAsia="zh-CN"/>
                    </w:rPr>
                    <w:t>3</w:t>
                  </w:r>
                  <w:r>
                    <w:rPr>
                      <w:rFonts w:hint="default" w:ascii="Times New Roman" w:hAnsi="Times New Roman" w:eastAsia="宋体" w:cs="Times New Roman"/>
                      <w:color w:val="auto"/>
                      <w:spacing w:val="0"/>
                      <w:position w:val="0"/>
                      <w:szCs w:val="21"/>
                      <w:highlight w:val="none"/>
                    </w:rPr>
                    <w:t>00</w:t>
                  </w:r>
                </w:p>
                <w:p w14:paraId="7D2D6D4A">
                  <w:pPr>
                    <w:pStyle w:val="11"/>
                    <w:keepNext w:val="0"/>
                    <w:keepLines w:val="0"/>
                    <w:pageBreakBefore w:val="0"/>
                    <w:widowControl w:val="0"/>
                    <w:kinsoku/>
                    <w:wordWrap/>
                    <w:overflowPunct w:val="0"/>
                    <w:topLinePunct w:val="0"/>
                    <w:autoSpaceDE/>
                    <w:autoSpaceDN/>
                    <w:bidi w:val="0"/>
                    <w:adjustRightInd w:val="0"/>
                    <w:snapToGrid w:val="0"/>
                    <w:spacing w:before="0" w:after="0" w:line="240" w:lineRule="auto"/>
                    <w:ind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3</w:t>
                  </w:r>
                  <w:r>
                    <w:rPr>
                      <w:rFonts w:hint="default" w:ascii="Times New Roman" w:hAnsi="Times New Roman" w:cs="Times New Roman"/>
                      <w:color w:val="auto"/>
                      <w:spacing w:val="0"/>
                      <w:position w:val="0"/>
                      <w:sz w:val="21"/>
                      <w:szCs w:val="21"/>
                      <w:highlight w:val="none"/>
                      <w:lang w:val="en-US" w:eastAsia="zh-CN"/>
                    </w:rPr>
                    <w:t>5</w:t>
                  </w:r>
                  <w:r>
                    <w:rPr>
                      <w:rFonts w:hint="default" w:ascii="Times New Roman" w:hAnsi="Times New Roman" w:eastAsia="宋体" w:cs="Times New Roman"/>
                      <w:color w:val="auto"/>
                      <w:spacing w:val="0"/>
                      <w:position w:val="0"/>
                      <w:sz w:val="21"/>
                      <w:szCs w:val="21"/>
                      <w:highlight w:val="none"/>
                    </w:rPr>
                    <w:t>0</w:t>
                  </w:r>
                </w:p>
                <w:p w14:paraId="606E5D48">
                  <w:pPr>
                    <w:pStyle w:val="11"/>
                    <w:keepNext w:val="0"/>
                    <w:keepLines w:val="0"/>
                    <w:pageBreakBefore w:val="0"/>
                    <w:widowControl w:val="0"/>
                    <w:kinsoku/>
                    <w:wordWrap/>
                    <w:overflowPunct w:val="0"/>
                    <w:topLinePunct w:val="0"/>
                    <w:autoSpaceDE/>
                    <w:autoSpaceDN/>
                    <w:bidi w:val="0"/>
                    <w:adjustRightInd w:val="0"/>
                    <w:snapToGrid w:val="0"/>
                    <w:spacing w:before="0" w:after="0" w:line="240" w:lineRule="auto"/>
                    <w:ind w:right="0" w:firstLine="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250</w:t>
                  </w:r>
                </w:p>
                <w:p w14:paraId="5751CF79">
                  <w:pPr>
                    <w:pStyle w:val="11"/>
                    <w:keepNext w:val="0"/>
                    <w:keepLines w:val="0"/>
                    <w:pageBreakBefore w:val="0"/>
                    <w:widowControl w:val="0"/>
                    <w:kinsoku/>
                    <w:wordWrap/>
                    <w:overflowPunct w:val="0"/>
                    <w:topLinePunct w:val="0"/>
                    <w:autoSpaceDE/>
                    <w:autoSpaceDN/>
                    <w:bidi w:val="0"/>
                    <w:adjustRightInd w:val="0"/>
                    <w:snapToGrid w:val="0"/>
                    <w:spacing w:before="0" w:after="0" w:line="240" w:lineRule="auto"/>
                    <w:ind w:right="0" w:firstLine="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40</w:t>
                  </w:r>
                </w:p>
                <w:p w14:paraId="6B5FC786">
                  <w:pPr>
                    <w:pStyle w:val="11"/>
                    <w:keepNext w:val="0"/>
                    <w:keepLines w:val="0"/>
                    <w:pageBreakBefore w:val="0"/>
                    <w:widowControl w:val="0"/>
                    <w:kinsoku/>
                    <w:wordWrap/>
                    <w:overflowPunct w:val="0"/>
                    <w:topLinePunct w:val="0"/>
                    <w:autoSpaceDE/>
                    <w:autoSpaceDN/>
                    <w:bidi w:val="0"/>
                    <w:adjustRightInd w:val="0"/>
                    <w:snapToGrid w:val="0"/>
                    <w:spacing w:before="0" w:after="0" w:line="240" w:lineRule="auto"/>
                    <w:ind w:right="0" w:firstLine="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3.8</w:t>
                  </w:r>
                </w:p>
                <w:p w14:paraId="1B571281">
                  <w:pPr>
                    <w:pStyle w:val="11"/>
                    <w:keepNext w:val="0"/>
                    <w:keepLines w:val="0"/>
                    <w:pageBreakBefore w:val="0"/>
                    <w:widowControl w:val="0"/>
                    <w:kinsoku/>
                    <w:wordWrap/>
                    <w:overflowPunct w:val="0"/>
                    <w:topLinePunct w:val="0"/>
                    <w:autoSpaceDE/>
                    <w:autoSpaceDN/>
                    <w:bidi w:val="0"/>
                    <w:adjustRightInd w:val="0"/>
                    <w:snapToGrid w:val="0"/>
                    <w:spacing w:before="0" w:after="0" w:line="240" w:lineRule="auto"/>
                    <w:ind w:right="0" w:firstLine="0"/>
                    <w:jc w:val="center"/>
                    <w:textAlignment w:val="auto"/>
                    <w:rPr>
                      <w:rFonts w:hint="default" w:ascii="Times New Roman" w:hAnsi="Times New Roman" w:cs="Times New Roman"/>
                      <w:color w:val="auto"/>
                      <w:spacing w:val="0"/>
                      <w:position w:val="0"/>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100</w:t>
                  </w:r>
                </w:p>
              </w:tc>
            </w:tr>
            <w:tr w14:paraId="0EEE31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6" w:type="dxa"/>
                  <w:gridSpan w:val="5"/>
                  <w:tcBorders>
                    <w:top w:val="single" w:color="auto" w:sz="4" w:space="0"/>
                    <w:left w:val="nil"/>
                    <w:bottom w:val="single" w:color="auto" w:sz="12" w:space="0"/>
                    <w:right w:val="nil"/>
                  </w:tcBorders>
                  <w:vAlign w:val="center"/>
                </w:tcPr>
                <w:p w14:paraId="05D10BFF">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a 指对应排放口须执行的国家或地方污染物排放标准以及其他按规定商定建设项目水污染物排放控制要求的协议，据此确定的排放浓度限值。</w:t>
                  </w:r>
                </w:p>
              </w:tc>
            </w:tr>
          </w:tbl>
          <w:p w14:paraId="76AD88EE">
            <w:pPr>
              <w:pStyle w:val="102"/>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b/>
                <w:bCs/>
                <w:color w:val="auto"/>
                <w:spacing w:val="0"/>
                <w:position w:val="0"/>
                <w:sz w:val="24"/>
                <w:szCs w:val="28"/>
                <w:highlight w:val="none"/>
              </w:rPr>
            </w:pPr>
          </w:p>
          <w:p w14:paraId="5C4BE2DC">
            <w:pPr>
              <w:pStyle w:val="102"/>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b/>
                <w:bCs/>
                <w:color w:val="auto"/>
                <w:spacing w:val="0"/>
                <w:position w:val="0"/>
                <w:sz w:val="24"/>
                <w:szCs w:val="28"/>
                <w:highlight w:val="none"/>
              </w:rPr>
            </w:pPr>
            <w:r>
              <w:rPr>
                <w:rFonts w:hint="default" w:ascii="Times New Roman" w:hAnsi="Times New Roman" w:eastAsia="宋体" w:cs="Times New Roman"/>
                <w:b/>
                <w:bCs/>
                <w:color w:val="auto"/>
                <w:spacing w:val="0"/>
                <w:position w:val="0"/>
                <w:sz w:val="24"/>
                <w:szCs w:val="28"/>
                <w:highlight w:val="none"/>
              </w:rPr>
              <w:t>表4-</w:t>
            </w:r>
            <w:r>
              <w:rPr>
                <w:rFonts w:hint="default" w:ascii="Times New Roman" w:hAnsi="Times New Roman" w:eastAsia="宋体" w:cs="Times New Roman"/>
                <w:b/>
                <w:bCs/>
                <w:color w:val="auto"/>
                <w:spacing w:val="0"/>
                <w:position w:val="0"/>
                <w:sz w:val="24"/>
                <w:szCs w:val="28"/>
                <w:highlight w:val="none"/>
                <w:lang w:val="en-US" w:eastAsia="zh-CN"/>
              </w:rPr>
              <w:t>10</w:t>
            </w:r>
            <w:r>
              <w:rPr>
                <w:rFonts w:hint="default" w:ascii="Times New Roman" w:hAnsi="Times New Roman" w:eastAsia="宋体" w:cs="Times New Roman"/>
                <w:b/>
                <w:bCs/>
                <w:color w:val="auto"/>
                <w:spacing w:val="0"/>
                <w:position w:val="0"/>
                <w:sz w:val="24"/>
                <w:szCs w:val="28"/>
                <w:highlight w:val="none"/>
              </w:rPr>
              <w:t xml:space="preserve"> 废水污染物排放信息表</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192"/>
              <w:gridCol w:w="1541"/>
              <w:gridCol w:w="1387"/>
              <w:gridCol w:w="1766"/>
              <w:gridCol w:w="1749"/>
            </w:tblGrid>
            <w:tr w14:paraId="754C4A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tcBorders>
                    <w:tl2br w:val="nil"/>
                    <w:tr2bl w:val="nil"/>
                  </w:tcBorders>
                  <w:vAlign w:val="center"/>
                </w:tcPr>
                <w:p w14:paraId="5AD4A97A">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序号</w:t>
                  </w:r>
                </w:p>
              </w:tc>
              <w:tc>
                <w:tcPr>
                  <w:tcW w:w="714" w:type="pct"/>
                  <w:tcBorders>
                    <w:tl2br w:val="nil"/>
                    <w:tr2bl w:val="nil"/>
                  </w:tcBorders>
                  <w:vAlign w:val="center"/>
                </w:tcPr>
                <w:p w14:paraId="0C823644">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排放口编号</w:t>
                  </w:r>
                </w:p>
              </w:tc>
              <w:tc>
                <w:tcPr>
                  <w:tcW w:w="923" w:type="pct"/>
                  <w:tcBorders>
                    <w:tl2br w:val="nil"/>
                    <w:tr2bl w:val="nil"/>
                  </w:tcBorders>
                  <w:vAlign w:val="center"/>
                </w:tcPr>
                <w:p w14:paraId="2FD6BB2C">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污染物种类</w:t>
                  </w:r>
                </w:p>
              </w:tc>
              <w:tc>
                <w:tcPr>
                  <w:tcW w:w="831" w:type="pct"/>
                  <w:tcBorders>
                    <w:tl2br w:val="nil"/>
                    <w:tr2bl w:val="nil"/>
                  </w:tcBorders>
                  <w:vAlign w:val="center"/>
                </w:tcPr>
                <w:p w14:paraId="41C9F629">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排放浓度/（mg/L）</w:t>
                  </w:r>
                </w:p>
              </w:tc>
              <w:tc>
                <w:tcPr>
                  <w:tcW w:w="1058" w:type="pct"/>
                  <w:tcBorders>
                    <w:tl2br w:val="nil"/>
                    <w:tr2bl w:val="nil"/>
                  </w:tcBorders>
                  <w:vAlign w:val="center"/>
                </w:tcPr>
                <w:p w14:paraId="4CFCABAF">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日排放量/（t/d）</w:t>
                  </w:r>
                </w:p>
              </w:tc>
              <w:tc>
                <w:tcPr>
                  <w:tcW w:w="1048" w:type="pct"/>
                  <w:tcBorders>
                    <w:tl2br w:val="nil"/>
                    <w:tr2bl w:val="nil"/>
                  </w:tcBorders>
                  <w:vAlign w:val="center"/>
                </w:tcPr>
                <w:p w14:paraId="1EE76F7C">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年排放量/（t/a）</w:t>
                  </w:r>
                </w:p>
              </w:tc>
            </w:tr>
            <w:tr w14:paraId="2926A3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vMerge w:val="restart"/>
                  <w:tcBorders>
                    <w:tl2br w:val="nil"/>
                    <w:tr2bl w:val="nil"/>
                  </w:tcBorders>
                  <w:vAlign w:val="center"/>
                </w:tcPr>
                <w:p w14:paraId="37B5FF06">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1</w:t>
                  </w:r>
                </w:p>
              </w:tc>
              <w:tc>
                <w:tcPr>
                  <w:tcW w:w="714" w:type="pct"/>
                  <w:vMerge w:val="restart"/>
                  <w:tcBorders>
                    <w:tl2br w:val="nil"/>
                    <w:tr2bl w:val="nil"/>
                  </w:tcBorders>
                  <w:vAlign w:val="center"/>
                </w:tcPr>
                <w:p w14:paraId="1018FD83">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DW001</w:t>
                  </w:r>
                </w:p>
              </w:tc>
              <w:tc>
                <w:tcPr>
                  <w:tcW w:w="923" w:type="pct"/>
                  <w:tcBorders>
                    <w:tl2br w:val="nil"/>
                    <w:tr2bl w:val="nil"/>
                  </w:tcBorders>
                  <w:vAlign w:val="center"/>
                </w:tcPr>
                <w:p w14:paraId="23E17FF3">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COD</w:t>
                  </w:r>
                </w:p>
              </w:tc>
              <w:tc>
                <w:tcPr>
                  <w:tcW w:w="1387" w:type="dxa"/>
                  <w:tcBorders>
                    <w:tl2br w:val="nil"/>
                    <w:tr2bl w:val="nil"/>
                  </w:tcBorders>
                  <w:vAlign w:val="center"/>
                </w:tcPr>
                <w:p w14:paraId="72F541D4">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138.193</w:t>
                  </w:r>
                </w:p>
              </w:tc>
              <w:tc>
                <w:tcPr>
                  <w:tcW w:w="1766" w:type="dxa"/>
                  <w:tcBorders>
                    <w:tl2br w:val="nil"/>
                    <w:tr2bl w:val="nil"/>
                  </w:tcBorders>
                  <w:vAlign w:val="center"/>
                </w:tcPr>
                <w:p w14:paraId="747E166F">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0.0152</w:t>
                  </w:r>
                </w:p>
              </w:tc>
              <w:tc>
                <w:tcPr>
                  <w:tcW w:w="1749" w:type="dxa"/>
                  <w:tcBorders>
                    <w:tl2br w:val="nil"/>
                    <w:tr2bl w:val="nil"/>
                  </w:tcBorders>
                  <w:shd w:val="clear" w:color="auto" w:fill="auto"/>
                  <w:vAlign w:val="center"/>
                </w:tcPr>
                <w:p w14:paraId="29891FBA">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5.337</w:t>
                  </w:r>
                </w:p>
              </w:tc>
            </w:tr>
            <w:tr w14:paraId="2850B9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vMerge w:val="continue"/>
                  <w:tcBorders>
                    <w:tl2br w:val="nil"/>
                    <w:tr2bl w:val="nil"/>
                  </w:tcBorders>
                  <w:vAlign w:val="center"/>
                </w:tcPr>
                <w:p w14:paraId="0E1A89E1">
                  <w:pPr>
                    <w:keepNext w:val="0"/>
                    <w:keepLines w:val="0"/>
                    <w:pageBreakBefore w:val="0"/>
                    <w:widowControl w:val="0"/>
                    <w:kinsoku/>
                    <w:wordWrap/>
                    <w:overflowPunct w:val="0"/>
                    <w:topLinePunct w:val="0"/>
                    <w:autoSpaceDE/>
                    <w:autoSpaceDN/>
                    <w:bidi w:val="0"/>
                    <w:adjustRightInd w:val="0"/>
                    <w:snapToGrid w:val="0"/>
                    <w:spacing w:line="240" w:lineRule="auto"/>
                    <w:ind w:firstLine="0"/>
                    <w:jc w:val="left"/>
                    <w:textAlignment w:val="auto"/>
                    <w:rPr>
                      <w:rFonts w:hint="default" w:ascii="Times New Roman" w:hAnsi="Times New Roman" w:eastAsia="宋体" w:cs="Times New Roman"/>
                      <w:color w:val="auto"/>
                      <w:spacing w:val="0"/>
                      <w:position w:val="0"/>
                      <w:szCs w:val="21"/>
                      <w:highlight w:val="none"/>
                    </w:rPr>
                  </w:pPr>
                </w:p>
              </w:tc>
              <w:tc>
                <w:tcPr>
                  <w:tcW w:w="714" w:type="pct"/>
                  <w:vMerge w:val="continue"/>
                  <w:tcBorders>
                    <w:tl2br w:val="nil"/>
                    <w:tr2bl w:val="nil"/>
                  </w:tcBorders>
                  <w:vAlign w:val="center"/>
                </w:tcPr>
                <w:p w14:paraId="4CEAE588">
                  <w:pPr>
                    <w:keepNext w:val="0"/>
                    <w:keepLines w:val="0"/>
                    <w:pageBreakBefore w:val="0"/>
                    <w:widowControl w:val="0"/>
                    <w:kinsoku/>
                    <w:wordWrap/>
                    <w:overflowPunct w:val="0"/>
                    <w:topLinePunct w:val="0"/>
                    <w:autoSpaceDE/>
                    <w:autoSpaceDN/>
                    <w:bidi w:val="0"/>
                    <w:adjustRightInd w:val="0"/>
                    <w:snapToGrid w:val="0"/>
                    <w:spacing w:line="240" w:lineRule="auto"/>
                    <w:ind w:firstLine="0"/>
                    <w:jc w:val="left"/>
                    <w:textAlignment w:val="auto"/>
                    <w:rPr>
                      <w:rFonts w:hint="default" w:ascii="Times New Roman" w:hAnsi="Times New Roman" w:eastAsia="宋体" w:cs="Times New Roman"/>
                      <w:color w:val="auto"/>
                      <w:spacing w:val="0"/>
                      <w:kern w:val="0"/>
                      <w:position w:val="0"/>
                      <w:szCs w:val="21"/>
                      <w:highlight w:val="none"/>
                    </w:rPr>
                  </w:pPr>
                </w:p>
              </w:tc>
              <w:tc>
                <w:tcPr>
                  <w:tcW w:w="923" w:type="pct"/>
                  <w:tcBorders>
                    <w:tl2br w:val="nil"/>
                    <w:tr2bl w:val="nil"/>
                  </w:tcBorders>
                  <w:vAlign w:val="center"/>
                </w:tcPr>
                <w:p w14:paraId="2E890B9B">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BOD</w:t>
                  </w:r>
                  <w:r>
                    <w:rPr>
                      <w:rFonts w:hint="default" w:ascii="Times New Roman" w:hAnsi="Times New Roman" w:eastAsia="宋体" w:cs="Times New Roman"/>
                      <w:color w:val="auto"/>
                      <w:spacing w:val="0"/>
                      <w:position w:val="0"/>
                      <w:highlight w:val="none"/>
                      <w:vertAlign w:val="subscript"/>
                    </w:rPr>
                    <w:t>5</w:t>
                  </w:r>
                </w:p>
              </w:tc>
              <w:tc>
                <w:tcPr>
                  <w:tcW w:w="1387" w:type="dxa"/>
                  <w:tcBorders>
                    <w:tl2br w:val="nil"/>
                    <w:tr2bl w:val="nil"/>
                  </w:tcBorders>
                  <w:vAlign w:val="center"/>
                </w:tcPr>
                <w:p w14:paraId="1E0E68D1">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33.247</w:t>
                  </w:r>
                </w:p>
              </w:tc>
              <w:tc>
                <w:tcPr>
                  <w:tcW w:w="1766" w:type="dxa"/>
                  <w:tcBorders>
                    <w:tl2br w:val="nil"/>
                    <w:tr2bl w:val="nil"/>
                  </w:tcBorders>
                  <w:vAlign w:val="center"/>
                </w:tcPr>
                <w:p w14:paraId="7B04E67C">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0.0037</w:t>
                  </w:r>
                </w:p>
              </w:tc>
              <w:tc>
                <w:tcPr>
                  <w:tcW w:w="1749" w:type="dxa"/>
                  <w:tcBorders>
                    <w:tl2br w:val="nil"/>
                    <w:tr2bl w:val="nil"/>
                  </w:tcBorders>
                  <w:shd w:val="clear" w:color="auto" w:fill="auto"/>
                  <w:vAlign w:val="center"/>
                </w:tcPr>
                <w:p w14:paraId="504204C4">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1.284</w:t>
                  </w:r>
                </w:p>
              </w:tc>
            </w:tr>
            <w:tr w14:paraId="1601E8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vMerge w:val="continue"/>
                  <w:tcBorders>
                    <w:tl2br w:val="nil"/>
                    <w:tr2bl w:val="nil"/>
                  </w:tcBorders>
                  <w:vAlign w:val="center"/>
                </w:tcPr>
                <w:p w14:paraId="15F979B6">
                  <w:pPr>
                    <w:keepNext w:val="0"/>
                    <w:keepLines w:val="0"/>
                    <w:pageBreakBefore w:val="0"/>
                    <w:widowControl w:val="0"/>
                    <w:kinsoku/>
                    <w:wordWrap/>
                    <w:overflowPunct w:val="0"/>
                    <w:topLinePunct w:val="0"/>
                    <w:autoSpaceDE/>
                    <w:autoSpaceDN/>
                    <w:bidi w:val="0"/>
                    <w:adjustRightInd w:val="0"/>
                    <w:snapToGrid w:val="0"/>
                    <w:spacing w:line="240" w:lineRule="auto"/>
                    <w:ind w:firstLine="0"/>
                    <w:jc w:val="left"/>
                    <w:textAlignment w:val="auto"/>
                    <w:rPr>
                      <w:rFonts w:hint="default" w:ascii="Times New Roman" w:hAnsi="Times New Roman" w:eastAsia="宋体" w:cs="Times New Roman"/>
                      <w:color w:val="auto"/>
                      <w:spacing w:val="0"/>
                      <w:position w:val="0"/>
                      <w:szCs w:val="21"/>
                      <w:highlight w:val="none"/>
                    </w:rPr>
                  </w:pPr>
                </w:p>
              </w:tc>
              <w:tc>
                <w:tcPr>
                  <w:tcW w:w="714" w:type="pct"/>
                  <w:vMerge w:val="continue"/>
                  <w:tcBorders>
                    <w:tl2br w:val="nil"/>
                    <w:tr2bl w:val="nil"/>
                  </w:tcBorders>
                  <w:vAlign w:val="center"/>
                </w:tcPr>
                <w:p w14:paraId="0E8A6F22">
                  <w:pPr>
                    <w:keepNext w:val="0"/>
                    <w:keepLines w:val="0"/>
                    <w:pageBreakBefore w:val="0"/>
                    <w:widowControl w:val="0"/>
                    <w:kinsoku/>
                    <w:wordWrap/>
                    <w:overflowPunct w:val="0"/>
                    <w:topLinePunct w:val="0"/>
                    <w:autoSpaceDE/>
                    <w:autoSpaceDN/>
                    <w:bidi w:val="0"/>
                    <w:adjustRightInd w:val="0"/>
                    <w:snapToGrid w:val="0"/>
                    <w:spacing w:line="240" w:lineRule="auto"/>
                    <w:ind w:firstLine="0"/>
                    <w:jc w:val="left"/>
                    <w:textAlignment w:val="auto"/>
                    <w:rPr>
                      <w:rFonts w:hint="default" w:ascii="Times New Roman" w:hAnsi="Times New Roman" w:eastAsia="宋体" w:cs="Times New Roman"/>
                      <w:color w:val="auto"/>
                      <w:spacing w:val="0"/>
                      <w:kern w:val="0"/>
                      <w:position w:val="0"/>
                      <w:szCs w:val="21"/>
                      <w:highlight w:val="none"/>
                    </w:rPr>
                  </w:pPr>
                </w:p>
              </w:tc>
              <w:tc>
                <w:tcPr>
                  <w:tcW w:w="923" w:type="pct"/>
                  <w:tcBorders>
                    <w:tl2br w:val="nil"/>
                    <w:tr2bl w:val="nil"/>
                  </w:tcBorders>
                  <w:vAlign w:val="center"/>
                </w:tcPr>
                <w:p w14:paraId="1F1C122F">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氨氮</w:t>
                  </w:r>
                </w:p>
              </w:tc>
              <w:tc>
                <w:tcPr>
                  <w:tcW w:w="1387" w:type="dxa"/>
                  <w:tcBorders>
                    <w:tl2br w:val="nil"/>
                    <w:tr2bl w:val="nil"/>
                  </w:tcBorders>
                  <w:vAlign w:val="center"/>
                </w:tcPr>
                <w:p w14:paraId="104B7C7B">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7.38</w:t>
                  </w:r>
                </w:p>
              </w:tc>
              <w:tc>
                <w:tcPr>
                  <w:tcW w:w="1766" w:type="dxa"/>
                  <w:tcBorders>
                    <w:tl2br w:val="nil"/>
                    <w:tr2bl w:val="nil"/>
                  </w:tcBorders>
                  <w:vAlign w:val="center"/>
                </w:tcPr>
                <w:p w14:paraId="33080FE6">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0.0008</w:t>
                  </w:r>
                </w:p>
              </w:tc>
              <w:tc>
                <w:tcPr>
                  <w:tcW w:w="1749" w:type="dxa"/>
                  <w:tcBorders>
                    <w:tl2br w:val="nil"/>
                    <w:tr2bl w:val="nil"/>
                  </w:tcBorders>
                  <w:shd w:val="clear" w:color="auto" w:fill="auto"/>
                  <w:vAlign w:val="center"/>
                </w:tcPr>
                <w:p w14:paraId="5198D1D3">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0.285</w:t>
                  </w:r>
                </w:p>
              </w:tc>
            </w:tr>
            <w:tr w14:paraId="5C8F0A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vMerge w:val="continue"/>
                  <w:tcBorders>
                    <w:tl2br w:val="nil"/>
                    <w:tr2bl w:val="nil"/>
                  </w:tcBorders>
                  <w:vAlign w:val="center"/>
                </w:tcPr>
                <w:p w14:paraId="3FE966E5">
                  <w:pPr>
                    <w:keepNext w:val="0"/>
                    <w:keepLines w:val="0"/>
                    <w:pageBreakBefore w:val="0"/>
                    <w:widowControl w:val="0"/>
                    <w:kinsoku/>
                    <w:wordWrap/>
                    <w:overflowPunct w:val="0"/>
                    <w:topLinePunct w:val="0"/>
                    <w:autoSpaceDE/>
                    <w:autoSpaceDN/>
                    <w:bidi w:val="0"/>
                    <w:adjustRightInd w:val="0"/>
                    <w:snapToGrid w:val="0"/>
                    <w:spacing w:line="240" w:lineRule="auto"/>
                    <w:ind w:firstLine="0"/>
                    <w:jc w:val="left"/>
                    <w:textAlignment w:val="auto"/>
                    <w:rPr>
                      <w:rFonts w:hint="default" w:ascii="Times New Roman" w:hAnsi="Times New Roman" w:eastAsia="宋体" w:cs="Times New Roman"/>
                      <w:color w:val="auto"/>
                      <w:spacing w:val="0"/>
                      <w:position w:val="0"/>
                      <w:szCs w:val="21"/>
                      <w:highlight w:val="none"/>
                    </w:rPr>
                  </w:pPr>
                </w:p>
              </w:tc>
              <w:tc>
                <w:tcPr>
                  <w:tcW w:w="714" w:type="pct"/>
                  <w:vMerge w:val="continue"/>
                  <w:tcBorders>
                    <w:tl2br w:val="nil"/>
                    <w:tr2bl w:val="nil"/>
                  </w:tcBorders>
                  <w:vAlign w:val="center"/>
                </w:tcPr>
                <w:p w14:paraId="40BB914D">
                  <w:pPr>
                    <w:keepNext w:val="0"/>
                    <w:keepLines w:val="0"/>
                    <w:pageBreakBefore w:val="0"/>
                    <w:widowControl w:val="0"/>
                    <w:kinsoku/>
                    <w:wordWrap/>
                    <w:overflowPunct w:val="0"/>
                    <w:topLinePunct w:val="0"/>
                    <w:autoSpaceDE/>
                    <w:autoSpaceDN/>
                    <w:bidi w:val="0"/>
                    <w:adjustRightInd w:val="0"/>
                    <w:snapToGrid w:val="0"/>
                    <w:spacing w:line="240" w:lineRule="auto"/>
                    <w:ind w:firstLine="0"/>
                    <w:jc w:val="left"/>
                    <w:textAlignment w:val="auto"/>
                    <w:rPr>
                      <w:rFonts w:hint="default" w:ascii="Times New Roman" w:hAnsi="Times New Roman" w:eastAsia="宋体" w:cs="Times New Roman"/>
                      <w:color w:val="auto"/>
                      <w:spacing w:val="0"/>
                      <w:kern w:val="0"/>
                      <w:position w:val="0"/>
                      <w:szCs w:val="21"/>
                      <w:highlight w:val="none"/>
                    </w:rPr>
                  </w:pPr>
                </w:p>
              </w:tc>
              <w:tc>
                <w:tcPr>
                  <w:tcW w:w="923" w:type="pct"/>
                  <w:tcBorders>
                    <w:tl2br w:val="nil"/>
                    <w:tr2bl w:val="nil"/>
                  </w:tcBorders>
                  <w:vAlign w:val="center"/>
                </w:tcPr>
                <w:p w14:paraId="2C016402">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SS</w:t>
                  </w:r>
                </w:p>
              </w:tc>
              <w:tc>
                <w:tcPr>
                  <w:tcW w:w="1387" w:type="dxa"/>
                  <w:tcBorders>
                    <w:tl2br w:val="nil"/>
                    <w:tr2bl w:val="nil"/>
                  </w:tcBorders>
                  <w:vAlign w:val="center"/>
                </w:tcPr>
                <w:p w14:paraId="68D68C5D">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34.231</w:t>
                  </w:r>
                </w:p>
              </w:tc>
              <w:tc>
                <w:tcPr>
                  <w:tcW w:w="1766" w:type="dxa"/>
                  <w:tcBorders>
                    <w:tl2br w:val="nil"/>
                    <w:tr2bl w:val="nil"/>
                  </w:tcBorders>
                  <w:vAlign w:val="center"/>
                </w:tcPr>
                <w:p w14:paraId="2FACC5B3">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0.0038</w:t>
                  </w:r>
                </w:p>
              </w:tc>
              <w:tc>
                <w:tcPr>
                  <w:tcW w:w="1749" w:type="dxa"/>
                  <w:tcBorders>
                    <w:tl2br w:val="nil"/>
                    <w:tr2bl w:val="nil"/>
                  </w:tcBorders>
                  <w:shd w:val="clear" w:color="auto" w:fill="auto"/>
                  <w:vAlign w:val="center"/>
                </w:tcPr>
                <w:p w14:paraId="33FBFBCC">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1.322</w:t>
                  </w:r>
                </w:p>
              </w:tc>
            </w:tr>
            <w:tr w14:paraId="4469C2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vMerge w:val="continue"/>
                  <w:tcBorders>
                    <w:tl2br w:val="nil"/>
                    <w:tr2bl w:val="nil"/>
                  </w:tcBorders>
                  <w:vAlign w:val="center"/>
                </w:tcPr>
                <w:p w14:paraId="2E8127AB">
                  <w:pPr>
                    <w:keepNext w:val="0"/>
                    <w:keepLines w:val="0"/>
                    <w:pageBreakBefore w:val="0"/>
                    <w:widowControl w:val="0"/>
                    <w:kinsoku/>
                    <w:wordWrap/>
                    <w:overflowPunct w:val="0"/>
                    <w:topLinePunct w:val="0"/>
                    <w:autoSpaceDE/>
                    <w:autoSpaceDN/>
                    <w:bidi w:val="0"/>
                    <w:adjustRightInd w:val="0"/>
                    <w:snapToGrid w:val="0"/>
                    <w:spacing w:line="240" w:lineRule="auto"/>
                    <w:ind w:firstLine="0"/>
                    <w:jc w:val="left"/>
                    <w:textAlignment w:val="auto"/>
                    <w:rPr>
                      <w:rFonts w:hint="default" w:ascii="Times New Roman" w:hAnsi="Times New Roman" w:eastAsia="宋体" w:cs="Times New Roman"/>
                      <w:color w:val="auto"/>
                      <w:spacing w:val="0"/>
                      <w:position w:val="0"/>
                      <w:szCs w:val="21"/>
                      <w:highlight w:val="none"/>
                    </w:rPr>
                  </w:pPr>
                </w:p>
              </w:tc>
              <w:tc>
                <w:tcPr>
                  <w:tcW w:w="714" w:type="pct"/>
                  <w:vMerge w:val="continue"/>
                  <w:tcBorders>
                    <w:tl2br w:val="nil"/>
                    <w:tr2bl w:val="nil"/>
                  </w:tcBorders>
                  <w:vAlign w:val="center"/>
                </w:tcPr>
                <w:p w14:paraId="003D038D">
                  <w:pPr>
                    <w:keepNext w:val="0"/>
                    <w:keepLines w:val="0"/>
                    <w:pageBreakBefore w:val="0"/>
                    <w:widowControl w:val="0"/>
                    <w:kinsoku/>
                    <w:wordWrap/>
                    <w:overflowPunct w:val="0"/>
                    <w:topLinePunct w:val="0"/>
                    <w:autoSpaceDE/>
                    <w:autoSpaceDN/>
                    <w:bidi w:val="0"/>
                    <w:adjustRightInd w:val="0"/>
                    <w:snapToGrid w:val="0"/>
                    <w:spacing w:line="240" w:lineRule="auto"/>
                    <w:ind w:firstLine="0"/>
                    <w:jc w:val="left"/>
                    <w:textAlignment w:val="auto"/>
                    <w:rPr>
                      <w:rFonts w:hint="default" w:ascii="Times New Roman" w:hAnsi="Times New Roman" w:eastAsia="宋体" w:cs="Times New Roman"/>
                      <w:color w:val="auto"/>
                      <w:spacing w:val="0"/>
                      <w:kern w:val="0"/>
                      <w:position w:val="0"/>
                      <w:szCs w:val="21"/>
                      <w:highlight w:val="none"/>
                    </w:rPr>
                  </w:pPr>
                </w:p>
              </w:tc>
              <w:tc>
                <w:tcPr>
                  <w:tcW w:w="923" w:type="pct"/>
                  <w:tcBorders>
                    <w:tl2br w:val="nil"/>
                    <w:tr2bl w:val="nil"/>
                  </w:tcBorders>
                  <w:vAlign w:val="center"/>
                </w:tcPr>
                <w:p w14:paraId="2A5FB4BB">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eastAsia="宋体" w:cs="Times New Roman"/>
                      <w:color w:val="auto"/>
                      <w:spacing w:val="0"/>
                      <w:position w:val="0"/>
                      <w:highlight w:val="none"/>
                      <w:lang w:val="en-US" w:eastAsia="zh-CN"/>
                    </w:rPr>
                    <w:t>TDS</w:t>
                  </w:r>
                </w:p>
              </w:tc>
              <w:tc>
                <w:tcPr>
                  <w:tcW w:w="1387" w:type="dxa"/>
                  <w:tcBorders>
                    <w:tl2br w:val="nil"/>
                    <w:tr2bl w:val="nil"/>
                  </w:tcBorders>
                  <w:vAlign w:val="center"/>
                </w:tcPr>
                <w:p w14:paraId="6F9D9F5F">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399.327</w:t>
                  </w:r>
                </w:p>
              </w:tc>
              <w:tc>
                <w:tcPr>
                  <w:tcW w:w="1766" w:type="dxa"/>
                  <w:tcBorders>
                    <w:tl2br w:val="nil"/>
                    <w:tr2bl w:val="nil"/>
                  </w:tcBorders>
                  <w:vAlign w:val="center"/>
                </w:tcPr>
                <w:p w14:paraId="3B635045">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0.0441</w:t>
                  </w:r>
                </w:p>
              </w:tc>
              <w:tc>
                <w:tcPr>
                  <w:tcW w:w="1749" w:type="dxa"/>
                  <w:tcBorders>
                    <w:tl2br w:val="nil"/>
                    <w:tr2bl w:val="nil"/>
                  </w:tcBorders>
                  <w:shd w:val="clear" w:color="auto" w:fill="auto"/>
                  <w:vAlign w:val="center"/>
                </w:tcPr>
                <w:p w14:paraId="2C37270B">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15.422</w:t>
                  </w:r>
                </w:p>
              </w:tc>
            </w:tr>
            <w:tr w14:paraId="170E22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vMerge w:val="continue"/>
                  <w:tcBorders>
                    <w:tl2br w:val="nil"/>
                    <w:tr2bl w:val="nil"/>
                  </w:tcBorders>
                  <w:vAlign w:val="center"/>
                </w:tcPr>
                <w:p w14:paraId="306DB380">
                  <w:pPr>
                    <w:keepNext w:val="0"/>
                    <w:keepLines w:val="0"/>
                    <w:pageBreakBefore w:val="0"/>
                    <w:widowControl w:val="0"/>
                    <w:kinsoku/>
                    <w:wordWrap/>
                    <w:overflowPunct w:val="0"/>
                    <w:topLinePunct w:val="0"/>
                    <w:autoSpaceDE/>
                    <w:autoSpaceDN/>
                    <w:bidi w:val="0"/>
                    <w:adjustRightInd w:val="0"/>
                    <w:snapToGrid w:val="0"/>
                    <w:spacing w:line="240" w:lineRule="auto"/>
                    <w:ind w:firstLine="0"/>
                    <w:jc w:val="left"/>
                    <w:textAlignment w:val="auto"/>
                    <w:rPr>
                      <w:rFonts w:hint="default" w:ascii="Times New Roman" w:hAnsi="Times New Roman" w:eastAsia="宋体" w:cs="Times New Roman"/>
                      <w:color w:val="auto"/>
                      <w:spacing w:val="0"/>
                      <w:position w:val="0"/>
                      <w:szCs w:val="21"/>
                      <w:highlight w:val="none"/>
                    </w:rPr>
                  </w:pPr>
                </w:p>
              </w:tc>
              <w:tc>
                <w:tcPr>
                  <w:tcW w:w="714" w:type="pct"/>
                  <w:vMerge w:val="continue"/>
                  <w:tcBorders>
                    <w:tl2br w:val="nil"/>
                    <w:tr2bl w:val="nil"/>
                  </w:tcBorders>
                  <w:vAlign w:val="center"/>
                </w:tcPr>
                <w:p w14:paraId="60D16FA9">
                  <w:pPr>
                    <w:keepNext w:val="0"/>
                    <w:keepLines w:val="0"/>
                    <w:pageBreakBefore w:val="0"/>
                    <w:widowControl w:val="0"/>
                    <w:kinsoku/>
                    <w:wordWrap/>
                    <w:overflowPunct w:val="0"/>
                    <w:topLinePunct w:val="0"/>
                    <w:autoSpaceDE/>
                    <w:autoSpaceDN/>
                    <w:bidi w:val="0"/>
                    <w:adjustRightInd w:val="0"/>
                    <w:snapToGrid w:val="0"/>
                    <w:spacing w:line="240" w:lineRule="auto"/>
                    <w:ind w:firstLine="0"/>
                    <w:jc w:val="left"/>
                    <w:textAlignment w:val="auto"/>
                    <w:rPr>
                      <w:rFonts w:hint="default" w:ascii="Times New Roman" w:hAnsi="Times New Roman" w:eastAsia="宋体" w:cs="Times New Roman"/>
                      <w:color w:val="auto"/>
                      <w:spacing w:val="0"/>
                      <w:kern w:val="0"/>
                      <w:position w:val="0"/>
                      <w:szCs w:val="21"/>
                      <w:highlight w:val="none"/>
                    </w:rPr>
                  </w:pPr>
                </w:p>
              </w:tc>
              <w:tc>
                <w:tcPr>
                  <w:tcW w:w="923" w:type="pct"/>
                  <w:tcBorders>
                    <w:tl2br w:val="nil"/>
                    <w:tr2bl w:val="nil"/>
                  </w:tcBorders>
                  <w:shd w:val="clear" w:color="auto" w:fill="auto"/>
                  <w:vAlign w:val="center"/>
                </w:tcPr>
                <w:p w14:paraId="6CDA7DBB">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pacing w:val="0"/>
                      <w:kern w:val="0"/>
                      <w:position w:val="0"/>
                      <w:sz w:val="21"/>
                      <w:szCs w:val="20"/>
                      <w:highlight w:val="none"/>
                      <w:lang w:val="en-US" w:eastAsia="zh-CN" w:bidi="ar-SA"/>
                    </w:rPr>
                  </w:pPr>
                  <w:r>
                    <w:rPr>
                      <w:rFonts w:hint="default" w:ascii="Times New Roman" w:hAnsi="Times New Roman" w:eastAsia="宋体" w:cs="Times New Roman"/>
                      <w:color w:val="auto"/>
                      <w:spacing w:val="0"/>
                      <w:position w:val="0"/>
                      <w:highlight w:val="none"/>
                      <w:lang w:val="en-US" w:eastAsia="zh-CN"/>
                    </w:rPr>
                    <w:t>盐类</w:t>
                  </w:r>
                </w:p>
              </w:tc>
              <w:tc>
                <w:tcPr>
                  <w:tcW w:w="1387" w:type="dxa"/>
                  <w:tcBorders>
                    <w:tl2br w:val="nil"/>
                    <w:tr2bl w:val="nil"/>
                  </w:tcBorders>
                  <w:shd w:val="clear" w:color="auto" w:fill="auto"/>
                  <w:vAlign w:val="center"/>
                </w:tcPr>
                <w:p w14:paraId="1FA1969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391.507</w:t>
                  </w:r>
                </w:p>
              </w:tc>
              <w:tc>
                <w:tcPr>
                  <w:tcW w:w="1766" w:type="dxa"/>
                  <w:tcBorders>
                    <w:tl2br w:val="nil"/>
                    <w:tr2bl w:val="nil"/>
                  </w:tcBorders>
                  <w:shd w:val="clear" w:color="auto" w:fill="auto"/>
                  <w:vAlign w:val="center"/>
                </w:tcPr>
                <w:p w14:paraId="31C086E0">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0.0432</w:t>
                  </w:r>
                </w:p>
              </w:tc>
              <w:tc>
                <w:tcPr>
                  <w:tcW w:w="1749" w:type="dxa"/>
                  <w:tcBorders>
                    <w:tl2br w:val="nil"/>
                    <w:tr2bl w:val="nil"/>
                  </w:tcBorders>
                  <w:shd w:val="clear" w:color="auto" w:fill="auto"/>
                  <w:vAlign w:val="center"/>
                </w:tcPr>
                <w:p w14:paraId="6FC83660">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15.12</w:t>
                  </w:r>
                </w:p>
              </w:tc>
            </w:tr>
            <w:tr w14:paraId="0F8F63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vMerge w:val="continue"/>
                  <w:tcBorders>
                    <w:tl2br w:val="nil"/>
                    <w:tr2bl w:val="nil"/>
                  </w:tcBorders>
                  <w:vAlign w:val="center"/>
                </w:tcPr>
                <w:p w14:paraId="53D6F617">
                  <w:pPr>
                    <w:keepNext w:val="0"/>
                    <w:keepLines w:val="0"/>
                    <w:pageBreakBefore w:val="0"/>
                    <w:widowControl w:val="0"/>
                    <w:kinsoku/>
                    <w:wordWrap/>
                    <w:overflowPunct w:val="0"/>
                    <w:topLinePunct w:val="0"/>
                    <w:autoSpaceDE/>
                    <w:autoSpaceDN/>
                    <w:bidi w:val="0"/>
                    <w:adjustRightInd w:val="0"/>
                    <w:snapToGrid w:val="0"/>
                    <w:spacing w:line="240" w:lineRule="auto"/>
                    <w:ind w:firstLine="0"/>
                    <w:jc w:val="left"/>
                    <w:textAlignment w:val="auto"/>
                    <w:rPr>
                      <w:rFonts w:hint="default" w:ascii="Times New Roman" w:hAnsi="Times New Roman" w:eastAsia="宋体" w:cs="Times New Roman"/>
                      <w:color w:val="auto"/>
                      <w:spacing w:val="0"/>
                      <w:position w:val="0"/>
                      <w:szCs w:val="21"/>
                      <w:highlight w:val="none"/>
                    </w:rPr>
                  </w:pPr>
                </w:p>
              </w:tc>
              <w:tc>
                <w:tcPr>
                  <w:tcW w:w="714" w:type="pct"/>
                  <w:vMerge w:val="continue"/>
                  <w:tcBorders>
                    <w:tl2br w:val="nil"/>
                    <w:tr2bl w:val="nil"/>
                  </w:tcBorders>
                  <w:vAlign w:val="center"/>
                </w:tcPr>
                <w:p w14:paraId="30E1526B">
                  <w:pPr>
                    <w:keepNext w:val="0"/>
                    <w:keepLines w:val="0"/>
                    <w:pageBreakBefore w:val="0"/>
                    <w:widowControl w:val="0"/>
                    <w:kinsoku/>
                    <w:wordWrap/>
                    <w:overflowPunct w:val="0"/>
                    <w:topLinePunct w:val="0"/>
                    <w:autoSpaceDE/>
                    <w:autoSpaceDN/>
                    <w:bidi w:val="0"/>
                    <w:adjustRightInd w:val="0"/>
                    <w:snapToGrid w:val="0"/>
                    <w:spacing w:line="240" w:lineRule="auto"/>
                    <w:ind w:firstLine="0"/>
                    <w:jc w:val="left"/>
                    <w:textAlignment w:val="auto"/>
                    <w:rPr>
                      <w:rFonts w:hint="default" w:ascii="Times New Roman" w:hAnsi="Times New Roman" w:eastAsia="宋体" w:cs="Times New Roman"/>
                      <w:color w:val="auto"/>
                      <w:spacing w:val="0"/>
                      <w:kern w:val="0"/>
                      <w:position w:val="0"/>
                      <w:szCs w:val="21"/>
                      <w:highlight w:val="none"/>
                    </w:rPr>
                  </w:pPr>
                </w:p>
              </w:tc>
              <w:tc>
                <w:tcPr>
                  <w:tcW w:w="923" w:type="pct"/>
                  <w:tcBorders>
                    <w:tl2br w:val="nil"/>
                    <w:tr2bl w:val="nil"/>
                  </w:tcBorders>
                  <w:shd w:val="clear" w:color="auto" w:fill="auto"/>
                  <w:vAlign w:val="center"/>
                </w:tcPr>
                <w:p w14:paraId="320F6976">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pacing w:val="0"/>
                      <w:kern w:val="0"/>
                      <w:position w:val="0"/>
                      <w:sz w:val="21"/>
                      <w:szCs w:val="20"/>
                      <w:highlight w:val="none"/>
                      <w:lang w:val="en-US" w:eastAsia="zh-CN" w:bidi="ar-SA"/>
                    </w:rPr>
                  </w:pPr>
                  <w:r>
                    <w:rPr>
                      <w:rFonts w:hint="default" w:ascii="Times New Roman" w:hAnsi="Times New Roman" w:eastAsia="宋体" w:cs="Times New Roman"/>
                      <w:color w:val="auto"/>
                      <w:spacing w:val="0"/>
                      <w:position w:val="0"/>
                      <w:highlight w:val="none"/>
                      <w:lang w:val="en-US" w:eastAsia="zh-CN"/>
                    </w:rPr>
                    <w:t>动植物油</w:t>
                  </w:r>
                </w:p>
              </w:tc>
              <w:tc>
                <w:tcPr>
                  <w:tcW w:w="1387" w:type="dxa"/>
                  <w:tcBorders>
                    <w:tl2br w:val="nil"/>
                    <w:tr2bl w:val="nil"/>
                  </w:tcBorders>
                  <w:shd w:val="clear" w:color="auto" w:fill="auto"/>
                  <w:vAlign w:val="center"/>
                </w:tcPr>
                <w:p w14:paraId="778E93DB">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3.288</w:t>
                  </w:r>
                </w:p>
              </w:tc>
              <w:tc>
                <w:tcPr>
                  <w:tcW w:w="1766" w:type="dxa"/>
                  <w:tcBorders>
                    <w:tl2br w:val="nil"/>
                    <w:tr2bl w:val="nil"/>
                  </w:tcBorders>
                  <w:shd w:val="clear" w:color="auto" w:fill="auto"/>
                  <w:vAlign w:val="center"/>
                </w:tcPr>
                <w:p w14:paraId="0F4AFDE3">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0.0004</w:t>
                  </w:r>
                </w:p>
              </w:tc>
              <w:tc>
                <w:tcPr>
                  <w:tcW w:w="1749" w:type="dxa"/>
                  <w:tcBorders>
                    <w:tl2br w:val="nil"/>
                    <w:tr2bl w:val="nil"/>
                  </w:tcBorders>
                  <w:shd w:val="clear" w:color="auto" w:fill="auto"/>
                  <w:vAlign w:val="center"/>
                </w:tcPr>
                <w:p w14:paraId="623D3370">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0.127</w:t>
                  </w:r>
                </w:p>
              </w:tc>
            </w:tr>
            <w:tr w14:paraId="754109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vMerge w:val="continue"/>
                  <w:tcBorders>
                    <w:tl2br w:val="nil"/>
                    <w:tr2bl w:val="nil"/>
                  </w:tcBorders>
                  <w:vAlign w:val="center"/>
                </w:tcPr>
                <w:p w14:paraId="10DC18F2">
                  <w:pPr>
                    <w:keepNext w:val="0"/>
                    <w:keepLines w:val="0"/>
                    <w:pageBreakBefore w:val="0"/>
                    <w:widowControl w:val="0"/>
                    <w:kinsoku/>
                    <w:wordWrap/>
                    <w:overflowPunct w:val="0"/>
                    <w:topLinePunct w:val="0"/>
                    <w:autoSpaceDE/>
                    <w:autoSpaceDN/>
                    <w:bidi w:val="0"/>
                    <w:adjustRightInd w:val="0"/>
                    <w:snapToGrid w:val="0"/>
                    <w:spacing w:line="240" w:lineRule="auto"/>
                    <w:ind w:firstLine="0"/>
                    <w:jc w:val="left"/>
                    <w:textAlignment w:val="auto"/>
                    <w:rPr>
                      <w:rFonts w:hint="default" w:ascii="Times New Roman" w:hAnsi="Times New Roman" w:eastAsia="宋体" w:cs="Times New Roman"/>
                      <w:color w:val="auto"/>
                      <w:spacing w:val="0"/>
                      <w:position w:val="0"/>
                      <w:szCs w:val="21"/>
                      <w:highlight w:val="none"/>
                    </w:rPr>
                  </w:pPr>
                </w:p>
              </w:tc>
              <w:tc>
                <w:tcPr>
                  <w:tcW w:w="714" w:type="pct"/>
                  <w:vMerge w:val="continue"/>
                  <w:tcBorders>
                    <w:tl2br w:val="nil"/>
                    <w:tr2bl w:val="nil"/>
                  </w:tcBorders>
                  <w:vAlign w:val="center"/>
                </w:tcPr>
                <w:p w14:paraId="69DB45C7">
                  <w:pPr>
                    <w:keepNext w:val="0"/>
                    <w:keepLines w:val="0"/>
                    <w:pageBreakBefore w:val="0"/>
                    <w:widowControl w:val="0"/>
                    <w:kinsoku/>
                    <w:wordWrap/>
                    <w:overflowPunct w:val="0"/>
                    <w:topLinePunct w:val="0"/>
                    <w:autoSpaceDE/>
                    <w:autoSpaceDN/>
                    <w:bidi w:val="0"/>
                    <w:adjustRightInd w:val="0"/>
                    <w:snapToGrid w:val="0"/>
                    <w:spacing w:line="240" w:lineRule="auto"/>
                    <w:ind w:firstLine="0"/>
                    <w:jc w:val="left"/>
                    <w:textAlignment w:val="auto"/>
                    <w:rPr>
                      <w:rFonts w:hint="default" w:ascii="Times New Roman" w:hAnsi="Times New Roman" w:eastAsia="宋体" w:cs="Times New Roman"/>
                      <w:color w:val="auto"/>
                      <w:spacing w:val="0"/>
                      <w:kern w:val="0"/>
                      <w:position w:val="0"/>
                      <w:szCs w:val="21"/>
                      <w:highlight w:val="none"/>
                    </w:rPr>
                  </w:pPr>
                </w:p>
              </w:tc>
              <w:tc>
                <w:tcPr>
                  <w:tcW w:w="923" w:type="pct"/>
                  <w:tcBorders>
                    <w:tl2br w:val="nil"/>
                    <w:tr2bl w:val="nil"/>
                  </w:tcBorders>
                  <w:shd w:val="clear" w:color="auto" w:fill="auto"/>
                  <w:vAlign w:val="center"/>
                </w:tcPr>
                <w:p w14:paraId="07A66825">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pacing w:val="0"/>
                      <w:kern w:val="0"/>
                      <w:position w:val="0"/>
                      <w:sz w:val="21"/>
                      <w:szCs w:val="20"/>
                      <w:highlight w:val="none"/>
                      <w:lang w:val="en-US" w:eastAsia="zh-CN" w:bidi="ar-SA"/>
                    </w:rPr>
                  </w:pPr>
                  <w:r>
                    <w:rPr>
                      <w:rFonts w:hint="default" w:ascii="Times New Roman" w:hAnsi="Times New Roman" w:eastAsia="宋体" w:cs="Times New Roman"/>
                      <w:color w:val="auto"/>
                      <w:spacing w:val="0"/>
                      <w:position w:val="0"/>
                      <w:highlight w:val="none"/>
                      <w:lang w:val="en-US" w:eastAsia="zh-CN"/>
                    </w:rPr>
                    <w:t>TP</w:t>
                  </w:r>
                </w:p>
              </w:tc>
              <w:tc>
                <w:tcPr>
                  <w:tcW w:w="1387" w:type="dxa"/>
                  <w:tcBorders>
                    <w:tl2br w:val="nil"/>
                    <w:tr2bl w:val="nil"/>
                  </w:tcBorders>
                  <w:shd w:val="clear" w:color="auto" w:fill="auto"/>
                  <w:vAlign w:val="center"/>
                </w:tcPr>
                <w:p w14:paraId="0AB3A689">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0.880</w:t>
                  </w:r>
                </w:p>
              </w:tc>
              <w:tc>
                <w:tcPr>
                  <w:tcW w:w="1766" w:type="dxa"/>
                  <w:tcBorders>
                    <w:tl2br w:val="nil"/>
                    <w:tr2bl w:val="nil"/>
                  </w:tcBorders>
                  <w:shd w:val="clear" w:color="auto" w:fill="auto"/>
                  <w:vAlign w:val="center"/>
                </w:tcPr>
                <w:p w14:paraId="5E6A47BC">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0.0001</w:t>
                  </w:r>
                </w:p>
              </w:tc>
              <w:tc>
                <w:tcPr>
                  <w:tcW w:w="1749" w:type="dxa"/>
                  <w:tcBorders>
                    <w:tl2br w:val="nil"/>
                    <w:tr2bl w:val="nil"/>
                  </w:tcBorders>
                  <w:shd w:val="clear" w:color="auto" w:fill="auto"/>
                  <w:vAlign w:val="center"/>
                </w:tcPr>
                <w:p w14:paraId="66C24E1B">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0.034</w:t>
                  </w:r>
                </w:p>
              </w:tc>
            </w:tr>
            <w:tr w14:paraId="0456E0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9" w:type="pct"/>
                  <w:gridSpan w:val="2"/>
                  <w:vMerge w:val="restart"/>
                  <w:tcBorders>
                    <w:tl2br w:val="nil"/>
                    <w:tr2bl w:val="nil"/>
                  </w:tcBorders>
                  <w:vAlign w:val="center"/>
                </w:tcPr>
                <w:p w14:paraId="56EA2DBE">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全厂排放口合计</w:t>
                  </w:r>
                </w:p>
              </w:tc>
              <w:tc>
                <w:tcPr>
                  <w:tcW w:w="4694" w:type="dxa"/>
                  <w:gridSpan w:val="3"/>
                  <w:tcBorders>
                    <w:tl2br w:val="nil"/>
                    <w:tr2bl w:val="nil"/>
                  </w:tcBorders>
                  <w:vAlign w:val="center"/>
                </w:tcPr>
                <w:p w14:paraId="3EDF7C27">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COD</w:t>
                  </w:r>
                </w:p>
              </w:tc>
              <w:tc>
                <w:tcPr>
                  <w:tcW w:w="1749" w:type="dxa"/>
                  <w:tcBorders>
                    <w:tl2br w:val="nil"/>
                    <w:tr2bl w:val="nil"/>
                  </w:tcBorders>
                  <w:vAlign w:val="center"/>
                </w:tcPr>
                <w:p w14:paraId="1A437EE4">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bCs/>
                      <w:color w:val="auto"/>
                      <w:spacing w:val="0"/>
                      <w:w w:val="100"/>
                      <w:kern w:val="0"/>
                      <w:position w:val="0"/>
                      <w:sz w:val="21"/>
                      <w:szCs w:val="21"/>
                      <w:highlight w:val="none"/>
                      <w:lang w:val="en-US" w:eastAsia="zh-CN"/>
                    </w:rPr>
                    <w:t>5.337</w:t>
                  </w:r>
                </w:p>
              </w:tc>
            </w:tr>
            <w:tr w14:paraId="05E8C1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9" w:type="pct"/>
                  <w:gridSpan w:val="2"/>
                  <w:vMerge w:val="continue"/>
                  <w:tcBorders>
                    <w:tl2br w:val="nil"/>
                    <w:tr2bl w:val="nil"/>
                  </w:tcBorders>
                  <w:vAlign w:val="center"/>
                </w:tcPr>
                <w:p w14:paraId="77E58672">
                  <w:pPr>
                    <w:keepNext w:val="0"/>
                    <w:keepLines w:val="0"/>
                    <w:pageBreakBefore w:val="0"/>
                    <w:widowControl w:val="0"/>
                    <w:kinsoku/>
                    <w:wordWrap/>
                    <w:overflowPunct w:val="0"/>
                    <w:topLinePunct w:val="0"/>
                    <w:autoSpaceDE/>
                    <w:autoSpaceDN/>
                    <w:bidi w:val="0"/>
                    <w:adjustRightInd w:val="0"/>
                    <w:snapToGrid w:val="0"/>
                    <w:spacing w:line="240" w:lineRule="auto"/>
                    <w:ind w:firstLine="0"/>
                    <w:jc w:val="left"/>
                    <w:textAlignment w:val="auto"/>
                    <w:rPr>
                      <w:rFonts w:hint="default" w:ascii="Times New Roman" w:hAnsi="Times New Roman" w:eastAsia="宋体" w:cs="Times New Roman"/>
                      <w:color w:val="auto"/>
                      <w:spacing w:val="0"/>
                      <w:position w:val="0"/>
                      <w:szCs w:val="21"/>
                      <w:highlight w:val="none"/>
                    </w:rPr>
                  </w:pPr>
                </w:p>
              </w:tc>
              <w:tc>
                <w:tcPr>
                  <w:tcW w:w="4694" w:type="dxa"/>
                  <w:gridSpan w:val="3"/>
                  <w:tcBorders>
                    <w:tl2br w:val="nil"/>
                    <w:tr2bl w:val="nil"/>
                  </w:tcBorders>
                  <w:vAlign w:val="center"/>
                </w:tcPr>
                <w:p w14:paraId="3C92EEE1">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BOD</w:t>
                  </w:r>
                  <w:r>
                    <w:rPr>
                      <w:rFonts w:hint="default" w:ascii="Times New Roman" w:hAnsi="Times New Roman" w:eastAsia="宋体" w:cs="Times New Roman"/>
                      <w:color w:val="auto"/>
                      <w:spacing w:val="0"/>
                      <w:position w:val="0"/>
                      <w:highlight w:val="none"/>
                      <w:vertAlign w:val="subscript"/>
                    </w:rPr>
                    <w:t>5</w:t>
                  </w:r>
                </w:p>
              </w:tc>
              <w:tc>
                <w:tcPr>
                  <w:tcW w:w="1749" w:type="dxa"/>
                  <w:tcBorders>
                    <w:tl2br w:val="nil"/>
                    <w:tr2bl w:val="nil"/>
                  </w:tcBorders>
                  <w:vAlign w:val="center"/>
                </w:tcPr>
                <w:p w14:paraId="5AADF150">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bCs/>
                      <w:color w:val="auto"/>
                      <w:spacing w:val="0"/>
                      <w:w w:val="100"/>
                      <w:kern w:val="0"/>
                      <w:position w:val="0"/>
                      <w:sz w:val="21"/>
                      <w:szCs w:val="21"/>
                      <w:highlight w:val="none"/>
                      <w:lang w:val="en-US" w:eastAsia="zh-CN"/>
                    </w:rPr>
                    <w:t>1.284</w:t>
                  </w:r>
                </w:p>
              </w:tc>
            </w:tr>
            <w:tr w14:paraId="56E421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9" w:type="pct"/>
                  <w:gridSpan w:val="2"/>
                  <w:vMerge w:val="continue"/>
                  <w:tcBorders>
                    <w:tl2br w:val="nil"/>
                    <w:tr2bl w:val="nil"/>
                  </w:tcBorders>
                  <w:vAlign w:val="center"/>
                </w:tcPr>
                <w:p w14:paraId="6FA244AD">
                  <w:pPr>
                    <w:keepNext w:val="0"/>
                    <w:keepLines w:val="0"/>
                    <w:pageBreakBefore w:val="0"/>
                    <w:widowControl w:val="0"/>
                    <w:kinsoku/>
                    <w:wordWrap/>
                    <w:overflowPunct w:val="0"/>
                    <w:topLinePunct w:val="0"/>
                    <w:autoSpaceDE/>
                    <w:autoSpaceDN/>
                    <w:bidi w:val="0"/>
                    <w:adjustRightInd w:val="0"/>
                    <w:snapToGrid w:val="0"/>
                    <w:spacing w:line="240" w:lineRule="auto"/>
                    <w:ind w:firstLine="0"/>
                    <w:jc w:val="left"/>
                    <w:textAlignment w:val="auto"/>
                    <w:rPr>
                      <w:rFonts w:hint="default" w:ascii="Times New Roman" w:hAnsi="Times New Roman" w:eastAsia="宋体" w:cs="Times New Roman"/>
                      <w:color w:val="auto"/>
                      <w:spacing w:val="0"/>
                      <w:position w:val="0"/>
                      <w:szCs w:val="21"/>
                      <w:highlight w:val="none"/>
                    </w:rPr>
                  </w:pPr>
                </w:p>
              </w:tc>
              <w:tc>
                <w:tcPr>
                  <w:tcW w:w="4694" w:type="dxa"/>
                  <w:gridSpan w:val="3"/>
                  <w:tcBorders>
                    <w:tl2br w:val="nil"/>
                    <w:tr2bl w:val="nil"/>
                  </w:tcBorders>
                  <w:vAlign w:val="center"/>
                </w:tcPr>
                <w:p w14:paraId="24A0A91C">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氨氮</w:t>
                  </w:r>
                </w:p>
              </w:tc>
              <w:tc>
                <w:tcPr>
                  <w:tcW w:w="1749" w:type="dxa"/>
                  <w:tcBorders>
                    <w:tl2br w:val="nil"/>
                    <w:tr2bl w:val="nil"/>
                  </w:tcBorders>
                  <w:vAlign w:val="center"/>
                </w:tcPr>
                <w:p w14:paraId="41FC7347">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bCs/>
                      <w:color w:val="auto"/>
                      <w:spacing w:val="0"/>
                      <w:w w:val="100"/>
                      <w:kern w:val="0"/>
                      <w:position w:val="0"/>
                      <w:sz w:val="21"/>
                      <w:szCs w:val="21"/>
                      <w:highlight w:val="none"/>
                      <w:lang w:val="en-US" w:eastAsia="zh-CN"/>
                    </w:rPr>
                    <w:t>0.285</w:t>
                  </w:r>
                </w:p>
              </w:tc>
            </w:tr>
            <w:tr w14:paraId="452261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9" w:type="pct"/>
                  <w:gridSpan w:val="2"/>
                  <w:vMerge w:val="continue"/>
                  <w:tcBorders>
                    <w:tl2br w:val="nil"/>
                    <w:tr2bl w:val="nil"/>
                  </w:tcBorders>
                  <w:vAlign w:val="center"/>
                </w:tcPr>
                <w:p w14:paraId="797DBC5A">
                  <w:pPr>
                    <w:keepNext w:val="0"/>
                    <w:keepLines w:val="0"/>
                    <w:pageBreakBefore w:val="0"/>
                    <w:widowControl w:val="0"/>
                    <w:kinsoku/>
                    <w:wordWrap/>
                    <w:overflowPunct w:val="0"/>
                    <w:topLinePunct w:val="0"/>
                    <w:autoSpaceDE/>
                    <w:autoSpaceDN/>
                    <w:bidi w:val="0"/>
                    <w:adjustRightInd w:val="0"/>
                    <w:snapToGrid w:val="0"/>
                    <w:spacing w:line="240" w:lineRule="auto"/>
                    <w:ind w:firstLine="0"/>
                    <w:jc w:val="left"/>
                    <w:textAlignment w:val="auto"/>
                    <w:rPr>
                      <w:rFonts w:hint="default" w:ascii="Times New Roman" w:hAnsi="Times New Roman" w:eastAsia="宋体" w:cs="Times New Roman"/>
                      <w:color w:val="auto"/>
                      <w:spacing w:val="0"/>
                      <w:position w:val="0"/>
                      <w:szCs w:val="21"/>
                      <w:highlight w:val="none"/>
                    </w:rPr>
                  </w:pPr>
                </w:p>
              </w:tc>
              <w:tc>
                <w:tcPr>
                  <w:tcW w:w="4694" w:type="dxa"/>
                  <w:gridSpan w:val="3"/>
                  <w:tcBorders>
                    <w:tl2br w:val="nil"/>
                    <w:tr2bl w:val="nil"/>
                  </w:tcBorders>
                  <w:vAlign w:val="center"/>
                </w:tcPr>
                <w:p w14:paraId="3B5FA03E">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SS</w:t>
                  </w:r>
                </w:p>
              </w:tc>
              <w:tc>
                <w:tcPr>
                  <w:tcW w:w="1749" w:type="dxa"/>
                  <w:tcBorders>
                    <w:tl2br w:val="nil"/>
                    <w:tr2bl w:val="nil"/>
                  </w:tcBorders>
                  <w:vAlign w:val="center"/>
                </w:tcPr>
                <w:p w14:paraId="65867956">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bCs/>
                      <w:color w:val="auto"/>
                      <w:spacing w:val="0"/>
                      <w:w w:val="100"/>
                      <w:kern w:val="0"/>
                      <w:position w:val="0"/>
                      <w:sz w:val="21"/>
                      <w:szCs w:val="21"/>
                      <w:highlight w:val="none"/>
                      <w:lang w:val="en-US" w:eastAsia="zh-CN"/>
                    </w:rPr>
                    <w:t>1.322</w:t>
                  </w:r>
                </w:p>
              </w:tc>
            </w:tr>
            <w:tr w14:paraId="2B60D5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9" w:type="pct"/>
                  <w:gridSpan w:val="2"/>
                  <w:vMerge w:val="continue"/>
                  <w:tcBorders>
                    <w:tl2br w:val="nil"/>
                    <w:tr2bl w:val="nil"/>
                  </w:tcBorders>
                  <w:vAlign w:val="center"/>
                </w:tcPr>
                <w:p w14:paraId="2770BD7A">
                  <w:pPr>
                    <w:keepNext w:val="0"/>
                    <w:keepLines w:val="0"/>
                    <w:pageBreakBefore w:val="0"/>
                    <w:widowControl w:val="0"/>
                    <w:kinsoku/>
                    <w:wordWrap/>
                    <w:overflowPunct w:val="0"/>
                    <w:topLinePunct w:val="0"/>
                    <w:autoSpaceDE/>
                    <w:autoSpaceDN/>
                    <w:bidi w:val="0"/>
                    <w:adjustRightInd w:val="0"/>
                    <w:snapToGrid w:val="0"/>
                    <w:spacing w:line="240" w:lineRule="auto"/>
                    <w:ind w:firstLine="0"/>
                    <w:jc w:val="left"/>
                    <w:textAlignment w:val="auto"/>
                    <w:rPr>
                      <w:rFonts w:hint="default" w:ascii="Times New Roman" w:hAnsi="Times New Roman" w:eastAsia="宋体" w:cs="Times New Roman"/>
                      <w:color w:val="auto"/>
                      <w:spacing w:val="0"/>
                      <w:position w:val="0"/>
                      <w:szCs w:val="21"/>
                      <w:highlight w:val="none"/>
                    </w:rPr>
                  </w:pPr>
                </w:p>
              </w:tc>
              <w:tc>
                <w:tcPr>
                  <w:tcW w:w="4694" w:type="dxa"/>
                  <w:gridSpan w:val="3"/>
                  <w:tcBorders>
                    <w:tl2br w:val="nil"/>
                    <w:tr2bl w:val="nil"/>
                  </w:tcBorders>
                  <w:vAlign w:val="center"/>
                </w:tcPr>
                <w:p w14:paraId="4B2748D1">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lang w:val="en-US" w:eastAsia="zh-CN"/>
                    </w:rPr>
                    <w:t>TDS</w:t>
                  </w:r>
                </w:p>
              </w:tc>
              <w:tc>
                <w:tcPr>
                  <w:tcW w:w="1749" w:type="dxa"/>
                  <w:tcBorders>
                    <w:tl2br w:val="nil"/>
                    <w:tr2bl w:val="nil"/>
                  </w:tcBorders>
                  <w:vAlign w:val="center"/>
                </w:tcPr>
                <w:p w14:paraId="5AFFC255">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bCs/>
                      <w:color w:val="auto"/>
                      <w:spacing w:val="0"/>
                      <w:w w:val="100"/>
                      <w:kern w:val="0"/>
                      <w:position w:val="0"/>
                      <w:sz w:val="21"/>
                      <w:szCs w:val="21"/>
                      <w:highlight w:val="none"/>
                      <w:lang w:val="en-US" w:eastAsia="zh-CN"/>
                    </w:rPr>
                    <w:t>15.422</w:t>
                  </w:r>
                </w:p>
              </w:tc>
            </w:tr>
            <w:tr w14:paraId="2B9E66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9" w:type="pct"/>
                  <w:gridSpan w:val="2"/>
                  <w:vMerge w:val="continue"/>
                  <w:tcBorders>
                    <w:tl2br w:val="nil"/>
                    <w:tr2bl w:val="nil"/>
                  </w:tcBorders>
                  <w:vAlign w:val="center"/>
                </w:tcPr>
                <w:p w14:paraId="50D3C9F6">
                  <w:pPr>
                    <w:keepNext w:val="0"/>
                    <w:keepLines w:val="0"/>
                    <w:pageBreakBefore w:val="0"/>
                    <w:widowControl w:val="0"/>
                    <w:kinsoku/>
                    <w:wordWrap/>
                    <w:overflowPunct w:val="0"/>
                    <w:topLinePunct w:val="0"/>
                    <w:autoSpaceDE/>
                    <w:autoSpaceDN/>
                    <w:bidi w:val="0"/>
                    <w:adjustRightInd w:val="0"/>
                    <w:snapToGrid w:val="0"/>
                    <w:spacing w:line="240" w:lineRule="auto"/>
                    <w:ind w:firstLine="0"/>
                    <w:jc w:val="left"/>
                    <w:textAlignment w:val="auto"/>
                    <w:rPr>
                      <w:rFonts w:hint="default" w:ascii="Times New Roman" w:hAnsi="Times New Roman" w:eastAsia="宋体" w:cs="Times New Roman"/>
                      <w:color w:val="auto"/>
                      <w:spacing w:val="0"/>
                      <w:position w:val="0"/>
                      <w:szCs w:val="21"/>
                      <w:highlight w:val="none"/>
                    </w:rPr>
                  </w:pPr>
                </w:p>
              </w:tc>
              <w:tc>
                <w:tcPr>
                  <w:tcW w:w="4694" w:type="dxa"/>
                  <w:gridSpan w:val="3"/>
                  <w:tcBorders>
                    <w:tl2br w:val="nil"/>
                    <w:tr2bl w:val="nil"/>
                  </w:tcBorders>
                  <w:vAlign w:val="center"/>
                </w:tcPr>
                <w:p w14:paraId="141152A6">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eastAsia="宋体" w:cs="Times New Roman"/>
                      <w:color w:val="auto"/>
                      <w:spacing w:val="0"/>
                      <w:position w:val="0"/>
                      <w:highlight w:val="none"/>
                      <w:lang w:val="en-US" w:eastAsia="zh-CN"/>
                    </w:rPr>
                    <w:t>盐类</w:t>
                  </w:r>
                </w:p>
              </w:tc>
              <w:tc>
                <w:tcPr>
                  <w:tcW w:w="1749" w:type="dxa"/>
                  <w:tcBorders>
                    <w:tl2br w:val="nil"/>
                    <w:tr2bl w:val="nil"/>
                  </w:tcBorders>
                  <w:vAlign w:val="center"/>
                </w:tcPr>
                <w:p w14:paraId="5A405FC5">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15.12</w:t>
                  </w:r>
                </w:p>
              </w:tc>
            </w:tr>
            <w:tr w14:paraId="77777A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9" w:type="pct"/>
                  <w:gridSpan w:val="2"/>
                  <w:vMerge w:val="continue"/>
                  <w:tcBorders>
                    <w:tl2br w:val="nil"/>
                    <w:tr2bl w:val="nil"/>
                  </w:tcBorders>
                  <w:vAlign w:val="center"/>
                </w:tcPr>
                <w:p w14:paraId="528EDE19">
                  <w:pPr>
                    <w:keepNext w:val="0"/>
                    <w:keepLines w:val="0"/>
                    <w:pageBreakBefore w:val="0"/>
                    <w:widowControl w:val="0"/>
                    <w:kinsoku/>
                    <w:wordWrap/>
                    <w:overflowPunct w:val="0"/>
                    <w:topLinePunct w:val="0"/>
                    <w:autoSpaceDE/>
                    <w:autoSpaceDN/>
                    <w:bidi w:val="0"/>
                    <w:adjustRightInd w:val="0"/>
                    <w:snapToGrid w:val="0"/>
                    <w:spacing w:line="240" w:lineRule="auto"/>
                    <w:ind w:firstLine="0"/>
                    <w:jc w:val="left"/>
                    <w:textAlignment w:val="auto"/>
                    <w:rPr>
                      <w:rFonts w:hint="default" w:ascii="Times New Roman" w:hAnsi="Times New Roman" w:eastAsia="宋体" w:cs="Times New Roman"/>
                      <w:color w:val="auto"/>
                      <w:spacing w:val="0"/>
                      <w:position w:val="0"/>
                      <w:szCs w:val="21"/>
                      <w:highlight w:val="none"/>
                    </w:rPr>
                  </w:pPr>
                </w:p>
              </w:tc>
              <w:tc>
                <w:tcPr>
                  <w:tcW w:w="4694" w:type="dxa"/>
                  <w:gridSpan w:val="3"/>
                  <w:tcBorders>
                    <w:tl2br w:val="nil"/>
                    <w:tr2bl w:val="nil"/>
                  </w:tcBorders>
                  <w:vAlign w:val="center"/>
                </w:tcPr>
                <w:p w14:paraId="6FDC98F1">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eastAsia="宋体" w:cs="Times New Roman"/>
                      <w:color w:val="auto"/>
                      <w:spacing w:val="0"/>
                      <w:position w:val="0"/>
                      <w:highlight w:val="none"/>
                      <w:lang w:val="en-US" w:eastAsia="zh-CN"/>
                    </w:rPr>
                    <w:t>动植物油</w:t>
                  </w:r>
                </w:p>
              </w:tc>
              <w:tc>
                <w:tcPr>
                  <w:tcW w:w="1749" w:type="dxa"/>
                  <w:tcBorders>
                    <w:tl2br w:val="nil"/>
                    <w:tr2bl w:val="nil"/>
                  </w:tcBorders>
                  <w:vAlign w:val="center"/>
                </w:tcPr>
                <w:p w14:paraId="7FF08E8C">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0.127</w:t>
                  </w:r>
                </w:p>
              </w:tc>
            </w:tr>
            <w:tr w14:paraId="6907C1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9" w:type="pct"/>
                  <w:gridSpan w:val="2"/>
                  <w:vMerge w:val="continue"/>
                  <w:tcBorders>
                    <w:tl2br w:val="nil"/>
                    <w:tr2bl w:val="nil"/>
                  </w:tcBorders>
                  <w:vAlign w:val="center"/>
                </w:tcPr>
                <w:p w14:paraId="38124A29">
                  <w:pPr>
                    <w:keepNext w:val="0"/>
                    <w:keepLines w:val="0"/>
                    <w:pageBreakBefore w:val="0"/>
                    <w:widowControl w:val="0"/>
                    <w:kinsoku/>
                    <w:wordWrap/>
                    <w:overflowPunct w:val="0"/>
                    <w:topLinePunct w:val="0"/>
                    <w:autoSpaceDE/>
                    <w:autoSpaceDN/>
                    <w:bidi w:val="0"/>
                    <w:adjustRightInd w:val="0"/>
                    <w:snapToGrid w:val="0"/>
                    <w:spacing w:line="240" w:lineRule="auto"/>
                    <w:ind w:firstLine="0"/>
                    <w:jc w:val="left"/>
                    <w:textAlignment w:val="auto"/>
                    <w:rPr>
                      <w:rFonts w:hint="default" w:ascii="Times New Roman" w:hAnsi="Times New Roman" w:eastAsia="宋体" w:cs="Times New Roman"/>
                      <w:color w:val="auto"/>
                      <w:spacing w:val="0"/>
                      <w:position w:val="0"/>
                      <w:szCs w:val="21"/>
                      <w:highlight w:val="none"/>
                    </w:rPr>
                  </w:pPr>
                </w:p>
              </w:tc>
              <w:tc>
                <w:tcPr>
                  <w:tcW w:w="4694" w:type="dxa"/>
                  <w:gridSpan w:val="3"/>
                  <w:tcBorders>
                    <w:tl2br w:val="nil"/>
                    <w:tr2bl w:val="nil"/>
                  </w:tcBorders>
                  <w:vAlign w:val="center"/>
                </w:tcPr>
                <w:p w14:paraId="3ED4B7D9">
                  <w:pPr>
                    <w:pStyle w:val="73"/>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eastAsia="宋体" w:cs="Times New Roman"/>
                      <w:color w:val="auto"/>
                      <w:spacing w:val="0"/>
                      <w:position w:val="0"/>
                      <w:highlight w:val="none"/>
                      <w:lang w:val="en-US" w:eastAsia="zh-CN"/>
                    </w:rPr>
                    <w:t>TP</w:t>
                  </w:r>
                </w:p>
              </w:tc>
              <w:tc>
                <w:tcPr>
                  <w:tcW w:w="1749" w:type="dxa"/>
                  <w:tcBorders>
                    <w:tl2br w:val="nil"/>
                    <w:tr2bl w:val="nil"/>
                  </w:tcBorders>
                  <w:vAlign w:val="center"/>
                </w:tcPr>
                <w:p w14:paraId="2D4996B8">
                  <w:pPr>
                    <w:keepLines w:val="0"/>
                    <w:pageBreakBefore w:val="0"/>
                    <w:widowControl w:val="0"/>
                    <w:wordWrap/>
                    <w:overflowPunct w:val="0"/>
                    <w:topLinePunct w:val="0"/>
                    <w:autoSpaceDE/>
                    <w:autoSpaceDN/>
                    <w:bidi w:val="0"/>
                    <w:adjustRightInd w:val="0"/>
                    <w:snapToGrid w:val="0"/>
                    <w:spacing w:beforeAutospacing="0" w:afterAutospacing="0"/>
                    <w:ind w:left="0" w:leftChars="0" w:right="0" w:rightChars="0"/>
                    <w:contextualSpacing/>
                    <w:jc w:val="center"/>
                    <w:outlineLvl w:val="9"/>
                    <w:rPr>
                      <w:rFonts w:hint="default" w:ascii="Times New Roman" w:hAnsi="Times New Roman" w:cs="Times New Roman"/>
                      <w:bCs/>
                      <w:color w:val="auto"/>
                      <w:spacing w:val="0"/>
                      <w:w w:val="100"/>
                      <w:kern w:val="0"/>
                      <w:position w:val="0"/>
                      <w:sz w:val="21"/>
                      <w:szCs w:val="21"/>
                      <w:highlight w:val="none"/>
                      <w:lang w:val="en-US" w:eastAsia="zh-CN"/>
                    </w:rPr>
                  </w:pPr>
                  <w:r>
                    <w:rPr>
                      <w:rFonts w:hint="default" w:ascii="Times New Roman" w:hAnsi="Times New Roman" w:eastAsia="宋体" w:cs="Times New Roman"/>
                      <w:bCs/>
                      <w:color w:val="auto"/>
                      <w:spacing w:val="0"/>
                      <w:w w:val="100"/>
                      <w:kern w:val="0"/>
                      <w:position w:val="0"/>
                      <w:sz w:val="21"/>
                      <w:szCs w:val="21"/>
                      <w:highlight w:val="none"/>
                      <w:lang w:val="en-US" w:eastAsia="zh-CN"/>
                    </w:rPr>
                    <w:t>0.034</w:t>
                  </w:r>
                </w:p>
              </w:tc>
            </w:tr>
          </w:tbl>
          <w:p w14:paraId="38EAFB58">
            <w:pPr>
              <w:keepNext w:val="0"/>
              <w:keepLines w:val="0"/>
              <w:pageBreakBefore w:val="0"/>
              <w:widowControl w:val="0"/>
              <w:kinsoku/>
              <w:wordWrap/>
              <w:overflowPunct w:val="0"/>
              <w:topLinePunct w:val="0"/>
              <w:autoSpaceDE/>
              <w:autoSpaceDN/>
              <w:bidi w:val="0"/>
              <w:adjustRightInd w:val="0"/>
              <w:snapToGrid w:val="0"/>
              <w:spacing w:line="520" w:lineRule="exact"/>
              <w:ind w:right="0" w:firstLine="480" w:firstLineChars="200"/>
              <w:textAlignment w:val="auto"/>
              <w:outlineLvl w:val="9"/>
              <w:rPr>
                <w:rFonts w:hint="default" w:ascii="Times New Roman" w:hAnsi="Times New Roman" w:cs="Times New Roman"/>
                <w:bCs/>
                <w:snapToGrid w:val="0"/>
                <w:color w:val="auto"/>
                <w:spacing w:val="0"/>
                <w:w w:val="100"/>
                <w:kern w:val="0"/>
                <w:position w:val="0"/>
                <w:sz w:val="24"/>
                <w:szCs w:val="24"/>
                <w:highlight w:val="none"/>
                <w:lang w:val="en-US" w:eastAsia="zh-CN" w:bidi="ar-SA"/>
              </w:rPr>
            </w:pPr>
            <w:r>
              <w:rPr>
                <w:rFonts w:hint="default" w:ascii="Times New Roman" w:hAnsi="Times New Roman" w:cs="Times New Roman"/>
                <w:bCs/>
                <w:snapToGrid w:val="0"/>
                <w:color w:val="auto"/>
                <w:spacing w:val="0"/>
                <w:w w:val="100"/>
                <w:kern w:val="0"/>
                <w:position w:val="0"/>
                <w:sz w:val="24"/>
                <w:szCs w:val="24"/>
                <w:highlight w:val="none"/>
                <w:lang w:val="en-US" w:eastAsia="zh-CN" w:bidi="ar-SA"/>
              </w:rPr>
              <w:t>2、非正常工况</w:t>
            </w:r>
          </w:p>
          <w:p w14:paraId="2ECC7096">
            <w:pPr>
              <w:keepNext w:val="0"/>
              <w:keepLines w:val="0"/>
              <w:pageBreakBefore w:val="0"/>
              <w:widowControl w:val="0"/>
              <w:kinsoku/>
              <w:wordWrap/>
              <w:overflowPunct w:val="0"/>
              <w:topLinePunct w:val="0"/>
              <w:autoSpaceDE/>
              <w:autoSpaceDN/>
              <w:bidi w:val="0"/>
              <w:adjustRightInd w:val="0"/>
              <w:snapToGrid w:val="0"/>
              <w:spacing w:line="520" w:lineRule="exact"/>
              <w:ind w:right="0" w:firstLine="480" w:firstLineChars="200"/>
              <w:textAlignment w:val="auto"/>
              <w:outlineLvl w:val="9"/>
              <w:rPr>
                <w:rFonts w:hint="default" w:ascii="Times New Roman" w:hAnsi="Times New Roman" w:cs="Times New Roman"/>
                <w:bCs/>
                <w:snapToGrid w:val="0"/>
                <w:color w:val="auto"/>
                <w:spacing w:val="0"/>
                <w:w w:val="100"/>
                <w:kern w:val="0"/>
                <w:position w:val="0"/>
                <w:sz w:val="24"/>
                <w:szCs w:val="24"/>
                <w:highlight w:val="none"/>
                <w:lang w:val="en-US" w:eastAsia="zh-CN" w:bidi="ar-SA"/>
              </w:rPr>
            </w:pPr>
            <w:r>
              <w:rPr>
                <w:rFonts w:hint="default" w:ascii="Times New Roman" w:hAnsi="Times New Roman" w:cs="Times New Roman"/>
                <w:bCs/>
                <w:snapToGrid w:val="0"/>
                <w:color w:val="auto"/>
                <w:spacing w:val="0"/>
                <w:w w:val="100"/>
                <w:kern w:val="0"/>
                <w:position w:val="0"/>
                <w:sz w:val="24"/>
                <w:szCs w:val="24"/>
                <w:highlight w:val="none"/>
                <w:lang w:val="en-US" w:eastAsia="zh-CN" w:bidi="ar-SA"/>
              </w:rPr>
              <w:t>《污染源源强核算技术指南 准则》（HJ884-2018）中指出：生产设施非正常工况是指开停炉（机）、设备检修、工艺设备运转异常等工况，污染防治（控制）设施非正常状况指达不到应有治理效率或同步运转率等情况。根据本项目实际情况，本项目非正常工况情景考虑污水处理站运行故障，应立即停止生产，进行设备检修。</w:t>
            </w:r>
          </w:p>
          <w:p w14:paraId="5AC4923B">
            <w:pPr>
              <w:keepNext w:val="0"/>
              <w:keepLines w:val="0"/>
              <w:pageBreakBefore w:val="0"/>
              <w:widowControl w:val="0"/>
              <w:kinsoku/>
              <w:wordWrap/>
              <w:overflowPunct w:val="0"/>
              <w:topLinePunct w:val="0"/>
              <w:autoSpaceDE/>
              <w:autoSpaceDN/>
              <w:bidi w:val="0"/>
              <w:adjustRightInd w:val="0"/>
              <w:snapToGrid w:val="0"/>
              <w:spacing w:line="520" w:lineRule="exact"/>
              <w:ind w:left="0" w:leftChars="0" w:right="0" w:firstLine="480" w:firstLineChars="200"/>
              <w:textAlignment w:val="auto"/>
              <w:outlineLvl w:val="9"/>
              <w:rPr>
                <w:rFonts w:hint="default" w:ascii="Times New Roman" w:hAnsi="Times New Roman" w:cs="Times New Roman"/>
                <w:bCs/>
                <w:snapToGrid w:val="0"/>
                <w:color w:val="auto"/>
                <w:spacing w:val="0"/>
                <w:w w:val="100"/>
                <w:kern w:val="0"/>
                <w:position w:val="0"/>
                <w:sz w:val="24"/>
                <w:szCs w:val="24"/>
                <w:highlight w:val="none"/>
                <w:lang w:val="en-US" w:eastAsia="zh-CN" w:bidi="ar-SA"/>
              </w:rPr>
            </w:pPr>
            <w:r>
              <w:rPr>
                <w:rFonts w:hint="default" w:ascii="Times New Roman" w:hAnsi="Times New Roman" w:cs="Times New Roman"/>
                <w:bCs/>
                <w:snapToGrid w:val="0"/>
                <w:color w:val="auto"/>
                <w:spacing w:val="0"/>
                <w:w w:val="100"/>
                <w:kern w:val="0"/>
                <w:position w:val="0"/>
                <w:sz w:val="24"/>
                <w:szCs w:val="24"/>
                <w:highlight w:val="none"/>
                <w:lang w:val="en-US" w:eastAsia="zh-CN" w:bidi="ar-SA"/>
              </w:rPr>
              <w:t>3、污染措施可行性分析</w:t>
            </w:r>
          </w:p>
          <w:p w14:paraId="3B3D50ED">
            <w:pPr>
              <w:keepNext w:val="0"/>
              <w:keepLines w:val="0"/>
              <w:pageBreakBefore w:val="0"/>
              <w:widowControl w:val="0"/>
              <w:kinsoku/>
              <w:wordWrap/>
              <w:overflowPunct w:val="0"/>
              <w:topLinePunct w:val="0"/>
              <w:autoSpaceDE/>
              <w:autoSpaceDN/>
              <w:bidi w:val="0"/>
              <w:adjustRightInd w:val="0"/>
              <w:snapToGrid w:val="0"/>
              <w:spacing w:line="520" w:lineRule="exact"/>
              <w:ind w:left="0" w:leftChars="0" w:right="0" w:firstLine="480" w:firstLineChars="200"/>
              <w:textAlignment w:val="auto"/>
              <w:outlineLvl w:val="9"/>
              <w:rPr>
                <w:rFonts w:hint="default" w:ascii="Times New Roman" w:hAnsi="Times New Roman" w:cs="Times New Roman"/>
                <w:bCs/>
                <w:snapToGrid w:val="0"/>
                <w:color w:val="auto"/>
                <w:spacing w:val="0"/>
                <w:w w:val="100"/>
                <w:kern w:val="0"/>
                <w:position w:val="0"/>
                <w:sz w:val="24"/>
                <w:szCs w:val="24"/>
                <w:highlight w:val="none"/>
                <w:lang w:val="en-US" w:eastAsia="zh-CN" w:bidi="ar-SA"/>
              </w:rPr>
            </w:pPr>
            <w:r>
              <w:rPr>
                <w:rFonts w:hint="default" w:ascii="Times New Roman" w:hAnsi="Times New Roman" w:cs="Times New Roman"/>
                <w:bCs/>
                <w:snapToGrid w:val="0"/>
                <w:color w:val="auto"/>
                <w:spacing w:val="0"/>
                <w:w w:val="100"/>
                <w:kern w:val="0"/>
                <w:position w:val="0"/>
                <w:sz w:val="24"/>
                <w:szCs w:val="24"/>
                <w:highlight w:val="none"/>
                <w:lang w:val="en-US" w:eastAsia="zh-CN" w:bidi="ar-SA"/>
              </w:rPr>
              <w:t>根据《排污许可证申请与核发技术规范 农副食品加工工业-饲料加工、植物油加工工业》（HJ1110-2020）附录 B“废水污染防治可行技术参考表”，提到：</w:t>
            </w:r>
          </w:p>
          <w:p w14:paraId="2FFD11D8">
            <w:pPr>
              <w:keepNext w:val="0"/>
              <w:keepLines w:val="0"/>
              <w:pageBreakBefore w:val="0"/>
              <w:widowControl w:val="0"/>
              <w:kinsoku/>
              <w:wordWrap/>
              <w:overflowPunct w:val="0"/>
              <w:topLinePunct w:val="0"/>
              <w:autoSpaceDE/>
              <w:autoSpaceDN/>
              <w:bidi w:val="0"/>
              <w:adjustRightInd w:val="0"/>
              <w:snapToGrid w:val="0"/>
              <w:spacing w:line="520" w:lineRule="exact"/>
              <w:ind w:left="0" w:leftChars="0" w:right="0" w:firstLine="480" w:firstLineChars="200"/>
              <w:textAlignment w:val="auto"/>
              <w:outlineLvl w:val="9"/>
              <w:rPr>
                <w:rFonts w:hint="default" w:ascii="Times New Roman" w:hAnsi="Times New Roman" w:cs="Times New Roman"/>
                <w:bCs/>
                <w:snapToGrid w:val="0"/>
                <w:color w:val="auto"/>
                <w:spacing w:val="0"/>
                <w:w w:val="100"/>
                <w:kern w:val="0"/>
                <w:position w:val="0"/>
                <w:sz w:val="24"/>
                <w:szCs w:val="24"/>
                <w:highlight w:val="none"/>
                <w:lang w:val="en-US" w:eastAsia="zh-CN" w:bidi="ar-SA"/>
              </w:rPr>
            </w:pPr>
            <w:r>
              <w:rPr>
                <w:rFonts w:hint="default" w:ascii="Times New Roman" w:hAnsi="Times New Roman" w:cs="Times New Roman"/>
                <w:bCs/>
                <w:snapToGrid w:val="0"/>
                <w:color w:val="auto"/>
                <w:spacing w:val="0"/>
                <w:w w:val="100"/>
                <w:kern w:val="0"/>
                <w:position w:val="0"/>
                <w:sz w:val="24"/>
                <w:szCs w:val="24"/>
                <w:highlight w:val="none"/>
                <w:lang w:val="en-US" w:eastAsia="zh-CN" w:bidi="ar-SA"/>
              </w:rPr>
              <w:t>直接排放可行技术为“直接1）预处理：粗（细）格栅；沉淀。 2）生化处理：活性污泥法及改进的活性污泥法；生物膜法；厌氧法。 3）除磷处理：化学除磷；生物除磷；生物与化学组合除磷。”</w:t>
            </w:r>
          </w:p>
          <w:p w14:paraId="485C71F9">
            <w:pPr>
              <w:keepNext w:val="0"/>
              <w:keepLines w:val="0"/>
              <w:pageBreakBefore w:val="0"/>
              <w:widowControl w:val="0"/>
              <w:kinsoku/>
              <w:wordWrap/>
              <w:overflowPunct w:val="0"/>
              <w:topLinePunct w:val="0"/>
              <w:autoSpaceDE/>
              <w:autoSpaceDN/>
              <w:bidi w:val="0"/>
              <w:adjustRightInd w:val="0"/>
              <w:snapToGrid w:val="0"/>
              <w:spacing w:line="520" w:lineRule="exact"/>
              <w:ind w:left="0" w:leftChars="0" w:right="0" w:firstLine="480" w:firstLineChars="200"/>
              <w:textAlignment w:val="auto"/>
              <w:outlineLvl w:val="9"/>
              <w:rPr>
                <w:rFonts w:hint="default" w:ascii="Times New Roman" w:hAnsi="Times New Roman" w:cs="Times New Roman"/>
                <w:bCs/>
                <w:snapToGrid w:val="0"/>
                <w:color w:val="auto"/>
                <w:spacing w:val="0"/>
                <w:w w:val="100"/>
                <w:kern w:val="0"/>
                <w:position w:val="0"/>
                <w:sz w:val="24"/>
                <w:szCs w:val="24"/>
                <w:highlight w:val="none"/>
                <w:lang w:val="en-US" w:eastAsia="zh-CN" w:bidi="ar-SA"/>
              </w:rPr>
            </w:pPr>
            <w:r>
              <w:rPr>
                <w:rFonts w:hint="default" w:ascii="Times New Roman" w:hAnsi="Times New Roman" w:cs="Times New Roman"/>
                <w:bCs/>
                <w:snapToGrid w:val="0"/>
                <w:color w:val="auto"/>
                <w:spacing w:val="0"/>
                <w:w w:val="100"/>
                <w:kern w:val="0"/>
                <w:position w:val="0"/>
                <w:sz w:val="24"/>
                <w:szCs w:val="24"/>
                <w:highlight w:val="none"/>
                <w:lang w:val="en-US" w:eastAsia="zh-CN" w:bidi="ar-SA"/>
              </w:rPr>
              <w:t>间接排放可行技术为“1）预处理：粗（细）格栅；气浮；隔油池、沉淀。2）生化处理：活性污泥法及改进的活性污泥法；生物膜法；厌氧法。”</w:t>
            </w:r>
          </w:p>
          <w:p w14:paraId="4F00D740">
            <w:pPr>
              <w:keepNext w:val="0"/>
              <w:keepLines w:val="0"/>
              <w:pageBreakBefore w:val="0"/>
              <w:widowControl w:val="0"/>
              <w:kinsoku/>
              <w:wordWrap/>
              <w:overflowPunct w:val="0"/>
              <w:topLinePunct w:val="0"/>
              <w:autoSpaceDE/>
              <w:autoSpaceDN/>
              <w:bidi w:val="0"/>
              <w:adjustRightInd w:val="0"/>
              <w:snapToGrid w:val="0"/>
              <w:spacing w:line="520" w:lineRule="exact"/>
              <w:ind w:left="0" w:leftChars="0" w:right="0" w:firstLine="480" w:firstLineChars="200"/>
              <w:textAlignment w:val="auto"/>
              <w:outlineLvl w:val="9"/>
              <w:rPr>
                <w:rFonts w:hint="default" w:ascii="Times New Roman" w:hAnsi="Times New Roman" w:cs="Times New Roman"/>
                <w:bCs/>
                <w:snapToGrid w:val="0"/>
                <w:color w:val="auto"/>
                <w:spacing w:val="0"/>
                <w:w w:val="100"/>
                <w:kern w:val="0"/>
                <w:position w:val="0"/>
                <w:sz w:val="24"/>
                <w:szCs w:val="24"/>
                <w:highlight w:val="none"/>
                <w:lang w:val="en-US" w:eastAsia="zh-CN" w:bidi="ar-SA"/>
              </w:rPr>
            </w:pPr>
            <w:r>
              <w:rPr>
                <w:rFonts w:hint="default" w:ascii="Times New Roman" w:hAnsi="Times New Roman" w:cs="Times New Roman"/>
                <w:bCs/>
                <w:snapToGrid w:val="0"/>
                <w:color w:val="auto"/>
                <w:spacing w:val="0"/>
                <w:w w:val="100"/>
                <w:kern w:val="0"/>
                <w:position w:val="0"/>
                <w:sz w:val="24"/>
                <w:szCs w:val="24"/>
                <w:highlight w:val="none"/>
                <w:lang w:val="en-US" w:eastAsia="zh-CN" w:bidi="ar-SA"/>
              </w:rPr>
              <w:t xml:space="preserve"> 本项目采用“隔油沉淀池+调节池+高效溶气气浮+厌氧池+生物接触氧化池+清水池”处理工艺，处理规模为40m3/d，预处理为隔油、沉淀属于可行技术，厌氧池为厌氧处理技术，属于推荐的可行技术。根据源强核算。经处理后可满足</w:t>
            </w:r>
            <w:r>
              <w:rPr>
                <w:rFonts w:hint="default" w:ascii="Times New Roman" w:hAnsi="Times New Roman" w:eastAsia="宋体" w:cs="Times New Roman"/>
                <w:bCs/>
                <w:snapToGrid w:val="0"/>
                <w:color w:val="auto"/>
                <w:spacing w:val="0"/>
                <w:w w:val="100"/>
                <w:kern w:val="0"/>
                <w:position w:val="0"/>
                <w:sz w:val="24"/>
                <w:szCs w:val="24"/>
                <w:highlight w:val="none"/>
                <w:lang w:val="en-US" w:eastAsia="zh-CN" w:bidi="ar-SA"/>
              </w:rPr>
              <w:t>《食品加工制造业水污染物排放标准》（GB 46817-2025）表1中间接排放标准要求</w:t>
            </w:r>
            <w:r>
              <w:rPr>
                <w:rFonts w:hint="default" w:ascii="Times New Roman" w:hAnsi="Times New Roman" w:cs="Times New Roman"/>
                <w:bCs/>
                <w:snapToGrid w:val="0"/>
                <w:color w:val="auto"/>
                <w:spacing w:val="0"/>
                <w:w w:val="100"/>
                <w:kern w:val="0"/>
                <w:position w:val="0"/>
                <w:sz w:val="24"/>
                <w:szCs w:val="24"/>
                <w:highlight w:val="none"/>
                <w:lang w:val="en-US" w:eastAsia="zh-CN" w:bidi="ar-SA"/>
              </w:rPr>
              <w:t>。</w:t>
            </w:r>
          </w:p>
          <w:p w14:paraId="64BAF63B">
            <w:pPr>
              <w:keepNext w:val="0"/>
              <w:keepLines w:val="0"/>
              <w:pageBreakBefore w:val="0"/>
              <w:widowControl w:val="0"/>
              <w:kinsoku/>
              <w:wordWrap/>
              <w:overflowPunct w:val="0"/>
              <w:topLinePunct w:val="0"/>
              <w:autoSpaceDE/>
              <w:autoSpaceDN/>
              <w:bidi w:val="0"/>
              <w:adjustRightInd w:val="0"/>
              <w:snapToGrid w:val="0"/>
              <w:spacing w:line="520" w:lineRule="exact"/>
              <w:ind w:left="0" w:leftChars="0" w:right="0" w:firstLine="480" w:firstLineChars="200"/>
              <w:textAlignment w:val="auto"/>
              <w:outlineLvl w:val="9"/>
              <w:rPr>
                <w:rFonts w:hint="default" w:ascii="Times New Roman" w:hAnsi="Times New Roman" w:eastAsia="宋体" w:cs="Times New Roman"/>
                <w:bCs/>
                <w:snapToGrid w:val="0"/>
                <w:color w:val="auto"/>
                <w:spacing w:val="0"/>
                <w:w w:val="100"/>
                <w:kern w:val="0"/>
                <w:position w:val="0"/>
                <w:sz w:val="24"/>
                <w:szCs w:val="24"/>
                <w:highlight w:val="none"/>
                <w:lang w:val="en-US" w:eastAsia="zh-CN" w:bidi="ar-SA"/>
              </w:rPr>
            </w:pPr>
            <w:r>
              <w:rPr>
                <w:rFonts w:hint="default" w:ascii="Times New Roman" w:hAnsi="Times New Roman" w:cs="Times New Roman"/>
                <w:bCs/>
                <w:snapToGrid w:val="0"/>
                <w:color w:val="auto"/>
                <w:spacing w:val="0"/>
                <w:w w:val="100"/>
                <w:kern w:val="0"/>
                <w:position w:val="0"/>
                <w:sz w:val="24"/>
                <w:szCs w:val="24"/>
                <w:highlight w:val="none"/>
                <w:lang w:val="en-US" w:eastAsia="zh-CN" w:bidi="ar-SA"/>
              </w:rPr>
              <w:t>4</w:t>
            </w:r>
            <w:r>
              <w:rPr>
                <w:rFonts w:hint="default" w:ascii="Times New Roman" w:hAnsi="Times New Roman" w:eastAsia="宋体" w:cs="Times New Roman"/>
                <w:bCs/>
                <w:snapToGrid w:val="0"/>
                <w:color w:val="auto"/>
                <w:spacing w:val="0"/>
                <w:w w:val="100"/>
                <w:kern w:val="0"/>
                <w:position w:val="0"/>
                <w:sz w:val="24"/>
                <w:szCs w:val="24"/>
                <w:highlight w:val="none"/>
                <w:lang w:val="en-US" w:eastAsia="zh-CN" w:bidi="ar-SA"/>
              </w:rPr>
              <w:t>、依托桦川县污水处理厂的可行性分析</w:t>
            </w:r>
          </w:p>
          <w:p w14:paraId="56D236EC">
            <w:pPr>
              <w:keepNext w:val="0"/>
              <w:keepLines w:val="0"/>
              <w:pageBreakBefore w:val="0"/>
              <w:widowControl w:val="0"/>
              <w:kinsoku/>
              <w:wordWrap/>
              <w:overflowPunct w:val="0"/>
              <w:topLinePunct w:val="0"/>
              <w:autoSpaceDE/>
              <w:autoSpaceDN/>
              <w:bidi w:val="0"/>
              <w:adjustRightInd w:val="0"/>
              <w:snapToGrid w:val="0"/>
              <w:spacing w:line="520" w:lineRule="exact"/>
              <w:ind w:left="0" w:leftChars="0" w:right="0" w:firstLine="480" w:firstLineChars="200"/>
              <w:textAlignment w:val="auto"/>
              <w:outlineLvl w:val="9"/>
              <w:rPr>
                <w:rFonts w:hint="default" w:ascii="Times New Roman" w:hAnsi="Times New Roman" w:eastAsia="宋体" w:cs="Times New Roman"/>
                <w:bCs/>
                <w:snapToGrid w:val="0"/>
                <w:color w:val="auto"/>
                <w:spacing w:val="0"/>
                <w:w w:val="100"/>
                <w:kern w:val="0"/>
                <w:position w:val="0"/>
                <w:sz w:val="24"/>
                <w:szCs w:val="24"/>
                <w:highlight w:val="none"/>
                <w:lang w:val="en-US" w:eastAsia="zh-CN" w:bidi="ar-SA"/>
              </w:rPr>
            </w:pPr>
            <w:r>
              <w:rPr>
                <w:rFonts w:hint="default" w:ascii="Times New Roman" w:hAnsi="Times New Roman" w:eastAsia="宋体" w:cs="Times New Roman"/>
                <w:bCs/>
                <w:snapToGrid w:val="0"/>
                <w:color w:val="auto"/>
                <w:spacing w:val="0"/>
                <w:w w:val="100"/>
                <w:kern w:val="0"/>
                <w:position w:val="0"/>
                <w:sz w:val="24"/>
                <w:szCs w:val="24"/>
                <w:highlight w:val="none"/>
                <w:lang w:val="en-US" w:eastAsia="zh-CN" w:bidi="ar-SA"/>
              </w:rPr>
              <w:t>本项目浸出废水、精炼废水经厂区内污水处理站处理</w:t>
            </w:r>
            <w:r>
              <w:rPr>
                <w:rFonts w:hint="default" w:ascii="Times New Roman" w:hAnsi="Times New Roman" w:cs="Times New Roman"/>
                <w:bCs/>
                <w:snapToGrid w:val="0"/>
                <w:color w:val="auto"/>
                <w:spacing w:val="0"/>
                <w:w w:val="100"/>
                <w:kern w:val="0"/>
                <w:position w:val="0"/>
                <w:sz w:val="24"/>
                <w:szCs w:val="24"/>
                <w:highlight w:val="none"/>
                <w:lang w:val="en-US" w:eastAsia="zh-CN" w:bidi="ar-SA"/>
              </w:rPr>
              <w:t>后</w:t>
            </w:r>
            <w:r>
              <w:rPr>
                <w:rFonts w:hint="default" w:ascii="Times New Roman" w:hAnsi="Times New Roman" w:eastAsia="宋体" w:cs="Times New Roman"/>
                <w:bCs/>
                <w:snapToGrid w:val="0"/>
                <w:color w:val="auto"/>
                <w:spacing w:val="0"/>
                <w:w w:val="100"/>
                <w:kern w:val="0"/>
                <w:position w:val="0"/>
                <w:sz w:val="24"/>
                <w:szCs w:val="24"/>
                <w:highlight w:val="none"/>
                <w:lang w:val="en-US" w:eastAsia="zh-CN" w:bidi="ar-SA"/>
              </w:rPr>
              <w:t>，</w:t>
            </w:r>
            <w:r>
              <w:rPr>
                <w:rFonts w:hint="default" w:ascii="Times New Roman" w:hAnsi="Times New Roman" w:cs="Times New Roman"/>
                <w:bCs/>
                <w:snapToGrid w:val="0"/>
                <w:color w:val="auto"/>
                <w:spacing w:val="0"/>
                <w:w w:val="100"/>
                <w:kern w:val="0"/>
                <w:position w:val="0"/>
                <w:sz w:val="24"/>
                <w:szCs w:val="24"/>
                <w:highlight w:val="none"/>
                <w:lang w:val="en-US" w:eastAsia="zh-CN" w:bidi="ar-SA"/>
              </w:rPr>
              <w:t>废水排放浓度</w:t>
            </w:r>
            <w:r>
              <w:rPr>
                <w:rFonts w:hint="default" w:ascii="Times New Roman" w:hAnsi="Times New Roman" w:eastAsia="宋体" w:cs="Times New Roman"/>
                <w:bCs/>
                <w:snapToGrid w:val="0"/>
                <w:color w:val="auto"/>
                <w:spacing w:val="0"/>
                <w:w w:val="100"/>
                <w:kern w:val="0"/>
                <w:position w:val="0"/>
                <w:sz w:val="24"/>
                <w:szCs w:val="24"/>
                <w:highlight w:val="none"/>
                <w:lang w:val="en-US" w:eastAsia="zh-CN" w:bidi="ar-SA"/>
              </w:rPr>
              <w:t>达到《食品加工制造业水污染物排放标准》（GB 46817-2025）表1中间接排放标准要求</w:t>
            </w:r>
            <w:r>
              <w:rPr>
                <w:rFonts w:hint="default" w:ascii="Times New Roman" w:hAnsi="Times New Roman" w:cs="Times New Roman"/>
                <w:bCs/>
                <w:snapToGrid w:val="0"/>
                <w:color w:val="auto"/>
                <w:spacing w:val="0"/>
                <w:w w:val="100"/>
                <w:kern w:val="0"/>
                <w:position w:val="0"/>
                <w:sz w:val="24"/>
                <w:szCs w:val="24"/>
                <w:highlight w:val="none"/>
                <w:lang w:val="en-US" w:eastAsia="zh-CN" w:bidi="ar-SA"/>
              </w:rPr>
              <w:t>及桦川县污水处理厂</w:t>
            </w:r>
            <w:r>
              <w:rPr>
                <w:rFonts w:hint="default" w:ascii="Times New Roman" w:hAnsi="Times New Roman" w:eastAsia="宋体" w:cs="Times New Roman"/>
                <w:bCs/>
                <w:snapToGrid w:val="0"/>
                <w:color w:val="auto"/>
                <w:spacing w:val="0"/>
                <w:w w:val="100"/>
                <w:kern w:val="0"/>
                <w:position w:val="0"/>
                <w:sz w:val="24"/>
                <w:szCs w:val="24"/>
                <w:highlight w:val="none"/>
                <w:lang w:val="en-US" w:eastAsia="zh-CN" w:bidi="ar-SA"/>
              </w:rPr>
              <w:t>进水指标</w:t>
            </w:r>
            <w:r>
              <w:rPr>
                <w:rFonts w:hint="default" w:ascii="Times New Roman" w:hAnsi="Times New Roman" w:cs="Times New Roman"/>
                <w:bCs/>
                <w:snapToGrid w:val="0"/>
                <w:color w:val="auto"/>
                <w:spacing w:val="0"/>
                <w:w w:val="100"/>
                <w:kern w:val="0"/>
                <w:position w:val="0"/>
                <w:sz w:val="24"/>
                <w:szCs w:val="24"/>
                <w:highlight w:val="none"/>
                <w:lang w:val="en-US" w:eastAsia="zh-CN" w:bidi="ar-SA"/>
              </w:rPr>
              <w:t>（处理厂进水水质要求为：COD≤300mg/L，BOD</w:t>
            </w:r>
            <w:r>
              <w:rPr>
                <w:rFonts w:hint="default" w:ascii="Times New Roman" w:hAnsi="Times New Roman" w:cs="Times New Roman"/>
                <w:bCs/>
                <w:snapToGrid w:val="0"/>
                <w:color w:val="auto"/>
                <w:spacing w:val="0"/>
                <w:w w:val="100"/>
                <w:kern w:val="0"/>
                <w:position w:val="0"/>
                <w:sz w:val="24"/>
                <w:szCs w:val="24"/>
                <w:highlight w:val="none"/>
                <w:vertAlign w:val="subscript"/>
                <w:lang w:val="en-US" w:eastAsia="zh-CN" w:bidi="ar-SA"/>
              </w:rPr>
              <w:t>5</w:t>
            </w:r>
            <w:r>
              <w:rPr>
                <w:rFonts w:hint="default" w:ascii="Times New Roman" w:hAnsi="Times New Roman" w:cs="Times New Roman"/>
                <w:bCs/>
                <w:snapToGrid w:val="0"/>
                <w:color w:val="auto"/>
                <w:spacing w:val="0"/>
                <w:w w:val="100"/>
                <w:kern w:val="0"/>
                <w:position w:val="0"/>
                <w:sz w:val="24"/>
                <w:szCs w:val="24"/>
                <w:highlight w:val="none"/>
                <w:lang w:val="en-US" w:eastAsia="zh-CN" w:bidi="ar-SA"/>
              </w:rPr>
              <w:t>≤170mg/L，SS≤250mg/L，NH</w:t>
            </w:r>
            <w:r>
              <w:rPr>
                <w:rFonts w:hint="default" w:ascii="Times New Roman" w:hAnsi="Times New Roman" w:cs="Times New Roman"/>
                <w:bCs/>
                <w:snapToGrid w:val="0"/>
                <w:color w:val="auto"/>
                <w:spacing w:val="0"/>
                <w:w w:val="100"/>
                <w:kern w:val="0"/>
                <w:position w:val="0"/>
                <w:sz w:val="24"/>
                <w:szCs w:val="24"/>
                <w:highlight w:val="none"/>
                <w:vertAlign w:val="subscript"/>
                <w:lang w:val="en-US" w:eastAsia="zh-CN" w:bidi="ar-SA"/>
              </w:rPr>
              <w:t>3</w:t>
            </w:r>
            <w:r>
              <w:rPr>
                <w:rFonts w:hint="default" w:ascii="Times New Roman" w:hAnsi="Times New Roman" w:cs="Times New Roman"/>
                <w:bCs/>
                <w:snapToGrid w:val="0"/>
                <w:color w:val="auto"/>
                <w:spacing w:val="0"/>
                <w:w w:val="100"/>
                <w:kern w:val="0"/>
                <w:position w:val="0"/>
                <w:sz w:val="24"/>
                <w:szCs w:val="24"/>
                <w:highlight w:val="none"/>
                <w:lang w:val="en-US" w:eastAsia="zh-CN" w:bidi="ar-SA"/>
              </w:rPr>
              <w:t>-N≤40mg/L，TP≤3.8mg/L，pH 6-9（无量纲））</w:t>
            </w:r>
            <w:r>
              <w:rPr>
                <w:rFonts w:hint="default" w:ascii="Times New Roman" w:hAnsi="Times New Roman" w:eastAsia="宋体" w:cs="Times New Roman"/>
                <w:bCs/>
                <w:snapToGrid w:val="0"/>
                <w:color w:val="auto"/>
                <w:spacing w:val="0"/>
                <w:w w:val="100"/>
                <w:kern w:val="0"/>
                <w:position w:val="0"/>
                <w:sz w:val="24"/>
                <w:szCs w:val="24"/>
                <w:highlight w:val="none"/>
                <w:lang w:val="en-US" w:eastAsia="zh-CN" w:bidi="ar-SA"/>
              </w:rPr>
              <w:t>后，经市政管网排入</w:t>
            </w:r>
            <w:r>
              <w:rPr>
                <w:rFonts w:hint="default" w:ascii="Times New Roman" w:hAnsi="Times New Roman" w:cs="Times New Roman"/>
                <w:bCs/>
                <w:snapToGrid w:val="0"/>
                <w:color w:val="auto"/>
                <w:spacing w:val="0"/>
                <w:w w:val="100"/>
                <w:kern w:val="0"/>
                <w:position w:val="0"/>
                <w:sz w:val="24"/>
                <w:szCs w:val="24"/>
                <w:highlight w:val="none"/>
                <w:lang w:val="en-US" w:eastAsia="zh-CN" w:bidi="ar-SA"/>
              </w:rPr>
              <w:t>桦川县污水处理厂</w:t>
            </w:r>
            <w:r>
              <w:rPr>
                <w:rFonts w:hint="default" w:ascii="Times New Roman" w:hAnsi="Times New Roman" w:eastAsia="宋体" w:cs="Times New Roman"/>
                <w:bCs/>
                <w:snapToGrid w:val="0"/>
                <w:color w:val="auto"/>
                <w:spacing w:val="0"/>
                <w:w w:val="100"/>
                <w:kern w:val="0"/>
                <w:position w:val="0"/>
                <w:sz w:val="24"/>
                <w:szCs w:val="24"/>
                <w:highlight w:val="none"/>
                <w:lang w:val="en-US" w:eastAsia="zh-CN" w:bidi="ar-SA"/>
              </w:rPr>
              <w:t>处理，经处理后的污水达到《城镇污水处理厂污染物排放标准》（GB18918-2002）一级A标准后</w:t>
            </w:r>
            <w:r>
              <w:rPr>
                <w:rFonts w:hint="default" w:ascii="Times New Roman" w:hAnsi="Times New Roman" w:cs="Times New Roman"/>
                <w:bCs/>
                <w:snapToGrid w:val="0"/>
                <w:color w:val="auto"/>
                <w:spacing w:val="0"/>
                <w:w w:val="100"/>
                <w:kern w:val="0"/>
                <w:position w:val="0"/>
                <w:sz w:val="24"/>
                <w:szCs w:val="24"/>
                <w:highlight w:val="none"/>
                <w:lang w:val="en-US" w:eastAsia="zh-CN" w:bidi="ar-SA"/>
              </w:rPr>
              <w:t>排入松花江</w:t>
            </w:r>
            <w:r>
              <w:rPr>
                <w:rFonts w:hint="default" w:ascii="Times New Roman" w:hAnsi="Times New Roman" w:eastAsia="宋体" w:cs="Times New Roman"/>
                <w:bCs/>
                <w:snapToGrid w:val="0"/>
                <w:color w:val="auto"/>
                <w:spacing w:val="0"/>
                <w:w w:val="100"/>
                <w:kern w:val="0"/>
                <w:position w:val="0"/>
                <w:sz w:val="24"/>
                <w:szCs w:val="24"/>
                <w:highlight w:val="none"/>
                <w:lang w:val="en-US" w:eastAsia="zh-CN" w:bidi="ar-SA"/>
              </w:rPr>
              <w:t>。</w:t>
            </w:r>
          </w:p>
          <w:p w14:paraId="2EB7EDA2">
            <w:pPr>
              <w:keepNext w:val="0"/>
              <w:keepLines w:val="0"/>
              <w:pageBreakBefore w:val="0"/>
              <w:widowControl w:val="0"/>
              <w:kinsoku/>
              <w:wordWrap/>
              <w:overflowPunct w:val="0"/>
              <w:topLinePunct w:val="0"/>
              <w:autoSpaceDE/>
              <w:autoSpaceDN/>
              <w:bidi w:val="0"/>
              <w:adjustRightInd w:val="0"/>
              <w:snapToGrid w:val="0"/>
              <w:spacing w:line="520" w:lineRule="exact"/>
              <w:ind w:left="0" w:leftChars="0" w:right="0" w:firstLine="480" w:firstLineChars="200"/>
              <w:textAlignment w:val="auto"/>
              <w:outlineLvl w:val="9"/>
              <w:rPr>
                <w:rFonts w:hint="default" w:ascii="Times New Roman" w:hAnsi="Times New Roman" w:cs="Times New Roman"/>
                <w:bCs/>
                <w:snapToGrid w:val="0"/>
                <w:color w:val="auto"/>
                <w:spacing w:val="0"/>
                <w:w w:val="100"/>
                <w:kern w:val="0"/>
                <w:position w:val="0"/>
                <w:sz w:val="24"/>
                <w:szCs w:val="24"/>
                <w:highlight w:val="none"/>
                <w:lang w:val="en-US" w:eastAsia="zh-CN" w:bidi="ar-SA"/>
              </w:rPr>
            </w:pPr>
            <w:r>
              <w:rPr>
                <w:rFonts w:hint="default" w:ascii="Times New Roman" w:hAnsi="Times New Roman" w:cs="Times New Roman"/>
                <w:bCs/>
                <w:snapToGrid w:val="0"/>
                <w:color w:val="auto"/>
                <w:spacing w:val="0"/>
                <w:w w:val="100"/>
                <w:kern w:val="0"/>
                <w:position w:val="0"/>
                <w:sz w:val="24"/>
                <w:szCs w:val="24"/>
                <w:highlight w:val="none"/>
                <w:lang w:val="en-US" w:eastAsia="zh-CN" w:bidi="ar-SA"/>
              </w:rPr>
              <w:t>本项目生活污水、锅炉排污水、软化水处理浓水、冷却水排污水均不与物料直接接触，直接通过市政管网排入桦川县污水处理厂，经上文分析，污染物排放浓度能够满足桦川县污水处理厂</w:t>
            </w:r>
            <w:r>
              <w:rPr>
                <w:rFonts w:hint="default" w:ascii="Times New Roman" w:hAnsi="Times New Roman" w:eastAsia="宋体" w:cs="Times New Roman"/>
                <w:bCs/>
                <w:snapToGrid w:val="0"/>
                <w:color w:val="auto"/>
                <w:spacing w:val="0"/>
                <w:w w:val="100"/>
                <w:kern w:val="0"/>
                <w:position w:val="0"/>
                <w:sz w:val="24"/>
                <w:szCs w:val="24"/>
                <w:highlight w:val="none"/>
                <w:lang w:val="en-US" w:eastAsia="zh-CN" w:bidi="ar-SA"/>
              </w:rPr>
              <w:t>进水指标</w:t>
            </w:r>
            <w:r>
              <w:rPr>
                <w:rFonts w:hint="default" w:ascii="Times New Roman" w:hAnsi="Times New Roman" w:cs="Times New Roman"/>
                <w:bCs/>
                <w:snapToGrid w:val="0"/>
                <w:color w:val="auto"/>
                <w:spacing w:val="0"/>
                <w:w w:val="100"/>
                <w:kern w:val="0"/>
                <w:position w:val="0"/>
                <w:sz w:val="24"/>
                <w:szCs w:val="24"/>
                <w:highlight w:val="none"/>
                <w:lang w:val="en-US" w:eastAsia="zh-CN" w:bidi="ar-SA"/>
              </w:rPr>
              <w:t>（处理厂进水水质要求为：COD≤300mg/L，BOD</w:t>
            </w:r>
            <w:r>
              <w:rPr>
                <w:rFonts w:hint="default" w:ascii="Times New Roman" w:hAnsi="Times New Roman" w:cs="Times New Roman"/>
                <w:bCs/>
                <w:snapToGrid w:val="0"/>
                <w:color w:val="auto"/>
                <w:spacing w:val="0"/>
                <w:w w:val="100"/>
                <w:kern w:val="0"/>
                <w:position w:val="0"/>
                <w:sz w:val="24"/>
                <w:szCs w:val="24"/>
                <w:highlight w:val="none"/>
                <w:vertAlign w:val="subscript"/>
                <w:lang w:val="en-US" w:eastAsia="zh-CN" w:bidi="ar-SA"/>
              </w:rPr>
              <w:t>5</w:t>
            </w:r>
            <w:r>
              <w:rPr>
                <w:rFonts w:hint="default" w:ascii="Times New Roman" w:hAnsi="Times New Roman" w:cs="Times New Roman"/>
                <w:bCs/>
                <w:snapToGrid w:val="0"/>
                <w:color w:val="auto"/>
                <w:spacing w:val="0"/>
                <w:w w:val="100"/>
                <w:kern w:val="0"/>
                <w:position w:val="0"/>
                <w:sz w:val="24"/>
                <w:szCs w:val="24"/>
                <w:highlight w:val="none"/>
                <w:lang w:val="en-US" w:eastAsia="zh-CN" w:bidi="ar-SA"/>
              </w:rPr>
              <w:t>≤170mg/L，SS≤250mg/L，NH</w:t>
            </w:r>
            <w:r>
              <w:rPr>
                <w:rFonts w:hint="default" w:ascii="Times New Roman" w:hAnsi="Times New Roman" w:cs="Times New Roman"/>
                <w:bCs/>
                <w:snapToGrid w:val="0"/>
                <w:color w:val="auto"/>
                <w:spacing w:val="0"/>
                <w:w w:val="100"/>
                <w:kern w:val="0"/>
                <w:position w:val="0"/>
                <w:sz w:val="24"/>
                <w:szCs w:val="24"/>
                <w:highlight w:val="none"/>
                <w:vertAlign w:val="subscript"/>
                <w:lang w:val="en-US" w:eastAsia="zh-CN" w:bidi="ar-SA"/>
              </w:rPr>
              <w:t>3</w:t>
            </w:r>
            <w:r>
              <w:rPr>
                <w:rFonts w:hint="default" w:ascii="Times New Roman" w:hAnsi="Times New Roman" w:cs="Times New Roman"/>
                <w:bCs/>
                <w:snapToGrid w:val="0"/>
                <w:color w:val="auto"/>
                <w:spacing w:val="0"/>
                <w:w w:val="100"/>
                <w:kern w:val="0"/>
                <w:position w:val="0"/>
                <w:sz w:val="24"/>
                <w:szCs w:val="24"/>
                <w:highlight w:val="none"/>
                <w:lang w:val="en-US" w:eastAsia="zh-CN" w:bidi="ar-SA"/>
              </w:rPr>
              <w:t>-N≤40mg/L，TP≤3.8mg/L，pH 6-9（无量纲））要求。因此，生活污水、锅炉排污水、软化水处理浓水、冷却水排污水与经污水处理站处理后的</w:t>
            </w:r>
            <w:r>
              <w:rPr>
                <w:rFonts w:hint="default" w:ascii="Times New Roman" w:hAnsi="Times New Roman" w:eastAsia="宋体" w:cs="Times New Roman"/>
                <w:bCs/>
                <w:snapToGrid w:val="0"/>
                <w:color w:val="auto"/>
                <w:spacing w:val="0"/>
                <w:w w:val="100"/>
                <w:kern w:val="0"/>
                <w:position w:val="0"/>
                <w:sz w:val="24"/>
                <w:szCs w:val="24"/>
                <w:highlight w:val="none"/>
                <w:lang w:val="en-US" w:eastAsia="zh-CN" w:bidi="ar-SA"/>
              </w:rPr>
              <w:t>浸出废水、精炼废水经市政管网排入</w:t>
            </w:r>
            <w:r>
              <w:rPr>
                <w:rFonts w:hint="default" w:ascii="Times New Roman" w:hAnsi="Times New Roman" w:cs="Times New Roman"/>
                <w:bCs/>
                <w:snapToGrid w:val="0"/>
                <w:color w:val="auto"/>
                <w:spacing w:val="0"/>
                <w:w w:val="100"/>
                <w:kern w:val="0"/>
                <w:position w:val="0"/>
                <w:sz w:val="24"/>
                <w:szCs w:val="24"/>
                <w:highlight w:val="none"/>
                <w:lang w:val="en-US" w:eastAsia="zh-CN" w:bidi="ar-SA"/>
              </w:rPr>
              <w:t>桦川县污水处理厂</w:t>
            </w:r>
            <w:r>
              <w:rPr>
                <w:rFonts w:hint="default" w:ascii="Times New Roman" w:hAnsi="Times New Roman" w:eastAsia="宋体" w:cs="Times New Roman"/>
                <w:bCs/>
                <w:snapToGrid w:val="0"/>
                <w:color w:val="auto"/>
                <w:spacing w:val="0"/>
                <w:w w:val="100"/>
                <w:kern w:val="0"/>
                <w:position w:val="0"/>
                <w:sz w:val="24"/>
                <w:szCs w:val="24"/>
                <w:highlight w:val="none"/>
                <w:lang w:val="en-US" w:eastAsia="zh-CN" w:bidi="ar-SA"/>
              </w:rPr>
              <w:t>处理，经处理后的污水达到《城镇污水处理厂污染物排放标准》（GB18918-2002）一级A标准后</w:t>
            </w:r>
            <w:r>
              <w:rPr>
                <w:rFonts w:hint="default" w:ascii="Times New Roman" w:hAnsi="Times New Roman" w:cs="Times New Roman"/>
                <w:bCs/>
                <w:snapToGrid w:val="0"/>
                <w:color w:val="auto"/>
                <w:spacing w:val="0"/>
                <w:w w:val="100"/>
                <w:kern w:val="0"/>
                <w:position w:val="0"/>
                <w:sz w:val="24"/>
                <w:szCs w:val="24"/>
                <w:highlight w:val="none"/>
                <w:lang w:val="en-US" w:eastAsia="zh-CN" w:bidi="ar-SA"/>
              </w:rPr>
              <w:t>排入松花江</w:t>
            </w:r>
            <w:r>
              <w:rPr>
                <w:rFonts w:hint="default" w:ascii="Times New Roman" w:hAnsi="Times New Roman" w:eastAsia="宋体" w:cs="Times New Roman"/>
                <w:bCs/>
                <w:snapToGrid w:val="0"/>
                <w:color w:val="auto"/>
                <w:spacing w:val="0"/>
                <w:w w:val="100"/>
                <w:kern w:val="0"/>
                <w:position w:val="0"/>
                <w:sz w:val="24"/>
                <w:szCs w:val="24"/>
                <w:highlight w:val="none"/>
                <w:lang w:val="en-US" w:eastAsia="zh-CN" w:bidi="ar-SA"/>
              </w:rPr>
              <w:t>。</w:t>
            </w:r>
          </w:p>
          <w:p w14:paraId="6D02CD99">
            <w:pPr>
              <w:pStyle w:val="98"/>
              <w:keepNext w:val="0"/>
              <w:keepLines w:val="0"/>
              <w:pageBreakBefore w:val="0"/>
              <w:widowControl w:val="0"/>
              <w:kinsoku/>
              <w:wordWrap/>
              <w:overflowPunct w:val="0"/>
              <w:topLinePunct w:val="0"/>
              <w:autoSpaceDE/>
              <w:autoSpaceDN/>
              <w:bidi w:val="0"/>
              <w:adjustRightInd w:val="0"/>
              <w:snapToGrid w:val="0"/>
              <w:spacing w:line="520" w:lineRule="exact"/>
              <w:textAlignment w:val="auto"/>
              <w:outlineLvl w:val="9"/>
              <w:rPr>
                <w:rFonts w:hint="default" w:ascii="Times New Roman" w:hAnsi="Times New Roman" w:cs="Times New Roman"/>
                <w:color w:val="auto"/>
                <w:spacing w:val="0"/>
                <w:position w:val="0"/>
                <w:sz w:val="24"/>
                <w:szCs w:val="32"/>
                <w:highlight w:val="none"/>
                <w:lang w:val="en-US" w:eastAsia="zh-CN"/>
              </w:rPr>
            </w:pPr>
            <w:r>
              <w:rPr>
                <w:rFonts w:hint="default" w:ascii="Times New Roman" w:hAnsi="Times New Roman" w:cs="Times New Roman"/>
                <w:color w:val="auto"/>
                <w:spacing w:val="0"/>
                <w:position w:val="0"/>
                <w:sz w:val="24"/>
                <w:szCs w:val="32"/>
                <w:highlight w:val="none"/>
                <w:lang w:val="en-US" w:eastAsia="zh-CN"/>
              </w:rPr>
              <w:t>桦川县污水处理厂采用EBIS工艺，污水经过生化池反应后进入深度处理间，进一步脱磷除氮，降解悬浮物，后经紫外线消毒后排入松花江，设计处理能力为2万t/d，达到《城镇污水处理厂污染物排放标准》一级A标准。</w:t>
            </w:r>
          </w:p>
          <w:p w14:paraId="645BF81A">
            <w:pPr>
              <w:pStyle w:val="98"/>
              <w:keepNext w:val="0"/>
              <w:keepLines w:val="0"/>
              <w:pageBreakBefore w:val="0"/>
              <w:widowControl w:val="0"/>
              <w:kinsoku/>
              <w:wordWrap/>
              <w:overflowPunct w:val="0"/>
              <w:topLinePunct w:val="0"/>
              <w:autoSpaceDE/>
              <w:autoSpaceDN/>
              <w:bidi w:val="0"/>
              <w:adjustRightInd w:val="0"/>
              <w:snapToGrid w:val="0"/>
              <w:spacing w:line="520" w:lineRule="exact"/>
              <w:textAlignment w:val="auto"/>
              <w:outlineLvl w:val="9"/>
              <w:rPr>
                <w:rFonts w:hint="default" w:ascii="Times New Roman" w:hAnsi="Times New Roman" w:cs="Times New Roman"/>
                <w:color w:val="auto"/>
                <w:spacing w:val="0"/>
                <w:position w:val="0"/>
                <w:sz w:val="24"/>
                <w:szCs w:val="32"/>
                <w:highlight w:val="none"/>
                <w:lang w:val="en-US" w:eastAsia="zh-CN"/>
              </w:rPr>
            </w:pPr>
            <w:r>
              <w:rPr>
                <w:rFonts w:hint="default" w:ascii="Times New Roman" w:hAnsi="Times New Roman" w:cs="Times New Roman"/>
                <w:color w:val="auto"/>
                <w:spacing w:val="0"/>
                <w:position w:val="0"/>
                <w:sz w:val="24"/>
                <w:szCs w:val="32"/>
                <w:highlight w:val="none"/>
                <w:lang w:val="en-US" w:eastAsia="zh-CN"/>
              </w:rPr>
              <w:t>目前桦川县污水处理厂剩余处理能力约为0.6万m</w:t>
            </w:r>
            <w:r>
              <w:rPr>
                <w:rFonts w:hint="default" w:ascii="Times New Roman" w:hAnsi="Times New Roman" w:cs="Times New Roman"/>
                <w:color w:val="auto"/>
                <w:spacing w:val="0"/>
                <w:position w:val="0"/>
                <w:sz w:val="24"/>
                <w:szCs w:val="32"/>
                <w:highlight w:val="none"/>
                <w:vertAlign w:val="superscript"/>
                <w:lang w:val="en-US" w:eastAsia="zh-CN"/>
              </w:rPr>
              <w:t>3</w:t>
            </w:r>
            <w:r>
              <w:rPr>
                <w:rFonts w:hint="default" w:ascii="Times New Roman" w:hAnsi="Times New Roman" w:cs="Times New Roman"/>
                <w:color w:val="auto"/>
                <w:spacing w:val="0"/>
                <w:position w:val="0"/>
                <w:sz w:val="24"/>
                <w:szCs w:val="32"/>
                <w:highlight w:val="none"/>
                <w:lang w:val="en-US" w:eastAsia="zh-CN"/>
              </w:rPr>
              <w:t>/d，本项目经污水处理站处理后污水排放量为36.34m</w:t>
            </w:r>
            <w:r>
              <w:rPr>
                <w:rFonts w:hint="default" w:ascii="Times New Roman" w:hAnsi="Times New Roman" w:cs="Times New Roman"/>
                <w:color w:val="auto"/>
                <w:spacing w:val="0"/>
                <w:position w:val="0"/>
                <w:sz w:val="24"/>
                <w:szCs w:val="32"/>
                <w:highlight w:val="none"/>
                <w:vertAlign w:val="superscript"/>
                <w:lang w:val="en-US" w:eastAsia="zh-CN"/>
              </w:rPr>
              <w:t>3</w:t>
            </w:r>
            <w:r>
              <w:rPr>
                <w:rFonts w:hint="default" w:ascii="Times New Roman" w:hAnsi="Times New Roman" w:cs="Times New Roman"/>
                <w:color w:val="auto"/>
                <w:spacing w:val="0"/>
                <w:position w:val="0"/>
                <w:sz w:val="24"/>
                <w:szCs w:val="32"/>
                <w:highlight w:val="none"/>
                <w:lang w:val="en-US" w:eastAsia="zh-CN"/>
              </w:rPr>
              <w:t>/d，生活污水、锅炉排污水、软化水处理废水及冷却塔排污水排放量为74m</w:t>
            </w:r>
            <w:r>
              <w:rPr>
                <w:rFonts w:hint="default" w:ascii="Times New Roman" w:hAnsi="Times New Roman" w:cs="Times New Roman"/>
                <w:color w:val="auto"/>
                <w:spacing w:val="0"/>
                <w:position w:val="0"/>
                <w:sz w:val="24"/>
                <w:szCs w:val="32"/>
                <w:highlight w:val="none"/>
                <w:vertAlign w:val="superscript"/>
                <w:lang w:val="en-US" w:eastAsia="zh-CN"/>
              </w:rPr>
              <w:t>3</w:t>
            </w:r>
            <w:r>
              <w:rPr>
                <w:rFonts w:hint="default" w:ascii="Times New Roman" w:hAnsi="Times New Roman" w:cs="Times New Roman"/>
                <w:color w:val="auto"/>
                <w:spacing w:val="0"/>
                <w:position w:val="0"/>
                <w:sz w:val="24"/>
                <w:szCs w:val="32"/>
                <w:highlight w:val="none"/>
                <w:lang w:val="en-US" w:eastAsia="zh-CN"/>
              </w:rPr>
              <w:t>/d，占污水处理厂剩余处理能力的1.84%，从水量上看，桦川县污水处理厂有能力接纳本项目产生的废水。根据上文分析，本项目废水经过厂区污水处理站处理后，可以满足桦川县污水处理厂进水标准，不会对桦川县污水处理厂造成冲击，从水质上看，桦川县污水处理厂能够接纳本项目产生的污水。</w:t>
            </w:r>
          </w:p>
          <w:p w14:paraId="521375CD">
            <w:pPr>
              <w:pStyle w:val="98"/>
              <w:keepNext w:val="0"/>
              <w:keepLines w:val="0"/>
              <w:pageBreakBefore w:val="0"/>
              <w:widowControl w:val="0"/>
              <w:kinsoku/>
              <w:wordWrap/>
              <w:overflowPunct w:val="0"/>
              <w:topLinePunct w:val="0"/>
              <w:autoSpaceDE/>
              <w:autoSpaceDN/>
              <w:bidi w:val="0"/>
              <w:adjustRightInd w:val="0"/>
              <w:snapToGrid w:val="0"/>
              <w:spacing w:line="520" w:lineRule="exact"/>
              <w:textAlignment w:val="auto"/>
              <w:outlineLvl w:val="9"/>
              <w:rPr>
                <w:rFonts w:hint="default" w:ascii="Times New Roman" w:hAnsi="Times New Roman" w:cs="Times New Roman"/>
                <w:color w:val="auto"/>
                <w:spacing w:val="0"/>
                <w:position w:val="0"/>
                <w:sz w:val="24"/>
                <w:szCs w:val="32"/>
                <w:highlight w:val="none"/>
                <w:lang w:val="en-US" w:eastAsia="zh-CN"/>
              </w:rPr>
            </w:pPr>
            <w:r>
              <w:rPr>
                <w:rFonts w:hint="default" w:ascii="Times New Roman" w:hAnsi="Times New Roman" w:cs="Times New Roman"/>
                <w:color w:val="auto"/>
                <w:spacing w:val="0"/>
                <w:position w:val="0"/>
                <w:sz w:val="24"/>
                <w:szCs w:val="32"/>
                <w:highlight w:val="none"/>
                <w:lang w:val="en-US" w:eastAsia="zh-CN"/>
              </w:rPr>
              <w:t>从水量、水质上分析，桦川县污水处理厂能够接纳本项目废水，且不会对桦川县污水处理厂造成不良影响，因此，本项目污水依托桦川县污水处理厂进一步处理是可行的。</w:t>
            </w:r>
          </w:p>
          <w:p w14:paraId="7E35E379">
            <w:pPr>
              <w:keepNext w:val="0"/>
              <w:keepLines w:val="0"/>
              <w:pageBreakBefore w:val="0"/>
              <w:widowControl w:val="0"/>
              <w:tabs>
                <w:tab w:val="left" w:pos="1291"/>
              </w:tabs>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rPr>
                <w:rFonts w:hint="default" w:ascii="Times New Roman" w:hAnsi="Times New Roman" w:cs="Times New Roman"/>
                <w:color w:val="auto"/>
                <w:spacing w:val="0"/>
                <w:position w:val="0"/>
                <w:sz w:val="24"/>
                <w:szCs w:val="32"/>
                <w:highlight w:val="none"/>
                <w:lang w:val="en-US" w:eastAsia="zh-CN"/>
              </w:rPr>
            </w:pPr>
            <w:r>
              <w:rPr>
                <w:rFonts w:hint="default" w:ascii="Times New Roman" w:hAnsi="Times New Roman" w:cs="Times New Roman"/>
                <w:color w:val="auto"/>
                <w:spacing w:val="0"/>
                <w:position w:val="0"/>
                <w:sz w:val="24"/>
                <w:szCs w:val="32"/>
                <w:highlight w:val="none"/>
                <w:lang w:val="en-US" w:eastAsia="zh-CN"/>
              </w:rPr>
              <w:t>综上所述，本项目运营对周围水环境影响较小，可以被环境接受。</w:t>
            </w:r>
          </w:p>
          <w:p w14:paraId="64E03EB1">
            <w:pPr>
              <w:keepNext w:val="0"/>
              <w:keepLines w:val="0"/>
              <w:pageBreakBefore w:val="0"/>
              <w:widowControl w:val="0"/>
              <w:kinsoku/>
              <w:wordWrap/>
              <w:overflowPunct w:val="0"/>
              <w:topLinePunct w:val="0"/>
              <w:autoSpaceDE/>
              <w:autoSpaceDN/>
              <w:bidi w:val="0"/>
              <w:adjustRightInd w:val="0"/>
              <w:snapToGrid w:val="0"/>
              <w:spacing w:line="520" w:lineRule="exact"/>
              <w:ind w:right="0" w:firstLine="480" w:firstLineChars="200"/>
              <w:textAlignment w:val="auto"/>
              <w:outlineLvl w:val="9"/>
              <w:rPr>
                <w:rFonts w:hint="default" w:ascii="Times New Roman" w:hAnsi="Times New Roman" w:eastAsia="宋体" w:cs="Times New Roman"/>
                <w:bCs/>
                <w:snapToGrid w:val="0"/>
                <w:color w:val="auto"/>
                <w:spacing w:val="0"/>
                <w:w w:val="100"/>
                <w:kern w:val="0"/>
                <w:position w:val="0"/>
                <w:sz w:val="24"/>
                <w:szCs w:val="24"/>
                <w:highlight w:val="none"/>
                <w:lang w:val="en-US" w:eastAsia="zh-CN" w:bidi="ar-SA"/>
              </w:rPr>
            </w:pPr>
            <w:r>
              <w:rPr>
                <w:rFonts w:hint="default" w:ascii="Times New Roman" w:hAnsi="Times New Roman" w:cs="Times New Roman"/>
                <w:bCs/>
                <w:snapToGrid w:val="0"/>
                <w:color w:val="auto"/>
                <w:spacing w:val="0"/>
                <w:w w:val="100"/>
                <w:kern w:val="0"/>
                <w:position w:val="0"/>
                <w:sz w:val="24"/>
                <w:szCs w:val="24"/>
                <w:highlight w:val="none"/>
                <w:lang w:val="en-US" w:eastAsia="zh-CN" w:bidi="ar-SA"/>
              </w:rPr>
              <w:t>5</w:t>
            </w:r>
            <w:r>
              <w:rPr>
                <w:rFonts w:hint="default" w:ascii="Times New Roman" w:hAnsi="Times New Roman" w:eastAsia="宋体" w:cs="Times New Roman"/>
                <w:bCs/>
                <w:snapToGrid w:val="0"/>
                <w:color w:val="auto"/>
                <w:spacing w:val="0"/>
                <w:w w:val="100"/>
                <w:kern w:val="0"/>
                <w:position w:val="0"/>
                <w:sz w:val="24"/>
                <w:szCs w:val="24"/>
                <w:highlight w:val="none"/>
                <w:lang w:val="en-US" w:eastAsia="zh-CN" w:bidi="ar-SA"/>
              </w:rPr>
              <w:t>、监测</w:t>
            </w:r>
            <w:r>
              <w:rPr>
                <w:rFonts w:hint="default" w:ascii="Times New Roman" w:hAnsi="Times New Roman" w:cs="Times New Roman"/>
                <w:bCs/>
                <w:snapToGrid w:val="0"/>
                <w:color w:val="auto"/>
                <w:spacing w:val="0"/>
                <w:w w:val="100"/>
                <w:kern w:val="0"/>
                <w:position w:val="0"/>
                <w:sz w:val="24"/>
                <w:szCs w:val="24"/>
                <w:highlight w:val="none"/>
                <w:lang w:val="en-US" w:eastAsia="zh-CN" w:bidi="ar-SA"/>
              </w:rPr>
              <w:t>要求</w:t>
            </w:r>
          </w:p>
          <w:p w14:paraId="3AF740D5">
            <w:pPr>
              <w:keepNext w:val="0"/>
              <w:keepLines w:val="0"/>
              <w:pageBreakBefore w:val="0"/>
              <w:widowControl w:val="0"/>
              <w:kinsoku/>
              <w:wordWrap/>
              <w:overflowPunct w:val="0"/>
              <w:topLinePunct w:val="0"/>
              <w:autoSpaceDE/>
              <w:autoSpaceDN/>
              <w:bidi w:val="0"/>
              <w:adjustRightInd w:val="0"/>
              <w:snapToGrid w:val="0"/>
              <w:spacing w:line="520" w:lineRule="exact"/>
              <w:ind w:left="0" w:leftChars="0" w:right="0" w:firstLine="480" w:firstLineChars="200"/>
              <w:textAlignment w:val="auto"/>
              <w:outlineLvl w:val="9"/>
              <w:rPr>
                <w:rFonts w:hint="default" w:ascii="Times New Roman" w:hAnsi="Times New Roman" w:eastAsia="宋体" w:cs="Times New Roman"/>
                <w:bCs/>
                <w:snapToGrid w:val="0"/>
                <w:color w:val="auto"/>
                <w:spacing w:val="0"/>
                <w:w w:val="100"/>
                <w:kern w:val="0"/>
                <w:position w:val="0"/>
                <w:sz w:val="24"/>
                <w:szCs w:val="24"/>
                <w:highlight w:val="none"/>
                <w:lang w:val="en-US" w:eastAsia="zh-CN" w:bidi="ar-SA"/>
              </w:rPr>
            </w:pPr>
            <w:r>
              <w:rPr>
                <w:rFonts w:hint="default" w:ascii="Times New Roman" w:hAnsi="Times New Roman" w:eastAsia="宋体" w:cs="Times New Roman"/>
                <w:bCs/>
                <w:snapToGrid w:val="0"/>
                <w:color w:val="auto"/>
                <w:spacing w:val="0"/>
                <w:w w:val="100"/>
                <w:kern w:val="0"/>
                <w:position w:val="0"/>
                <w:sz w:val="24"/>
                <w:szCs w:val="24"/>
                <w:highlight w:val="none"/>
                <w:lang w:val="en-US" w:eastAsia="zh-CN" w:bidi="ar-SA"/>
              </w:rPr>
              <w:t>根据《排污许可证申请与核发技术规范 农副食品加工工业-饲料加工、植物油加工工业》（HJ 1110-2020）、《排污单位自行监测技术指南 总则》（HJ 819-2017）及项目排污特点制定，针对本项目排放的废水污染物，企业需定期委托有资质的单位进行监测，确保达标排放，减轻对周围环境的污染。具体监测计划见下表。</w:t>
            </w:r>
          </w:p>
          <w:p w14:paraId="685D3526">
            <w:pPr>
              <w:keepNext/>
              <w:keepLines w:val="0"/>
              <w:pageBreakBefore w:val="0"/>
              <w:widowControl w:val="0"/>
              <w:kinsoku/>
              <w:wordWrap/>
              <w:overflowPunct w:val="0"/>
              <w:topLinePunct w:val="0"/>
              <w:autoSpaceDE/>
              <w:autoSpaceDN/>
              <w:bidi w:val="0"/>
              <w:adjustRightInd w:val="0"/>
              <w:snapToGrid/>
              <w:spacing w:line="240" w:lineRule="auto"/>
              <w:jc w:val="center"/>
              <w:textAlignment w:val="auto"/>
              <w:rPr>
                <w:rFonts w:hint="default" w:ascii="Times New Roman" w:hAnsi="Times New Roman" w:cs="Times New Roman"/>
                <w:b/>
                <w:bCs/>
                <w:color w:val="auto"/>
                <w:spacing w:val="0"/>
                <w:position w:val="0"/>
                <w:sz w:val="24"/>
                <w:szCs w:val="24"/>
                <w:highlight w:val="none"/>
              </w:rPr>
            </w:pPr>
            <w:r>
              <w:rPr>
                <w:rFonts w:hint="default" w:ascii="Times New Roman" w:hAnsi="Times New Roman" w:cs="Times New Roman"/>
                <w:b/>
                <w:bCs/>
                <w:color w:val="auto"/>
                <w:spacing w:val="0"/>
                <w:position w:val="0"/>
                <w:sz w:val="24"/>
                <w:szCs w:val="24"/>
                <w:highlight w:val="none"/>
              </w:rPr>
              <w:t>表4-</w:t>
            </w:r>
            <w:r>
              <w:rPr>
                <w:rFonts w:hint="default" w:ascii="Times New Roman" w:hAnsi="Times New Roman" w:cs="Times New Roman"/>
                <w:b/>
                <w:bCs/>
                <w:color w:val="auto"/>
                <w:spacing w:val="0"/>
                <w:position w:val="0"/>
                <w:sz w:val="24"/>
                <w:szCs w:val="24"/>
                <w:highlight w:val="none"/>
                <w:lang w:val="en-US" w:eastAsia="zh-CN"/>
              </w:rPr>
              <w:t>11</w:t>
            </w:r>
            <w:r>
              <w:rPr>
                <w:rFonts w:hint="default" w:ascii="Times New Roman" w:hAnsi="Times New Roman" w:cs="Times New Roman"/>
                <w:b/>
                <w:bCs/>
                <w:color w:val="auto"/>
                <w:spacing w:val="0"/>
                <w:position w:val="0"/>
                <w:sz w:val="24"/>
                <w:szCs w:val="24"/>
                <w:highlight w:val="none"/>
              </w:rPr>
              <w:t xml:space="preserve"> 废水监测要求一览表</w:t>
            </w:r>
          </w:p>
          <w:tbl>
            <w:tblPr>
              <w:tblStyle w:val="29"/>
              <w:tblW w:w="499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75"/>
              <w:gridCol w:w="4471"/>
              <w:gridCol w:w="1784"/>
            </w:tblGrid>
            <w:tr w14:paraId="2BB34C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5" w:type="pct"/>
                  <w:noWrap w:val="0"/>
                  <w:vAlign w:val="center"/>
                </w:tcPr>
                <w:p w14:paraId="182EE9DA">
                  <w:pPr>
                    <w:keepLines w:val="0"/>
                    <w:pageBreakBefore w:val="0"/>
                    <w:widowControl w:val="0"/>
                    <w:kinsoku/>
                    <w:wordWrap/>
                    <w:overflowPunct w:val="0"/>
                    <w:topLinePunct w:val="0"/>
                    <w:autoSpaceDE/>
                    <w:autoSpaceDN/>
                    <w:bidi w:val="0"/>
                    <w:adjustRightInd w:val="0"/>
                    <w:snapToGrid/>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监测点位</w:t>
                  </w:r>
                </w:p>
              </w:tc>
              <w:tc>
                <w:tcPr>
                  <w:tcW w:w="2683" w:type="pct"/>
                  <w:noWrap w:val="0"/>
                  <w:vAlign w:val="center"/>
                </w:tcPr>
                <w:p w14:paraId="0BB60CD8">
                  <w:pPr>
                    <w:keepLines w:val="0"/>
                    <w:pageBreakBefore w:val="0"/>
                    <w:widowControl w:val="0"/>
                    <w:kinsoku/>
                    <w:wordWrap/>
                    <w:overflowPunct w:val="0"/>
                    <w:topLinePunct w:val="0"/>
                    <w:autoSpaceDE/>
                    <w:autoSpaceDN/>
                    <w:bidi w:val="0"/>
                    <w:adjustRightInd w:val="0"/>
                    <w:snapToGrid/>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监测因子</w:t>
                  </w:r>
                </w:p>
              </w:tc>
              <w:tc>
                <w:tcPr>
                  <w:tcW w:w="1071" w:type="pct"/>
                  <w:noWrap w:val="0"/>
                  <w:vAlign w:val="center"/>
                </w:tcPr>
                <w:p w14:paraId="6765B5E1">
                  <w:pPr>
                    <w:keepLines w:val="0"/>
                    <w:pageBreakBefore w:val="0"/>
                    <w:widowControl w:val="0"/>
                    <w:kinsoku/>
                    <w:wordWrap/>
                    <w:overflowPunct w:val="0"/>
                    <w:topLinePunct w:val="0"/>
                    <w:autoSpaceDE/>
                    <w:autoSpaceDN/>
                    <w:bidi w:val="0"/>
                    <w:adjustRightInd w:val="0"/>
                    <w:snapToGrid/>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监测频次</w:t>
                  </w:r>
                </w:p>
              </w:tc>
            </w:tr>
            <w:tr w14:paraId="7610AF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45" w:type="pct"/>
                  <w:noWrap w:val="0"/>
                  <w:vAlign w:val="center"/>
                </w:tcPr>
                <w:p w14:paraId="0A5636DE">
                  <w:pPr>
                    <w:keepLines w:val="0"/>
                    <w:pageBreakBefore w:val="0"/>
                    <w:widowControl w:val="0"/>
                    <w:kinsoku/>
                    <w:wordWrap/>
                    <w:overflowPunct w:val="0"/>
                    <w:topLinePunct w:val="0"/>
                    <w:autoSpaceDE/>
                    <w:autoSpaceDN/>
                    <w:bidi w:val="0"/>
                    <w:adjustRightInd w:val="0"/>
                    <w:snapToGrid/>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废水总排口</w:t>
                  </w:r>
                </w:p>
              </w:tc>
              <w:tc>
                <w:tcPr>
                  <w:tcW w:w="2683" w:type="pct"/>
                  <w:noWrap w:val="0"/>
                  <w:vAlign w:val="center"/>
                </w:tcPr>
                <w:p w14:paraId="499EE598">
                  <w:pPr>
                    <w:keepLines w:val="0"/>
                    <w:pageBreakBefore w:val="0"/>
                    <w:widowControl w:val="0"/>
                    <w:kinsoku/>
                    <w:wordWrap/>
                    <w:overflowPunct w:val="0"/>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rPr>
                    <w:t>流量、pH值、化学需氧量、氨氮、总氮、总磷、五日生化需氧量、悬浮物、</w:t>
                  </w:r>
                  <w:r>
                    <w:rPr>
                      <w:rFonts w:hint="default" w:ascii="Times New Roman" w:hAnsi="Times New Roman" w:cs="Times New Roman"/>
                      <w:color w:val="auto"/>
                      <w:spacing w:val="0"/>
                      <w:position w:val="0"/>
                      <w:sz w:val="21"/>
                      <w:szCs w:val="21"/>
                      <w:highlight w:val="none"/>
                      <w:lang w:val="en-US" w:eastAsia="zh-CN"/>
                    </w:rPr>
                    <w:t>动植物油</w:t>
                  </w:r>
                  <w:r>
                    <w:rPr>
                      <w:rFonts w:hint="default" w:ascii="Times New Roman" w:hAnsi="Times New Roman" w:cs="Times New Roman"/>
                      <w:color w:val="auto"/>
                      <w:spacing w:val="0"/>
                      <w:position w:val="0"/>
                      <w:sz w:val="21"/>
                      <w:szCs w:val="21"/>
                      <w:highlight w:val="none"/>
                      <w:lang w:eastAsia="zh-CN"/>
                    </w:rPr>
                    <w:t>、</w:t>
                  </w:r>
                  <w:r>
                    <w:rPr>
                      <w:rFonts w:hint="default" w:ascii="Times New Roman" w:hAnsi="Times New Roman" w:cs="Times New Roman"/>
                      <w:color w:val="auto"/>
                      <w:spacing w:val="0"/>
                      <w:position w:val="0"/>
                      <w:sz w:val="21"/>
                      <w:szCs w:val="21"/>
                      <w:highlight w:val="none"/>
                    </w:rPr>
                    <w:t>色度</w:t>
                  </w:r>
                  <w:r>
                    <w:rPr>
                      <w:rFonts w:hint="default" w:ascii="Times New Roman" w:hAnsi="Times New Roman" w:cs="Times New Roman"/>
                      <w:color w:val="auto"/>
                      <w:spacing w:val="0"/>
                      <w:position w:val="0"/>
                      <w:sz w:val="21"/>
                      <w:szCs w:val="21"/>
                      <w:highlight w:val="none"/>
                      <w:lang w:eastAsia="zh-CN"/>
                    </w:rPr>
                    <w:t>、</w:t>
                  </w:r>
                  <w:r>
                    <w:rPr>
                      <w:rFonts w:hint="default" w:ascii="Times New Roman" w:hAnsi="Times New Roman" w:cs="Times New Roman"/>
                      <w:color w:val="auto"/>
                      <w:spacing w:val="0"/>
                      <w:position w:val="0"/>
                      <w:sz w:val="21"/>
                      <w:szCs w:val="21"/>
                      <w:highlight w:val="none"/>
                      <w:lang w:val="en-US" w:eastAsia="zh-CN"/>
                    </w:rPr>
                    <w:t>全盐量</w:t>
                  </w:r>
                </w:p>
              </w:tc>
              <w:tc>
                <w:tcPr>
                  <w:tcW w:w="1071" w:type="pct"/>
                  <w:noWrap w:val="0"/>
                  <w:vAlign w:val="center"/>
                </w:tcPr>
                <w:p w14:paraId="146C6D66">
                  <w:pPr>
                    <w:keepLines w:val="0"/>
                    <w:pageBreakBefore w:val="0"/>
                    <w:widowControl w:val="0"/>
                    <w:kinsoku/>
                    <w:wordWrap/>
                    <w:overflowPunct w:val="0"/>
                    <w:topLinePunct w:val="0"/>
                    <w:autoSpaceDE/>
                    <w:autoSpaceDN/>
                    <w:bidi w:val="0"/>
                    <w:adjustRightInd w:val="0"/>
                    <w:snapToGrid/>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每半年一次</w:t>
                  </w:r>
                </w:p>
              </w:tc>
            </w:tr>
          </w:tbl>
          <w:p w14:paraId="21D54070">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（三）</w:t>
            </w:r>
            <w:r>
              <w:rPr>
                <w:rFonts w:hint="default" w:ascii="Times New Roman" w:hAnsi="Times New Roman" w:eastAsia="宋体" w:cs="Times New Roman"/>
                <w:color w:val="auto"/>
                <w:spacing w:val="0"/>
                <w:position w:val="0"/>
                <w:sz w:val="24"/>
                <w:szCs w:val="24"/>
                <w:highlight w:val="none"/>
                <w:lang w:val="en-US" w:eastAsia="zh-CN"/>
              </w:rPr>
              <w:t>噪声</w:t>
            </w:r>
            <w:r>
              <w:rPr>
                <w:rFonts w:hint="default" w:ascii="Times New Roman" w:hAnsi="Times New Roman" w:eastAsia="宋体" w:cs="Times New Roman"/>
                <w:color w:val="auto"/>
                <w:spacing w:val="0"/>
                <w:position w:val="0"/>
                <w:sz w:val="24"/>
                <w:szCs w:val="24"/>
                <w:highlight w:val="none"/>
              </w:rPr>
              <w:t>环境影响和保护措施分析</w:t>
            </w:r>
          </w:p>
          <w:p w14:paraId="4937E5BD">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1、噪声污染源</w:t>
            </w:r>
          </w:p>
          <w:p w14:paraId="6668386C">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设备噪声源强参考《噪声控制工程》（武汉理工大学出版社，2003，高红武）表1.1常见工业设备噪声范围中的数据。本项目对设备的基础加装减振基座的方法减少噪声强度，本噪声污染源主要为膨化机、刮板机等工艺设备以及各类泵机、风机等设备运行噪声，各类设备正常运行时噪声源强约为75~85dB</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A</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w:t>
            </w:r>
          </w:p>
          <w:p w14:paraId="71689DB1">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噪声源强及治理措施见表4-1</w:t>
            </w:r>
            <w:r>
              <w:rPr>
                <w:rFonts w:hint="default" w:ascii="Times New Roman" w:hAnsi="Times New Roman" w:cs="Times New Roman"/>
                <w:color w:val="auto"/>
                <w:spacing w:val="0"/>
                <w:position w:val="0"/>
                <w:sz w:val="24"/>
                <w:szCs w:val="24"/>
                <w:highlight w:val="none"/>
                <w:lang w:val="en-US" w:eastAsia="zh-CN"/>
              </w:rPr>
              <w:t>2</w:t>
            </w:r>
            <w:r>
              <w:rPr>
                <w:rFonts w:hint="default" w:ascii="Times New Roman" w:hAnsi="Times New Roman" w:eastAsia="宋体" w:cs="Times New Roman"/>
                <w:color w:val="auto"/>
                <w:spacing w:val="0"/>
                <w:position w:val="0"/>
                <w:sz w:val="24"/>
                <w:szCs w:val="24"/>
                <w:highlight w:val="none"/>
              </w:rPr>
              <w:t>。</w:t>
            </w:r>
          </w:p>
          <w:p w14:paraId="1620C6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spacing w:val="0"/>
                <w:position w:val="0"/>
                <w:sz w:val="24"/>
                <w:szCs w:val="24"/>
                <w:highlight w:val="none"/>
              </w:rPr>
            </w:pPr>
            <w:r>
              <w:rPr>
                <w:rFonts w:hint="default" w:ascii="Times New Roman" w:hAnsi="Times New Roman" w:cs="Times New Roman"/>
                <w:b/>
                <w:bCs/>
                <w:color w:val="auto"/>
                <w:spacing w:val="0"/>
                <w:position w:val="0"/>
                <w:sz w:val="24"/>
                <w:szCs w:val="24"/>
                <w:highlight w:val="none"/>
              </w:rPr>
              <w:t>表4-1</w:t>
            </w:r>
            <w:r>
              <w:rPr>
                <w:rFonts w:hint="default" w:ascii="Times New Roman" w:hAnsi="Times New Roman" w:cs="Times New Roman"/>
                <w:b/>
                <w:bCs/>
                <w:color w:val="auto"/>
                <w:spacing w:val="0"/>
                <w:position w:val="0"/>
                <w:sz w:val="24"/>
                <w:szCs w:val="24"/>
                <w:highlight w:val="none"/>
                <w:lang w:val="en-US" w:eastAsia="zh-CN"/>
              </w:rPr>
              <w:t>2</w:t>
            </w:r>
            <w:r>
              <w:rPr>
                <w:rFonts w:hint="default" w:ascii="Times New Roman" w:hAnsi="Times New Roman" w:cs="Times New Roman"/>
                <w:b/>
                <w:bCs/>
                <w:color w:val="auto"/>
                <w:spacing w:val="0"/>
                <w:position w:val="0"/>
                <w:sz w:val="24"/>
                <w:szCs w:val="24"/>
                <w:highlight w:val="none"/>
              </w:rPr>
              <w:t xml:space="preserve"> 工业企业噪声源强调查清单（室内声源）</w:t>
            </w:r>
          </w:p>
          <w:tbl>
            <w:tblPr>
              <w:tblStyle w:val="29"/>
              <w:tblW w:w="502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5"/>
              <w:gridCol w:w="976"/>
              <w:gridCol w:w="372"/>
              <w:gridCol w:w="580"/>
              <w:gridCol w:w="539"/>
              <w:gridCol w:w="552"/>
              <w:gridCol w:w="653"/>
              <w:gridCol w:w="504"/>
              <w:gridCol w:w="562"/>
              <w:gridCol w:w="521"/>
              <w:gridCol w:w="653"/>
              <w:gridCol w:w="637"/>
              <w:gridCol w:w="832"/>
              <w:gridCol w:w="459"/>
            </w:tblGrid>
            <w:tr w14:paraId="194DB0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330" w:type="pct"/>
                  <w:vMerge w:val="restart"/>
                  <w:noWrap w:val="0"/>
                  <w:vAlign w:val="center"/>
                </w:tcPr>
                <w:p w14:paraId="0477456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建筑物名称</w:t>
                  </w:r>
                </w:p>
              </w:tc>
              <w:tc>
                <w:tcPr>
                  <w:tcW w:w="581" w:type="pct"/>
                  <w:vMerge w:val="restart"/>
                  <w:noWrap w:val="0"/>
                  <w:vAlign w:val="center"/>
                </w:tcPr>
                <w:p w14:paraId="55CD31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声源名称</w:t>
                  </w:r>
                </w:p>
              </w:tc>
              <w:tc>
                <w:tcPr>
                  <w:tcW w:w="221" w:type="pct"/>
                  <w:vMerge w:val="restart"/>
                  <w:noWrap w:val="0"/>
                  <w:vAlign w:val="center"/>
                </w:tcPr>
                <w:p w14:paraId="65D57FF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型号</w:t>
                  </w:r>
                </w:p>
              </w:tc>
              <w:tc>
                <w:tcPr>
                  <w:tcW w:w="345" w:type="pct"/>
                  <w:vMerge w:val="restart"/>
                  <w:noWrap w:val="0"/>
                  <w:vAlign w:val="center"/>
                </w:tcPr>
                <w:p w14:paraId="4C19EA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声功率级</w:t>
                  </w:r>
                </w:p>
                <w:p w14:paraId="110B12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dB</w:t>
                  </w:r>
                </w:p>
                <w:p w14:paraId="39283A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(A)</w:t>
                  </w:r>
                </w:p>
              </w:tc>
              <w:tc>
                <w:tcPr>
                  <w:tcW w:w="321" w:type="pct"/>
                  <w:vMerge w:val="restart"/>
                  <w:noWrap w:val="0"/>
                  <w:vAlign w:val="center"/>
                </w:tcPr>
                <w:p w14:paraId="7FBC62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声控制措施</w:t>
                  </w:r>
                </w:p>
              </w:tc>
              <w:tc>
                <w:tcPr>
                  <w:tcW w:w="1017" w:type="pct"/>
                  <w:gridSpan w:val="3"/>
                  <w:noWrap w:val="0"/>
                  <w:vAlign w:val="center"/>
                </w:tcPr>
                <w:p w14:paraId="485317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空间相对位置</w:t>
                  </w:r>
                </w:p>
              </w:tc>
              <w:tc>
                <w:tcPr>
                  <w:tcW w:w="334" w:type="pct"/>
                  <w:vMerge w:val="restart"/>
                  <w:noWrap w:val="0"/>
                  <w:vAlign w:val="center"/>
                </w:tcPr>
                <w:p w14:paraId="0E8A988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距室内边界距离m</w:t>
                  </w:r>
                </w:p>
              </w:tc>
              <w:tc>
                <w:tcPr>
                  <w:tcW w:w="310" w:type="pct"/>
                  <w:vMerge w:val="restart"/>
                  <w:noWrap w:val="0"/>
                  <w:vAlign w:val="center"/>
                </w:tcPr>
                <w:p w14:paraId="3EE41D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室内边界声级dB</w:t>
                  </w:r>
                </w:p>
                <w:p w14:paraId="7BCCCDF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(A)</w:t>
                  </w:r>
                </w:p>
              </w:tc>
              <w:tc>
                <w:tcPr>
                  <w:tcW w:w="388" w:type="pct"/>
                  <w:vMerge w:val="restart"/>
                  <w:noWrap w:val="0"/>
                  <w:vAlign w:val="center"/>
                </w:tcPr>
                <w:p w14:paraId="07E5817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运行时段</w:t>
                  </w:r>
                </w:p>
              </w:tc>
              <w:tc>
                <w:tcPr>
                  <w:tcW w:w="379" w:type="pct"/>
                  <w:vMerge w:val="restart"/>
                  <w:noWrap w:val="0"/>
                  <w:vAlign w:val="center"/>
                </w:tcPr>
                <w:p w14:paraId="7C43CE3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建筑物插入损失dB</w:t>
                  </w:r>
                </w:p>
                <w:p w14:paraId="09436B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(A)</w:t>
                  </w:r>
                </w:p>
              </w:tc>
              <w:tc>
                <w:tcPr>
                  <w:tcW w:w="768" w:type="pct"/>
                  <w:gridSpan w:val="2"/>
                  <w:noWrap w:val="0"/>
                  <w:vAlign w:val="center"/>
                </w:tcPr>
                <w:p w14:paraId="346E2A7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建筑物外噪声</w:t>
                  </w:r>
                </w:p>
              </w:tc>
            </w:tr>
            <w:tr w14:paraId="4C7F13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87" w:hRule="atLeast"/>
                <w:jc w:val="center"/>
              </w:trPr>
              <w:tc>
                <w:tcPr>
                  <w:tcW w:w="330" w:type="pct"/>
                  <w:vMerge w:val="continue"/>
                  <w:noWrap w:val="0"/>
                  <w:vAlign w:val="center"/>
                </w:tcPr>
                <w:p w14:paraId="3AB024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581" w:type="pct"/>
                  <w:vMerge w:val="continue"/>
                  <w:noWrap w:val="0"/>
                  <w:vAlign w:val="center"/>
                </w:tcPr>
                <w:p w14:paraId="48EA5B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221" w:type="pct"/>
                  <w:vMerge w:val="continue"/>
                  <w:noWrap w:val="0"/>
                  <w:vAlign w:val="center"/>
                </w:tcPr>
                <w:p w14:paraId="2844D3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45" w:type="pct"/>
                  <w:vMerge w:val="continue"/>
                  <w:noWrap w:val="0"/>
                  <w:vAlign w:val="center"/>
                </w:tcPr>
                <w:p w14:paraId="0E66AAC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1" w:type="pct"/>
                  <w:vMerge w:val="continue"/>
                  <w:noWrap w:val="0"/>
                  <w:vAlign w:val="center"/>
                </w:tcPr>
                <w:p w14:paraId="4C7295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8" w:type="pct"/>
                  <w:noWrap w:val="0"/>
                  <w:vAlign w:val="center"/>
                </w:tcPr>
                <w:p w14:paraId="310A904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X</w:t>
                  </w:r>
                </w:p>
              </w:tc>
              <w:tc>
                <w:tcPr>
                  <w:tcW w:w="388" w:type="pct"/>
                  <w:noWrap w:val="0"/>
                  <w:vAlign w:val="center"/>
                </w:tcPr>
                <w:p w14:paraId="0E89058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Y</w:t>
                  </w:r>
                </w:p>
              </w:tc>
              <w:tc>
                <w:tcPr>
                  <w:tcW w:w="300" w:type="pct"/>
                  <w:noWrap w:val="0"/>
                  <w:vAlign w:val="center"/>
                </w:tcPr>
                <w:p w14:paraId="7FD825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Z</w:t>
                  </w:r>
                </w:p>
              </w:tc>
              <w:tc>
                <w:tcPr>
                  <w:tcW w:w="334" w:type="pct"/>
                  <w:vMerge w:val="continue"/>
                  <w:noWrap w:val="0"/>
                  <w:vAlign w:val="center"/>
                </w:tcPr>
                <w:p w14:paraId="7E347B0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10" w:type="pct"/>
                  <w:vMerge w:val="continue"/>
                  <w:noWrap w:val="0"/>
                  <w:vAlign w:val="center"/>
                </w:tcPr>
                <w:p w14:paraId="63C1D2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88" w:type="pct"/>
                  <w:vMerge w:val="continue"/>
                  <w:noWrap w:val="0"/>
                  <w:vAlign w:val="center"/>
                </w:tcPr>
                <w:p w14:paraId="3606D26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79" w:type="pct"/>
                  <w:vMerge w:val="continue"/>
                  <w:noWrap w:val="0"/>
                  <w:vAlign w:val="center"/>
                </w:tcPr>
                <w:p w14:paraId="3155C5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495" w:type="pct"/>
                  <w:noWrap w:val="0"/>
                  <w:vAlign w:val="center"/>
                </w:tcPr>
                <w:p w14:paraId="0EE6DA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声压级</w:t>
                  </w:r>
                </w:p>
                <w:p w14:paraId="5C3330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dB(A)</w:t>
                  </w:r>
                </w:p>
              </w:tc>
              <w:tc>
                <w:tcPr>
                  <w:tcW w:w="273" w:type="pct"/>
                  <w:noWrap w:val="0"/>
                  <w:vAlign w:val="center"/>
                </w:tcPr>
                <w:p w14:paraId="3777F1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建筑物外距离</w:t>
                  </w:r>
                </w:p>
              </w:tc>
            </w:tr>
            <w:tr w14:paraId="16EF45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30" w:type="pct"/>
                  <w:vMerge w:val="restart"/>
                  <w:noWrap w:val="0"/>
                  <w:vAlign w:val="center"/>
                </w:tcPr>
                <w:p w14:paraId="76FA59B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预处理车间</w:t>
                  </w:r>
                </w:p>
              </w:tc>
              <w:tc>
                <w:tcPr>
                  <w:tcW w:w="581" w:type="pct"/>
                  <w:noWrap w:val="0"/>
                  <w:vAlign w:val="center"/>
                </w:tcPr>
                <w:p w14:paraId="38CCA62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0"/>
                      <w:position w:val="0"/>
                      <w:sz w:val="21"/>
                      <w:szCs w:val="21"/>
                      <w:highlight w:val="none"/>
                      <w:lang w:val="en-US" w:eastAsia="zh-CN" w:bidi="ar"/>
                    </w:rPr>
                  </w:pPr>
                  <w:r>
                    <w:rPr>
                      <w:rFonts w:hint="default" w:ascii="Times New Roman" w:hAnsi="Times New Roman" w:cs="Times New Roman"/>
                      <w:color w:val="auto"/>
                      <w:spacing w:val="0"/>
                      <w:kern w:val="0"/>
                      <w:position w:val="0"/>
                      <w:sz w:val="21"/>
                      <w:szCs w:val="21"/>
                      <w:highlight w:val="none"/>
                      <w:lang w:val="en-US" w:eastAsia="zh-CN" w:bidi="ar"/>
                    </w:rPr>
                    <w:t>提升机</w:t>
                  </w:r>
                </w:p>
              </w:tc>
              <w:tc>
                <w:tcPr>
                  <w:tcW w:w="221" w:type="pct"/>
                  <w:noWrap w:val="0"/>
                  <w:vAlign w:val="center"/>
                </w:tcPr>
                <w:p w14:paraId="05B414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w:t>
                  </w:r>
                </w:p>
              </w:tc>
              <w:tc>
                <w:tcPr>
                  <w:tcW w:w="345" w:type="pct"/>
                  <w:shd w:val="clear" w:color="auto" w:fill="auto"/>
                  <w:noWrap w:val="0"/>
                  <w:vAlign w:val="center"/>
                </w:tcPr>
                <w:p w14:paraId="06149CA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rPr>
                    <w:t>75</w:t>
                  </w:r>
                </w:p>
              </w:tc>
              <w:tc>
                <w:tcPr>
                  <w:tcW w:w="321" w:type="pct"/>
                  <w:vMerge w:val="restart"/>
                  <w:noWrap w:val="0"/>
                  <w:vAlign w:val="center"/>
                </w:tcPr>
                <w:p w14:paraId="68E749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基础减振，厂房隔声</w:t>
                  </w:r>
                </w:p>
              </w:tc>
              <w:tc>
                <w:tcPr>
                  <w:tcW w:w="328" w:type="pct"/>
                  <w:noWrap w:val="0"/>
                  <w:vAlign w:val="center"/>
                </w:tcPr>
                <w:p w14:paraId="2607A3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67</w:t>
                  </w:r>
                </w:p>
              </w:tc>
              <w:tc>
                <w:tcPr>
                  <w:tcW w:w="388" w:type="pct"/>
                  <w:noWrap w:val="0"/>
                  <w:vAlign w:val="center"/>
                </w:tcPr>
                <w:p w14:paraId="35B7875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133</w:t>
                  </w:r>
                </w:p>
              </w:tc>
              <w:tc>
                <w:tcPr>
                  <w:tcW w:w="300" w:type="pct"/>
                  <w:noWrap w:val="0"/>
                  <w:vAlign w:val="center"/>
                </w:tcPr>
                <w:p w14:paraId="464C34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c>
                <w:tcPr>
                  <w:tcW w:w="334" w:type="pct"/>
                  <w:noWrap w:val="0"/>
                  <w:vAlign w:val="center"/>
                </w:tcPr>
                <w:p w14:paraId="2EA6F66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4</w:t>
                  </w:r>
                </w:p>
              </w:tc>
              <w:tc>
                <w:tcPr>
                  <w:tcW w:w="310" w:type="pct"/>
                  <w:noWrap w:val="0"/>
                  <w:vAlign w:val="center"/>
                </w:tcPr>
                <w:p w14:paraId="5E0B845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70</w:t>
                  </w:r>
                </w:p>
              </w:tc>
              <w:tc>
                <w:tcPr>
                  <w:tcW w:w="388" w:type="pct"/>
                  <w:vMerge w:val="restart"/>
                  <w:noWrap w:val="0"/>
                  <w:vAlign w:val="center"/>
                </w:tcPr>
                <w:p w14:paraId="1F2F8B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lang w:val="en-US" w:eastAsia="zh-CN"/>
                    </w:rPr>
                    <w:t>84</w:t>
                  </w:r>
                  <w:r>
                    <w:rPr>
                      <w:rFonts w:hint="default" w:ascii="Times New Roman" w:hAnsi="Times New Roman" w:cs="Times New Roman"/>
                      <w:color w:val="auto"/>
                      <w:spacing w:val="0"/>
                      <w:position w:val="0"/>
                      <w:sz w:val="21"/>
                      <w:szCs w:val="21"/>
                      <w:highlight w:val="none"/>
                    </w:rPr>
                    <w:t>00h</w:t>
                  </w:r>
                </w:p>
              </w:tc>
              <w:tc>
                <w:tcPr>
                  <w:tcW w:w="379" w:type="pct"/>
                  <w:noWrap w:val="0"/>
                  <w:vAlign w:val="center"/>
                </w:tcPr>
                <w:p w14:paraId="1F0A68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c>
                <w:tcPr>
                  <w:tcW w:w="495" w:type="pct"/>
                  <w:shd w:val="clear" w:color="auto" w:fill="auto"/>
                  <w:noWrap w:val="0"/>
                  <w:vAlign w:val="center"/>
                </w:tcPr>
                <w:p w14:paraId="6CDCF3F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rPr>
                    <w:t>50</w:t>
                  </w:r>
                </w:p>
              </w:tc>
              <w:tc>
                <w:tcPr>
                  <w:tcW w:w="273" w:type="pct"/>
                  <w:noWrap w:val="0"/>
                  <w:vAlign w:val="center"/>
                </w:tcPr>
                <w:p w14:paraId="44F6C7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r>
            <w:tr w14:paraId="4A8D38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30" w:type="pct"/>
                  <w:vMerge w:val="continue"/>
                  <w:noWrap w:val="0"/>
                  <w:vAlign w:val="center"/>
                </w:tcPr>
                <w:p w14:paraId="2F612D6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581" w:type="pct"/>
                  <w:shd w:val="clear" w:color="auto" w:fill="auto"/>
                  <w:noWrap w:val="0"/>
                  <w:vAlign w:val="center"/>
                </w:tcPr>
                <w:p w14:paraId="7C61899A">
                  <w:pPr>
                    <w:pStyle w:val="105"/>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w w:val="100"/>
                      <w:kern w:val="21"/>
                      <w:position w:val="0"/>
                      <w:sz w:val="21"/>
                      <w:szCs w:val="21"/>
                      <w:highlight w:val="none"/>
                      <w:lang w:val="en-US" w:eastAsia="zh-CN"/>
                    </w:rPr>
                    <w:t>分选筛</w:t>
                  </w:r>
                </w:p>
              </w:tc>
              <w:tc>
                <w:tcPr>
                  <w:tcW w:w="221" w:type="pct"/>
                  <w:noWrap w:val="0"/>
                  <w:vAlign w:val="center"/>
                </w:tcPr>
                <w:p w14:paraId="46BB421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w:t>
                  </w:r>
                </w:p>
              </w:tc>
              <w:tc>
                <w:tcPr>
                  <w:tcW w:w="345" w:type="pct"/>
                  <w:shd w:val="clear" w:color="auto" w:fill="auto"/>
                  <w:noWrap w:val="0"/>
                  <w:vAlign w:val="center"/>
                </w:tcPr>
                <w:p w14:paraId="219B9A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rPr>
                    <w:t>75</w:t>
                  </w:r>
                </w:p>
              </w:tc>
              <w:tc>
                <w:tcPr>
                  <w:tcW w:w="321" w:type="pct"/>
                  <w:vMerge w:val="continue"/>
                  <w:noWrap w:val="0"/>
                  <w:vAlign w:val="center"/>
                </w:tcPr>
                <w:p w14:paraId="26A27FE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8" w:type="pct"/>
                  <w:noWrap w:val="0"/>
                  <w:vAlign w:val="center"/>
                </w:tcPr>
                <w:p w14:paraId="04B84AD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69</w:t>
                  </w:r>
                </w:p>
              </w:tc>
              <w:tc>
                <w:tcPr>
                  <w:tcW w:w="388" w:type="pct"/>
                  <w:noWrap w:val="0"/>
                  <w:vAlign w:val="center"/>
                </w:tcPr>
                <w:p w14:paraId="06BDC01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128</w:t>
                  </w:r>
                </w:p>
              </w:tc>
              <w:tc>
                <w:tcPr>
                  <w:tcW w:w="300" w:type="pct"/>
                  <w:noWrap w:val="0"/>
                  <w:vAlign w:val="center"/>
                </w:tcPr>
                <w:p w14:paraId="56EB97E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c>
                <w:tcPr>
                  <w:tcW w:w="334" w:type="pct"/>
                  <w:noWrap w:val="0"/>
                  <w:vAlign w:val="center"/>
                </w:tcPr>
                <w:p w14:paraId="4B2CA50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4</w:t>
                  </w:r>
                </w:p>
              </w:tc>
              <w:tc>
                <w:tcPr>
                  <w:tcW w:w="310" w:type="pct"/>
                  <w:noWrap w:val="0"/>
                  <w:vAlign w:val="center"/>
                </w:tcPr>
                <w:p w14:paraId="3FAC08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70</w:t>
                  </w:r>
                </w:p>
              </w:tc>
              <w:tc>
                <w:tcPr>
                  <w:tcW w:w="388" w:type="pct"/>
                  <w:vMerge w:val="continue"/>
                  <w:noWrap w:val="0"/>
                  <w:vAlign w:val="center"/>
                </w:tcPr>
                <w:p w14:paraId="69BD4FF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79" w:type="pct"/>
                  <w:noWrap w:val="0"/>
                  <w:vAlign w:val="center"/>
                </w:tcPr>
                <w:p w14:paraId="6F4EA27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c>
                <w:tcPr>
                  <w:tcW w:w="495" w:type="pct"/>
                  <w:shd w:val="clear" w:color="auto" w:fill="auto"/>
                  <w:noWrap w:val="0"/>
                  <w:vAlign w:val="center"/>
                </w:tcPr>
                <w:p w14:paraId="0656FE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rPr>
                    <w:t>50</w:t>
                  </w:r>
                </w:p>
              </w:tc>
              <w:tc>
                <w:tcPr>
                  <w:tcW w:w="273" w:type="pct"/>
                  <w:noWrap w:val="0"/>
                  <w:vAlign w:val="center"/>
                </w:tcPr>
                <w:p w14:paraId="259FA5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r>
            <w:tr w14:paraId="0A3B79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30" w:type="pct"/>
                  <w:vMerge w:val="continue"/>
                  <w:noWrap w:val="0"/>
                  <w:vAlign w:val="center"/>
                </w:tcPr>
                <w:p w14:paraId="2863B6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581" w:type="pct"/>
                  <w:shd w:val="clear" w:color="auto" w:fill="auto"/>
                  <w:noWrap w:val="0"/>
                  <w:vAlign w:val="center"/>
                </w:tcPr>
                <w:p w14:paraId="75C40ED1">
                  <w:pPr>
                    <w:pStyle w:val="105"/>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w w:val="100"/>
                      <w:kern w:val="21"/>
                      <w:position w:val="0"/>
                      <w:sz w:val="21"/>
                      <w:szCs w:val="21"/>
                      <w:highlight w:val="none"/>
                      <w:lang w:val="en-US" w:eastAsia="zh-CN"/>
                    </w:rPr>
                    <w:t>膨化机</w:t>
                  </w:r>
                </w:p>
              </w:tc>
              <w:tc>
                <w:tcPr>
                  <w:tcW w:w="221" w:type="pct"/>
                  <w:noWrap w:val="0"/>
                  <w:vAlign w:val="center"/>
                </w:tcPr>
                <w:p w14:paraId="5AC6704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w:t>
                  </w:r>
                </w:p>
              </w:tc>
              <w:tc>
                <w:tcPr>
                  <w:tcW w:w="345" w:type="pct"/>
                  <w:shd w:val="clear" w:color="auto" w:fill="auto"/>
                  <w:noWrap w:val="0"/>
                  <w:vAlign w:val="center"/>
                </w:tcPr>
                <w:p w14:paraId="0BB430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rPr>
                    <w:t>75</w:t>
                  </w:r>
                </w:p>
              </w:tc>
              <w:tc>
                <w:tcPr>
                  <w:tcW w:w="321" w:type="pct"/>
                  <w:vMerge w:val="continue"/>
                  <w:noWrap w:val="0"/>
                  <w:vAlign w:val="center"/>
                </w:tcPr>
                <w:p w14:paraId="08DF26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8" w:type="pct"/>
                  <w:noWrap w:val="0"/>
                  <w:vAlign w:val="center"/>
                </w:tcPr>
                <w:p w14:paraId="0F5674E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72</w:t>
                  </w:r>
                </w:p>
              </w:tc>
              <w:tc>
                <w:tcPr>
                  <w:tcW w:w="388" w:type="pct"/>
                  <w:noWrap w:val="0"/>
                  <w:vAlign w:val="center"/>
                </w:tcPr>
                <w:p w14:paraId="1B030B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122</w:t>
                  </w:r>
                </w:p>
              </w:tc>
              <w:tc>
                <w:tcPr>
                  <w:tcW w:w="300" w:type="pct"/>
                  <w:noWrap w:val="0"/>
                  <w:vAlign w:val="center"/>
                </w:tcPr>
                <w:p w14:paraId="7A9E7A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c>
                <w:tcPr>
                  <w:tcW w:w="334" w:type="pct"/>
                  <w:noWrap w:val="0"/>
                  <w:vAlign w:val="center"/>
                </w:tcPr>
                <w:p w14:paraId="7B6553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3</w:t>
                  </w:r>
                </w:p>
              </w:tc>
              <w:tc>
                <w:tcPr>
                  <w:tcW w:w="310" w:type="pct"/>
                  <w:noWrap w:val="0"/>
                  <w:vAlign w:val="center"/>
                </w:tcPr>
                <w:p w14:paraId="67B23AD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70</w:t>
                  </w:r>
                </w:p>
              </w:tc>
              <w:tc>
                <w:tcPr>
                  <w:tcW w:w="388" w:type="pct"/>
                  <w:vMerge w:val="continue"/>
                  <w:noWrap w:val="0"/>
                  <w:vAlign w:val="center"/>
                </w:tcPr>
                <w:p w14:paraId="44ED18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79" w:type="pct"/>
                  <w:noWrap w:val="0"/>
                  <w:vAlign w:val="center"/>
                </w:tcPr>
                <w:p w14:paraId="6D7E86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c>
                <w:tcPr>
                  <w:tcW w:w="495" w:type="pct"/>
                  <w:shd w:val="clear" w:color="auto" w:fill="auto"/>
                  <w:noWrap w:val="0"/>
                  <w:vAlign w:val="center"/>
                </w:tcPr>
                <w:p w14:paraId="543A64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rPr>
                    <w:t>50</w:t>
                  </w:r>
                </w:p>
              </w:tc>
              <w:tc>
                <w:tcPr>
                  <w:tcW w:w="273" w:type="pct"/>
                  <w:noWrap w:val="0"/>
                  <w:vAlign w:val="center"/>
                </w:tcPr>
                <w:p w14:paraId="606796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r>
            <w:tr w14:paraId="786442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30" w:type="pct"/>
                  <w:vMerge w:val="continue"/>
                  <w:noWrap w:val="0"/>
                  <w:vAlign w:val="center"/>
                </w:tcPr>
                <w:p w14:paraId="14068C0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581" w:type="pct"/>
                  <w:shd w:val="clear" w:color="auto" w:fill="auto"/>
                  <w:noWrap w:val="0"/>
                  <w:vAlign w:val="center"/>
                </w:tcPr>
                <w:p w14:paraId="10B3A7E9">
                  <w:pPr>
                    <w:pStyle w:val="105"/>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w w:val="100"/>
                      <w:kern w:val="21"/>
                      <w:position w:val="0"/>
                      <w:sz w:val="21"/>
                      <w:szCs w:val="21"/>
                      <w:highlight w:val="none"/>
                      <w:lang w:eastAsia="zh-CN"/>
                    </w:rPr>
                    <w:t>气流烘干机</w:t>
                  </w:r>
                </w:p>
              </w:tc>
              <w:tc>
                <w:tcPr>
                  <w:tcW w:w="221" w:type="pct"/>
                  <w:noWrap w:val="0"/>
                  <w:vAlign w:val="center"/>
                </w:tcPr>
                <w:p w14:paraId="7B808C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w:t>
                  </w:r>
                </w:p>
              </w:tc>
              <w:tc>
                <w:tcPr>
                  <w:tcW w:w="345" w:type="pct"/>
                  <w:shd w:val="clear" w:color="auto" w:fill="auto"/>
                  <w:noWrap w:val="0"/>
                  <w:vAlign w:val="center"/>
                </w:tcPr>
                <w:p w14:paraId="1B39D6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rPr>
                    <w:t>75</w:t>
                  </w:r>
                </w:p>
              </w:tc>
              <w:tc>
                <w:tcPr>
                  <w:tcW w:w="321" w:type="pct"/>
                  <w:vMerge w:val="continue"/>
                  <w:noWrap w:val="0"/>
                  <w:vAlign w:val="center"/>
                </w:tcPr>
                <w:p w14:paraId="41C7A52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8" w:type="pct"/>
                  <w:noWrap w:val="0"/>
                  <w:vAlign w:val="center"/>
                </w:tcPr>
                <w:p w14:paraId="0F8C4D0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73</w:t>
                  </w:r>
                </w:p>
              </w:tc>
              <w:tc>
                <w:tcPr>
                  <w:tcW w:w="388" w:type="pct"/>
                  <w:noWrap w:val="0"/>
                  <w:vAlign w:val="center"/>
                </w:tcPr>
                <w:p w14:paraId="6AA2E8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119</w:t>
                  </w:r>
                </w:p>
              </w:tc>
              <w:tc>
                <w:tcPr>
                  <w:tcW w:w="300" w:type="pct"/>
                  <w:noWrap w:val="0"/>
                  <w:vAlign w:val="center"/>
                </w:tcPr>
                <w:p w14:paraId="2D1356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c>
                <w:tcPr>
                  <w:tcW w:w="334" w:type="pct"/>
                  <w:noWrap w:val="0"/>
                  <w:vAlign w:val="center"/>
                </w:tcPr>
                <w:p w14:paraId="354E2F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w:t>
                  </w:r>
                </w:p>
              </w:tc>
              <w:tc>
                <w:tcPr>
                  <w:tcW w:w="310" w:type="pct"/>
                  <w:noWrap w:val="0"/>
                  <w:vAlign w:val="center"/>
                </w:tcPr>
                <w:p w14:paraId="566154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70</w:t>
                  </w:r>
                </w:p>
              </w:tc>
              <w:tc>
                <w:tcPr>
                  <w:tcW w:w="388" w:type="pct"/>
                  <w:vMerge w:val="continue"/>
                  <w:noWrap w:val="0"/>
                  <w:vAlign w:val="center"/>
                </w:tcPr>
                <w:p w14:paraId="1EC1C5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79" w:type="pct"/>
                  <w:noWrap w:val="0"/>
                  <w:vAlign w:val="center"/>
                </w:tcPr>
                <w:p w14:paraId="07DDB9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c>
                <w:tcPr>
                  <w:tcW w:w="495" w:type="pct"/>
                  <w:shd w:val="clear" w:color="auto" w:fill="auto"/>
                  <w:noWrap w:val="0"/>
                  <w:vAlign w:val="center"/>
                </w:tcPr>
                <w:p w14:paraId="48907A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rPr>
                    <w:t>50</w:t>
                  </w:r>
                </w:p>
              </w:tc>
              <w:tc>
                <w:tcPr>
                  <w:tcW w:w="273" w:type="pct"/>
                  <w:noWrap w:val="0"/>
                  <w:vAlign w:val="center"/>
                </w:tcPr>
                <w:p w14:paraId="1DAD39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r>
            <w:tr w14:paraId="1696F5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30" w:type="pct"/>
                  <w:vMerge w:val="continue"/>
                  <w:noWrap w:val="0"/>
                  <w:vAlign w:val="center"/>
                </w:tcPr>
                <w:p w14:paraId="7DB6F8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581" w:type="pct"/>
                  <w:shd w:val="clear" w:color="auto" w:fill="auto"/>
                  <w:noWrap w:val="0"/>
                  <w:vAlign w:val="center"/>
                </w:tcPr>
                <w:p w14:paraId="6C0448E1">
                  <w:pPr>
                    <w:pStyle w:val="105"/>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w w:val="100"/>
                      <w:kern w:val="21"/>
                      <w:position w:val="0"/>
                      <w:sz w:val="21"/>
                      <w:szCs w:val="21"/>
                      <w:highlight w:val="none"/>
                      <w:lang w:eastAsia="zh-CN"/>
                    </w:rPr>
                    <w:t>炒锅</w:t>
                  </w:r>
                </w:p>
              </w:tc>
              <w:tc>
                <w:tcPr>
                  <w:tcW w:w="221" w:type="pct"/>
                  <w:noWrap w:val="0"/>
                  <w:vAlign w:val="center"/>
                </w:tcPr>
                <w:p w14:paraId="4D82C7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w:t>
                  </w:r>
                </w:p>
              </w:tc>
              <w:tc>
                <w:tcPr>
                  <w:tcW w:w="345" w:type="pct"/>
                  <w:shd w:val="clear" w:color="auto" w:fill="auto"/>
                  <w:noWrap w:val="0"/>
                  <w:vAlign w:val="center"/>
                </w:tcPr>
                <w:p w14:paraId="77C7EB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rPr>
                    <w:t>75</w:t>
                  </w:r>
                </w:p>
              </w:tc>
              <w:tc>
                <w:tcPr>
                  <w:tcW w:w="321" w:type="pct"/>
                  <w:vMerge w:val="continue"/>
                  <w:noWrap w:val="0"/>
                  <w:vAlign w:val="center"/>
                </w:tcPr>
                <w:p w14:paraId="7358B6A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8" w:type="pct"/>
                  <w:noWrap w:val="0"/>
                  <w:vAlign w:val="center"/>
                </w:tcPr>
                <w:p w14:paraId="22024F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75</w:t>
                  </w:r>
                </w:p>
              </w:tc>
              <w:tc>
                <w:tcPr>
                  <w:tcW w:w="388" w:type="pct"/>
                  <w:noWrap w:val="0"/>
                  <w:vAlign w:val="center"/>
                </w:tcPr>
                <w:p w14:paraId="0D7FEF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115</w:t>
                  </w:r>
                </w:p>
              </w:tc>
              <w:tc>
                <w:tcPr>
                  <w:tcW w:w="300" w:type="pct"/>
                  <w:noWrap w:val="0"/>
                  <w:vAlign w:val="center"/>
                </w:tcPr>
                <w:p w14:paraId="16E00C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c>
                <w:tcPr>
                  <w:tcW w:w="334" w:type="pct"/>
                  <w:noWrap w:val="0"/>
                  <w:vAlign w:val="center"/>
                </w:tcPr>
                <w:p w14:paraId="3A8012E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w:t>
                  </w:r>
                </w:p>
              </w:tc>
              <w:tc>
                <w:tcPr>
                  <w:tcW w:w="310" w:type="pct"/>
                  <w:noWrap w:val="0"/>
                  <w:vAlign w:val="center"/>
                </w:tcPr>
                <w:p w14:paraId="1A343D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70</w:t>
                  </w:r>
                </w:p>
              </w:tc>
              <w:tc>
                <w:tcPr>
                  <w:tcW w:w="388" w:type="pct"/>
                  <w:vMerge w:val="continue"/>
                  <w:noWrap w:val="0"/>
                  <w:vAlign w:val="center"/>
                </w:tcPr>
                <w:p w14:paraId="04612A3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79" w:type="pct"/>
                  <w:noWrap w:val="0"/>
                  <w:vAlign w:val="center"/>
                </w:tcPr>
                <w:p w14:paraId="3198AEA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c>
                <w:tcPr>
                  <w:tcW w:w="495" w:type="pct"/>
                  <w:shd w:val="clear" w:color="auto" w:fill="auto"/>
                  <w:noWrap w:val="0"/>
                  <w:vAlign w:val="center"/>
                </w:tcPr>
                <w:p w14:paraId="44584E9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rPr>
                    <w:t>50</w:t>
                  </w:r>
                </w:p>
              </w:tc>
              <w:tc>
                <w:tcPr>
                  <w:tcW w:w="273" w:type="pct"/>
                  <w:noWrap w:val="0"/>
                  <w:vAlign w:val="center"/>
                </w:tcPr>
                <w:p w14:paraId="4E580D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r>
            <w:tr w14:paraId="41BE82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30" w:type="pct"/>
                  <w:vMerge w:val="restart"/>
                  <w:noWrap w:val="0"/>
                  <w:vAlign w:val="center"/>
                </w:tcPr>
                <w:p w14:paraId="35FD4F3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浸出车间</w:t>
                  </w:r>
                </w:p>
              </w:tc>
              <w:tc>
                <w:tcPr>
                  <w:tcW w:w="581" w:type="pct"/>
                  <w:shd w:val="clear" w:color="auto" w:fill="auto"/>
                  <w:noWrap w:val="0"/>
                  <w:vAlign w:val="center"/>
                </w:tcPr>
                <w:p w14:paraId="40DCF156">
                  <w:pPr>
                    <w:pStyle w:val="105"/>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w w:val="100"/>
                      <w:kern w:val="21"/>
                      <w:position w:val="0"/>
                      <w:sz w:val="21"/>
                      <w:szCs w:val="21"/>
                      <w:highlight w:val="none"/>
                      <w:lang w:val="en-US" w:eastAsia="zh-CN"/>
                    </w:rPr>
                    <w:t>浸出</w:t>
                  </w:r>
                  <w:r>
                    <w:rPr>
                      <w:rFonts w:hint="default" w:ascii="Times New Roman" w:hAnsi="Times New Roman" w:eastAsia="宋体" w:cs="Times New Roman"/>
                      <w:color w:val="auto"/>
                      <w:spacing w:val="0"/>
                      <w:w w:val="100"/>
                      <w:kern w:val="21"/>
                      <w:position w:val="0"/>
                      <w:sz w:val="21"/>
                      <w:szCs w:val="21"/>
                      <w:highlight w:val="none"/>
                      <w:lang w:eastAsia="zh-CN"/>
                    </w:rPr>
                    <w:t>器</w:t>
                  </w:r>
                </w:p>
              </w:tc>
              <w:tc>
                <w:tcPr>
                  <w:tcW w:w="221" w:type="pct"/>
                  <w:noWrap w:val="0"/>
                  <w:vAlign w:val="center"/>
                </w:tcPr>
                <w:p w14:paraId="56E2FC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w:t>
                  </w:r>
                </w:p>
              </w:tc>
              <w:tc>
                <w:tcPr>
                  <w:tcW w:w="345" w:type="pct"/>
                  <w:shd w:val="clear" w:color="auto" w:fill="auto"/>
                  <w:noWrap w:val="0"/>
                  <w:vAlign w:val="center"/>
                </w:tcPr>
                <w:p w14:paraId="685C78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rPr>
                    <w:t>75</w:t>
                  </w:r>
                </w:p>
              </w:tc>
              <w:tc>
                <w:tcPr>
                  <w:tcW w:w="321" w:type="pct"/>
                  <w:vMerge w:val="continue"/>
                  <w:noWrap w:val="0"/>
                  <w:vAlign w:val="center"/>
                </w:tcPr>
                <w:p w14:paraId="2B80A0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8" w:type="pct"/>
                  <w:noWrap w:val="0"/>
                  <w:vAlign w:val="center"/>
                </w:tcPr>
                <w:p w14:paraId="3709C3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117</w:t>
                  </w:r>
                </w:p>
              </w:tc>
              <w:tc>
                <w:tcPr>
                  <w:tcW w:w="388" w:type="pct"/>
                  <w:noWrap w:val="0"/>
                  <w:vAlign w:val="center"/>
                </w:tcPr>
                <w:p w14:paraId="711D75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131</w:t>
                  </w:r>
                </w:p>
              </w:tc>
              <w:tc>
                <w:tcPr>
                  <w:tcW w:w="300" w:type="pct"/>
                  <w:noWrap w:val="0"/>
                  <w:vAlign w:val="center"/>
                </w:tcPr>
                <w:p w14:paraId="6DAD84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c>
                <w:tcPr>
                  <w:tcW w:w="334" w:type="pct"/>
                  <w:noWrap w:val="0"/>
                  <w:vAlign w:val="center"/>
                </w:tcPr>
                <w:p w14:paraId="78E6C6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4</w:t>
                  </w:r>
                </w:p>
              </w:tc>
              <w:tc>
                <w:tcPr>
                  <w:tcW w:w="310" w:type="pct"/>
                  <w:noWrap w:val="0"/>
                  <w:vAlign w:val="center"/>
                </w:tcPr>
                <w:p w14:paraId="7C1A4F3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70</w:t>
                  </w:r>
                </w:p>
              </w:tc>
              <w:tc>
                <w:tcPr>
                  <w:tcW w:w="388" w:type="pct"/>
                  <w:vMerge w:val="continue"/>
                  <w:noWrap w:val="0"/>
                  <w:vAlign w:val="center"/>
                </w:tcPr>
                <w:p w14:paraId="4F02A3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79" w:type="pct"/>
                  <w:noWrap w:val="0"/>
                  <w:vAlign w:val="center"/>
                </w:tcPr>
                <w:p w14:paraId="0BB4BB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c>
                <w:tcPr>
                  <w:tcW w:w="495" w:type="pct"/>
                  <w:shd w:val="clear" w:color="auto" w:fill="auto"/>
                  <w:noWrap w:val="0"/>
                  <w:vAlign w:val="center"/>
                </w:tcPr>
                <w:p w14:paraId="349F73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rPr>
                    <w:t>50</w:t>
                  </w:r>
                </w:p>
              </w:tc>
              <w:tc>
                <w:tcPr>
                  <w:tcW w:w="273" w:type="pct"/>
                  <w:noWrap w:val="0"/>
                  <w:vAlign w:val="center"/>
                </w:tcPr>
                <w:p w14:paraId="2EBE54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r>
            <w:tr w14:paraId="48C91C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30" w:type="pct"/>
                  <w:vMerge w:val="continue"/>
                  <w:noWrap w:val="0"/>
                  <w:vAlign w:val="center"/>
                </w:tcPr>
                <w:p w14:paraId="0F6547E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581" w:type="pct"/>
                  <w:shd w:val="clear" w:color="auto" w:fill="auto"/>
                  <w:noWrap w:val="0"/>
                  <w:vAlign w:val="center"/>
                </w:tcPr>
                <w:p w14:paraId="00021428">
                  <w:pPr>
                    <w:pStyle w:val="105"/>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w w:val="100"/>
                      <w:kern w:val="21"/>
                      <w:position w:val="0"/>
                      <w:sz w:val="21"/>
                      <w:szCs w:val="21"/>
                      <w:highlight w:val="none"/>
                      <w:lang w:eastAsia="zh-CN"/>
                    </w:rPr>
                    <w:t>蒸脱系统</w:t>
                  </w:r>
                </w:p>
              </w:tc>
              <w:tc>
                <w:tcPr>
                  <w:tcW w:w="221" w:type="pct"/>
                  <w:noWrap w:val="0"/>
                  <w:vAlign w:val="center"/>
                </w:tcPr>
                <w:p w14:paraId="17DE82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w:t>
                  </w:r>
                </w:p>
              </w:tc>
              <w:tc>
                <w:tcPr>
                  <w:tcW w:w="345" w:type="pct"/>
                  <w:shd w:val="clear" w:color="auto" w:fill="auto"/>
                  <w:noWrap w:val="0"/>
                  <w:vAlign w:val="center"/>
                </w:tcPr>
                <w:p w14:paraId="62C8F9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rPr>
                    <w:t>75</w:t>
                  </w:r>
                </w:p>
              </w:tc>
              <w:tc>
                <w:tcPr>
                  <w:tcW w:w="321" w:type="pct"/>
                  <w:vMerge w:val="continue"/>
                  <w:noWrap w:val="0"/>
                  <w:vAlign w:val="center"/>
                </w:tcPr>
                <w:p w14:paraId="6DD7315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8" w:type="pct"/>
                  <w:noWrap w:val="0"/>
                  <w:vAlign w:val="center"/>
                </w:tcPr>
                <w:p w14:paraId="6948A5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116</w:t>
                  </w:r>
                </w:p>
              </w:tc>
              <w:tc>
                <w:tcPr>
                  <w:tcW w:w="388" w:type="pct"/>
                  <w:noWrap w:val="0"/>
                  <w:vAlign w:val="center"/>
                </w:tcPr>
                <w:p w14:paraId="2B378B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125</w:t>
                  </w:r>
                </w:p>
              </w:tc>
              <w:tc>
                <w:tcPr>
                  <w:tcW w:w="300" w:type="pct"/>
                  <w:noWrap w:val="0"/>
                  <w:vAlign w:val="center"/>
                </w:tcPr>
                <w:p w14:paraId="31F15EF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c>
                <w:tcPr>
                  <w:tcW w:w="334" w:type="pct"/>
                  <w:noWrap w:val="0"/>
                  <w:vAlign w:val="center"/>
                </w:tcPr>
                <w:p w14:paraId="75B178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3</w:t>
                  </w:r>
                </w:p>
              </w:tc>
              <w:tc>
                <w:tcPr>
                  <w:tcW w:w="310" w:type="pct"/>
                  <w:noWrap w:val="0"/>
                  <w:vAlign w:val="center"/>
                </w:tcPr>
                <w:p w14:paraId="3D1B0BE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70</w:t>
                  </w:r>
                </w:p>
              </w:tc>
              <w:tc>
                <w:tcPr>
                  <w:tcW w:w="388" w:type="pct"/>
                  <w:vMerge w:val="continue"/>
                  <w:noWrap w:val="0"/>
                  <w:vAlign w:val="center"/>
                </w:tcPr>
                <w:p w14:paraId="282EDF5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79" w:type="pct"/>
                  <w:noWrap w:val="0"/>
                  <w:vAlign w:val="center"/>
                </w:tcPr>
                <w:p w14:paraId="3E60B3D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c>
                <w:tcPr>
                  <w:tcW w:w="495" w:type="pct"/>
                  <w:shd w:val="clear" w:color="auto" w:fill="auto"/>
                  <w:noWrap w:val="0"/>
                  <w:vAlign w:val="center"/>
                </w:tcPr>
                <w:p w14:paraId="3DD59A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rPr>
                    <w:t>50</w:t>
                  </w:r>
                </w:p>
              </w:tc>
              <w:tc>
                <w:tcPr>
                  <w:tcW w:w="273" w:type="pct"/>
                  <w:noWrap w:val="0"/>
                  <w:vAlign w:val="center"/>
                </w:tcPr>
                <w:p w14:paraId="1953AC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r>
            <w:tr w14:paraId="7A50B5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30" w:type="pct"/>
                  <w:vMerge w:val="continue"/>
                  <w:noWrap w:val="0"/>
                  <w:vAlign w:val="center"/>
                </w:tcPr>
                <w:p w14:paraId="468A868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581" w:type="pct"/>
                  <w:shd w:val="clear" w:color="auto" w:fill="auto"/>
                  <w:noWrap w:val="0"/>
                  <w:vAlign w:val="center"/>
                </w:tcPr>
                <w:p w14:paraId="632C396B">
                  <w:pPr>
                    <w:pStyle w:val="105"/>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w w:val="100"/>
                      <w:kern w:val="21"/>
                      <w:position w:val="0"/>
                      <w:sz w:val="21"/>
                      <w:szCs w:val="21"/>
                      <w:highlight w:val="none"/>
                      <w:lang w:eastAsia="zh-CN"/>
                    </w:rPr>
                    <w:t>蒸发系统</w:t>
                  </w:r>
                </w:p>
              </w:tc>
              <w:tc>
                <w:tcPr>
                  <w:tcW w:w="221" w:type="pct"/>
                  <w:noWrap w:val="0"/>
                  <w:vAlign w:val="center"/>
                </w:tcPr>
                <w:p w14:paraId="79B623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w:t>
                  </w:r>
                </w:p>
              </w:tc>
              <w:tc>
                <w:tcPr>
                  <w:tcW w:w="345" w:type="pct"/>
                  <w:shd w:val="clear" w:color="auto" w:fill="auto"/>
                  <w:noWrap w:val="0"/>
                  <w:vAlign w:val="center"/>
                </w:tcPr>
                <w:p w14:paraId="0AD335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rPr>
                    <w:t>75</w:t>
                  </w:r>
                </w:p>
              </w:tc>
              <w:tc>
                <w:tcPr>
                  <w:tcW w:w="321" w:type="pct"/>
                  <w:vMerge w:val="continue"/>
                  <w:noWrap w:val="0"/>
                  <w:vAlign w:val="center"/>
                </w:tcPr>
                <w:p w14:paraId="2ACD5AE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8" w:type="pct"/>
                  <w:noWrap w:val="0"/>
                  <w:vAlign w:val="center"/>
                </w:tcPr>
                <w:p w14:paraId="401C8D4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119</w:t>
                  </w:r>
                </w:p>
              </w:tc>
              <w:tc>
                <w:tcPr>
                  <w:tcW w:w="388" w:type="pct"/>
                  <w:noWrap w:val="0"/>
                  <w:vAlign w:val="center"/>
                </w:tcPr>
                <w:p w14:paraId="30F44E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121</w:t>
                  </w:r>
                </w:p>
              </w:tc>
              <w:tc>
                <w:tcPr>
                  <w:tcW w:w="300" w:type="pct"/>
                  <w:noWrap w:val="0"/>
                  <w:vAlign w:val="center"/>
                </w:tcPr>
                <w:p w14:paraId="2795BC0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c>
                <w:tcPr>
                  <w:tcW w:w="334" w:type="pct"/>
                  <w:noWrap w:val="0"/>
                  <w:vAlign w:val="center"/>
                </w:tcPr>
                <w:p w14:paraId="031B4B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3</w:t>
                  </w:r>
                </w:p>
              </w:tc>
              <w:tc>
                <w:tcPr>
                  <w:tcW w:w="310" w:type="pct"/>
                  <w:noWrap w:val="0"/>
                  <w:vAlign w:val="center"/>
                </w:tcPr>
                <w:p w14:paraId="5D876EC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70</w:t>
                  </w:r>
                </w:p>
              </w:tc>
              <w:tc>
                <w:tcPr>
                  <w:tcW w:w="388" w:type="pct"/>
                  <w:vMerge w:val="continue"/>
                  <w:noWrap w:val="0"/>
                  <w:vAlign w:val="center"/>
                </w:tcPr>
                <w:p w14:paraId="3D5C28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79" w:type="pct"/>
                  <w:noWrap w:val="0"/>
                  <w:vAlign w:val="center"/>
                </w:tcPr>
                <w:p w14:paraId="743CA1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c>
                <w:tcPr>
                  <w:tcW w:w="495" w:type="pct"/>
                  <w:shd w:val="clear" w:color="auto" w:fill="auto"/>
                  <w:noWrap w:val="0"/>
                  <w:vAlign w:val="center"/>
                </w:tcPr>
                <w:p w14:paraId="39CB49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rPr>
                    <w:t>50</w:t>
                  </w:r>
                </w:p>
              </w:tc>
              <w:tc>
                <w:tcPr>
                  <w:tcW w:w="273" w:type="pct"/>
                  <w:noWrap w:val="0"/>
                  <w:vAlign w:val="center"/>
                </w:tcPr>
                <w:p w14:paraId="6661C8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r>
            <w:tr w14:paraId="5F552B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30" w:type="pct"/>
                  <w:vMerge w:val="continue"/>
                  <w:noWrap w:val="0"/>
                  <w:vAlign w:val="center"/>
                </w:tcPr>
                <w:p w14:paraId="7F0DDB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581" w:type="pct"/>
                  <w:shd w:val="clear" w:color="auto" w:fill="auto"/>
                  <w:noWrap w:val="0"/>
                  <w:vAlign w:val="center"/>
                </w:tcPr>
                <w:p w14:paraId="2D1C1A23">
                  <w:pPr>
                    <w:pStyle w:val="105"/>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w w:val="100"/>
                      <w:kern w:val="21"/>
                      <w:position w:val="0"/>
                      <w:sz w:val="21"/>
                      <w:szCs w:val="21"/>
                      <w:highlight w:val="none"/>
                      <w:lang w:eastAsia="zh-CN"/>
                    </w:rPr>
                    <w:t>冷凝系统</w:t>
                  </w:r>
                </w:p>
              </w:tc>
              <w:tc>
                <w:tcPr>
                  <w:tcW w:w="221" w:type="pct"/>
                  <w:noWrap w:val="0"/>
                  <w:vAlign w:val="center"/>
                </w:tcPr>
                <w:p w14:paraId="6469E7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w:t>
                  </w:r>
                </w:p>
              </w:tc>
              <w:tc>
                <w:tcPr>
                  <w:tcW w:w="345" w:type="pct"/>
                  <w:shd w:val="clear" w:color="auto" w:fill="auto"/>
                  <w:noWrap w:val="0"/>
                  <w:vAlign w:val="center"/>
                </w:tcPr>
                <w:p w14:paraId="13280D2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rPr>
                    <w:t>75</w:t>
                  </w:r>
                </w:p>
              </w:tc>
              <w:tc>
                <w:tcPr>
                  <w:tcW w:w="321" w:type="pct"/>
                  <w:vMerge w:val="continue"/>
                  <w:noWrap w:val="0"/>
                  <w:vAlign w:val="center"/>
                </w:tcPr>
                <w:p w14:paraId="1AAC44F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8" w:type="pct"/>
                  <w:noWrap w:val="0"/>
                  <w:vAlign w:val="center"/>
                </w:tcPr>
                <w:p w14:paraId="05E591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127</w:t>
                  </w:r>
                </w:p>
              </w:tc>
              <w:tc>
                <w:tcPr>
                  <w:tcW w:w="388" w:type="pct"/>
                  <w:noWrap w:val="0"/>
                  <w:vAlign w:val="center"/>
                </w:tcPr>
                <w:p w14:paraId="5228BF5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114</w:t>
                  </w:r>
                </w:p>
              </w:tc>
              <w:tc>
                <w:tcPr>
                  <w:tcW w:w="300" w:type="pct"/>
                  <w:noWrap w:val="0"/>
                  <w:vAlign w:val="center"/>
                </w:tcPr>
                <w:p w14:paraId="2589ED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c>
                <w:tcPr>
                  <w:tcW w:w="334" w:type="pct"/>
                  <w:noWrap w:val="0"/>
                  <w:vAlign w:val="center"/>
                </w:tcPr>
                <w:p w14:paraId="0D4A23E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3</w:t>
                  </w:r>
                </w:p>
              </w:tc>
              <w:tc>
                <w:tcPr>
                  <w:tcW w:w="310" w:type="pct"/>
                  <w:noWrap w:val="0"/>
                  <w:vAlign w:val="center"/>
                </w:tcPr>
                <w:p w14:paraId="58A6543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70</w:t>
                  </w:r>
                </w:p>
              </w:tc>
              <w:tc>
                <w:tcPr>
                  <w:tcW w:w="388" w:type="pct"/>
                  <w:vMerge w:val="continue"/>
                  <w:noWrap w:val="0"/>
                  <w:vAlign w:val="center"/>
                </w:tcPr>
                <w:p w14:paraId="5A821B6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79" w:type="pct"/>
                  <w:noWrap w:val="0"/>
                  <w:vAlign w:val="center"/>
                </w:tcPr>
                <w:p w14:paraId="02A54C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c>
                <w:tcPr>
                  <w:tcW w:w="495" w:type="pct"/>
                  <w:shd w:val="clear" w:color="auto" w:fill="auto"/>
                  <w:noWrap w:val="0"/>
                  <w:vAlign w:val="center"/>
                </w:tcPr>
                <w:p w14:paraId="4938D1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rPr>
                    <w:t>50</w:t>
                  </w:r>
                </w:p>
              </w:tc>
              <w:tc>
                <w:tcPr>
                  <w:tcW w:w="273" w:type="pct"/>
                  <w:noWrap w:val="0"/>
                  <w:vAlign w:val="center"/>
                </w:tcPr>
                <w:p w14:paraId="1B04DF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r>
            <w:tr w14:paraId="55DC8E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30" w:type="pct"/>
                  <w:vMerge w:val="continue"/>
                  <w:noWrap w:val="0"/>
                  <w:vAlign w:val="center"/>
                </w:tcPr>
                <w:p w14:paraId="0A6B8C8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581" w:type="pct"/>
                  <w:shd w:val="clear" w:color="auto" w:fill="auto"/>
                  <w:noWrap w:val="0"/>
                  <w:vAlign w:val="center"/>
                </w:tcPr>
                <w:p w14:paraId="62452AA5">
                  <w:pPr>
                    <w:pStyle w:val="105"/>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w w:val="100"/>
                      <w:kern w:val="21"/>
                      <w:position w:val="0"/>
                      <w:sz w:val="21"/>
                      <w:szCs w:val="21"/>
                      <w:highlight w:val="none"/>
                      <w:lang w:eastAsia="zh-CN"/>
                    </w:rPr>
                    <w:t>尾气系统</w:t>
                  </w:r>
                </w:p>
              </w:tc>
              <w:tc>
                <w:tcPr>
                  <w:tcW w:w="221" w:type="pct"/>
                  <w:noWrap w:val="0"/>
                  <w:vAlign w:val="center"/>
                </w:tcPr>
                <w:p w14:paraId="66DE67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45" w:type="pct"/>
                  <w:shd w:val="clear" w:color="auto" w:fill="auto"/>
                  <w:noWrap w:val="0"/>
                  <w:vAlign w:val="center"/>
                </w:tcPr>
                <w:p w14:paraId="2EFF4E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rPr>
                    <w:t>75</w:t>
                  </w:r>
                </w:p>
              </w:tc>
              <w:tc>
                <w:tcPr>
                  <w:tcW w:w="321" w:type="pct"/>
                  <w:vMerge w:val="continue"/>
                  <w:noWrap w:val="0"/>
                  <w:vAlign w:val="center"/>
                </w:tcPr>
                <w:p w14:paraId="622A6F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8" w:type="pct"/>
                  <w:noWrap w:val="0"/>
                  <w:vAlign w:val="center"/>
                </w:tcPr>
                <w:p w14:paraId="11D7FBB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119</w:t>
                  </w:r>
                </w:p>
              </w:tc>
              <w:tc>
                <w:tcPr>
                  <w:tcW w:w="388" w:type="pct"/>
                  <w:noWrap w:val="0"/>
                  <w:vAlign w:val="center"/>
                </w:tcPr>
                <w:p w14:paraId="26F0DD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112</w:t>
                  </w:r>
                </w:p>
              </w:tc>
              <w:tc>
                <w:tcPr>
                  <w:tcW w:w="300" w:type="pct"/>
                  <w:noWrap w:val="0"/>
                  <w:vAlign w:val="center"/>
                </w:tcPr>
                <w:p w14:paraId="64D7C51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c>
                <w:tcPr>
                  <w:tcW w:w="334" w:type="pct"/>
                  <w:noWrap w:val="0"/>
                  <w:vAlign w:val="center"/>
                </w:tcPr>
                <w:p w14:paraId="0548FC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w:t>
                  </w:r>
                </w:p>
              </w:tc>
              <w:tc>
                <w:tcPr>
                  <w:tcW w:w="310" w:type="pct"/>
                  <w:noWrap w:val="0"/>
                  <w:vAlign w:val="center"/>
                </w:tcPr>
                <w:p w14:paraId="23E33F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70</w:t>
                  </w:r>
                </w:p>
              </w:tc>
              <w:tc>
                <w:tcPr>
                  <w:tcW w:w="388" w:type="pct"/>
                  <w:vMerge w:val="continue"/>
                  <w:noWrap w:val="0"/>
                  <w:vAlign w:val="center"/>
                </w:tcPr>
                <w:p w14:paraId="4E439D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79" w:type="pct"/>
                  <w:noWrap w:val="0"/>
                  <w:vAlign w:val="center"/>
                </w:tcPr>
                <w:p w14:paraId="0A61C05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c>
                <w:tcPr>
                  <w:tcW w:w="495" w:type="pct"/>
                  <w:shd w:val="clear" w:color="auto" w:fill="auto"/>
                  <w:noWrap w:val="0"/>
                  <w:vAlign w:val="center"/>
                </w:tcPr>
                <w:p w14:paraId="34F701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rPr>
                    <w:t>50</w:t>
                  </w:r>
                </w:p>
              </w:tc>
              <w:tc>
                <w:tcPr>
                  <w:tcW w:w="273" w:type="pct"/>
                  <w:noWrap w:val="0"/>
                  <w:vAlign w:val="center"/>
                </w:tcPr>
                <w:p w14:paraId="0BF45D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r>
            <w:tr w14:paraId="3347C6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30" w:type="pct"/>
                  <w:vMerge w:val="restart"/>
                  <w:noWrap w:val="0"/>
                  <w:vAlign w:val="center"/>
                </w:tcPr>
                <w:p w14:paraId="285273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精炼车间</w:t>
                  </w:r>
                </w:p>
              </w:tc>
              <w:tc>
                <w:tcPr>
                  <w:tcW w:w="581" w:type="pct"/>
                  <w:vMerge w:val="restart"/>
                  <w:noWrap w:val="0"/>
                  <w:vAlign w:val="center"/>
                </w:tcPr>
                <w:p w14:paraId="5AFDB3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kern w:val="0"/>
                      <w:position w:val="0"/>
                      <w:sz w:val="21"/>
                      <w:szCs w:val="21"/>
                      <w:highlight w:val="none"/>
                      <w:lang w:bidi="ar"/>
                    </w:rPr>
                    <w:t>离心机</w:t>
                  </w:r>
                </w:p>
              </w:tc>
              <w:tc>
                <w:tcPr>
                  <w:tcW w:w="221" w:type="pct"/>
                  <w:noWrap w:val="0"/>
                  <w:vAlign w:val="center"/>
                </w:tcPr>
                <w:p w14:paraId="1F9FDD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rPr>
                    <w:t>/</w:t>
                  </w:r>
                </w:p>
              </w:tc>
              <w:tc>
                <w:tcPr>
                  <w:tcW w:w="345" w:type="pct"/>
                  <w:shd w:val="clear" w:color="auto" w:fill="auto"/>
                  <w:noWrap w:val="0"/>
                  <w:vAlign w:val="center"/>
                </w:tcPr>
                <w:p w14:paraId="37B4B52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rPr>
                    <w:t>75</w:t>
                  </w:r>
                </w:p>
              </w:tc>
              <w:tc>
                <w:tcPr>
                  <w:tcW w:w="321" w:type="pct"/>
                  <w:vMerge w:val="continue"/>
                  <w:noWrap w:val="0"/>
                  <w:vAlign w:val="center"/>
                </w:tcPr>
                <w:p w14:paraId="1E7F52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8" w:type="pct"/>
                  <w:noWrap w:val="0"/>
                  <w:vAlign w:val="center"/>
                </w:tcPr>
                <w:p w14:paraId="000DE7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89</w:t>
                  </w:r>
                </w:p>
              </w:tc>
              <w:tc>
                <w:tcPr>
                  <w:tcW w:w="388" w:type="pct"/>
                  <w:noWrap w:val="0"/>
                  <w:vAlign w:val="center"/>
                </w:tcPr>
                <w:p w14:paraId="316D45C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lang w:val="en-US" w:eastAsia="zh-CN"/>
                    </w:rPr>
                    <w:t>109</w:t>
                  </w:r>
                </w:p>
              </w:tc>
              <w:tc>
                <w:tcPr>
                  <w:tcW w:w="300" w:type="pct"/>
                  <w:noWrap w:val="0"/>
                  <w:vAlign w:val="center"/>
                </w:tcPr>
                <w:p w14:paraId="5D6E3C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c>
                <w:tcPr>
                  <w:tcW w:w="334" w:type="pct"/>
                  <w:noWrap w:val="0"/>
                  <w:vAlign w:val="center"/>
                </w:tcPr>
                <w:p w14:paraId="39FA1D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4</w:t>
                  </w:r>
                </w:p>
              </w:tc>
              <w:tc>
                <w:tcPr>
                  <w:tcW w:w="310" w:type="pct"/>
                  <w:noWrap w:val="0"/>
                  <w:vAlign w:val="center"/>
                </w:tcPr>
                <w:p w14:paraId="59A35E1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70</w:t>
                  </w:r>
                </w:p>
              </w:tc>
              <w:tc>
                <w:tcPr>
                  <w:tcW w:w="388" w:type="pct"/>
                  <w:vMerge w:val="continue"/>
                  <w:noWrap w:val="0"/>
                  <w:vAlign w:val="center"/>
                </w:tcPr>
                <w:p w14:paraId="696BE5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79" w:type="pct"/>
                  <w:noWrap w:val="0"/>
                  <w:vAlign w:val="center"/>
                </w:tcPr>
                <w:p w14:paraId="7C46A2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c>
                <w:tcPr>
                  <w:tcW w:w="495" w:type="pct"/>
                  <w:shd w:val="clear" w:color="auto" w:fill="auto"/>
                  <w:noWrap w:val="0"/>
                  <w:vAlign w:val="center"/>
                </w:tcPr>
                <w:p w14:paraId="314F694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rPr>
                    <w:t>50</w:t>
                  </w:r>
                </w:p>
              </w:tc>
              <w:tc>
                <w:tcPr>
                  <w:tcW w:w="273" w:type="pct"/>
                  <w:noWrap w:val="0"/>
                  <w:vAlign w:val="center"/>
                </w:tcPr>
                <w:p w14:paraId="3EE1823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1</w:t>
                  </w:r>
                </w:p>
              </w:tc>
            </w:tr>
            <w:tr w14:paraId="00F691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30" w:type="pct"/>
                  <w:vMerge w:val="continue"/>
                  <w:noWrap w:val="0"/>
                  <w:vAlign w:val="center"/>
                </w:tcPr>
                <w:p w14:paraId="60DEA6B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581" w:type="pct"/>
                  <w:vMerge w:val="continue"/>
                  <w:noWrap w:val="0"/>
                  <w:vAlign w:val="center"/>
                </w:tcPr>
                <w:p w14:paraId="58BB41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kern w:val="0"/>
                      <w:position w:val="0"/>
                      <w:sz w:val="21"/>
                      <w:szCs w:val="21"/>
                      <w:highlight w:val="none"/>
                      <w:lang w:bidi="ar"/>
                    </w:rPr>
                  </w:pPr>
                </w:p>
              </w:tc>
              <w:tc>
                <w:tcPr>
                  <w:tcW w:w="221" w:type="pct"/>
                  <w:noWrap w:val="0"/>
                  <w:vAlign w:val="center"/>
                </w:tcPr>
                <w:p w14:paraId="5B7C27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w:t>
                  </w:r>
                </w:p>
              </w:tc>
              <w:tc>
                <w:tcPr>
                  <w:tcW w:w="345" w:type="pct"/>
                  <w:noWrap w:val="0"/>
                  <w:vAlign w:val="center"/>
                </w:tcPr>
                <w:p w14:paraId="34FD89E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75</w:t>
                  </w:r>
                </w:p>
              </w:tc>
              <w:tc>
                <w:tcPr>
                  <w:tcW w:w="321" w:type="pct"/>
                  <w:vMerge w:val="continue"/>
                  <w:noWrap w:val="0"/>
                  <w:vAlign w:val="center"/>
                </w:tcPr>
                <w:p w14:paraId="71364DA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8" w:type="pct"/>
                  <w:noWrap w:val="0"/>
                  <w:vAlign w:val="center"/>
                </w:tcPr>
                <w:p w14:paraId="536DC7E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85</w:t>
                  </w:r>
                </w:p>
              </w:tc>
              <w:tc>
                <w:tcPr>
                  <w:tcW w:w="388" w:type="pct"/>
                  <w:noWrap w:val="0"/>
                  <w:vAlign w:val="center"/>
                </w:tcPr>
                <w:p w14:paraId="2F129D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lang w:val="en-US" w:eastAsia="zh-CN"/>
                    </w:rPr>
                    <w:t>106</w:t>
                  </w:r>
                </w:p>
              </w:tc>
              <w:tc>
                <w:tcPr>
                  <w:tcW w:w="300" w:type="pct"/>
                  <w:noWrap w:val="0"/>
                  <w:vAlign w:val="center"/>
                </w:tcPr>
                <w:p w14:paraId="0E3541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c>
                <w:tcPr>
                  <w:tcW w:w="334" w:type="pct"/>
                  <w:noWrap w:val="0"/>
                  <w:vAlign w:val="center"/>
                </w:tcPr>
                <w:p w14:paraId="27CD8F9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4</w:t>
                  </w:r>
                </w:p>
              </w:tc>
              <w:tc>
                <w:tcPr>
                  <w:tcW w:w="310" w:type="pct"/>
                  <w:noWrap w:val="0"/>
                  <w:vAlign w:val="center"/>
                </w:tcPr>
                <w:p w14:paraId="4E8DB2E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70</w:t>
                  </w:r>
                </w:p>
              </w:tc>
              <w:tc>
                <w:tcPr>
                  <w:tcW w:w="388" w:type="pct"/>
                  <w:vMerge w:val="continue"/>
                  <w:noWrap w:val="0"/>
                  <w:vAlign w:val="center"/>
                </w:tcPr>
                <w:p w14:paraId="19C3176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79" w:type="pct"/>
                  <w:noWrap w:val="0"/>
                  <w:vAlign w:val="center"/>
                </w:tcPr>
                <w:p w14:paraId="70BA756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c>
                <w:tcPr>
                  <w:tcW w:w="495" w:type="pct"/>
                  <w:shd w:val="clear" w:color="auto" w:fill="auto"/>
                  <w:noWrap w:val="0"/>
                  <w:vAlign w:val="center"/>
                </w:tcPr>
                <w:p w14:paraId="7AC615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rPr>
                    <w:t>50</w:t>
                  </w:r>
                </w:p>
              </w:tc>
              <w:tc>
                <w:tcPr>
                  <w:tcW w:w="273" w:type="pct"/>
                  <w:noWrap w:val="0"/>
                  <w:vAlign w:val="center"/>
                </w:tcPr>
                <w:p w14:paraId="0CF6DD6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1</w:t>
                  </w:r>
                </w:p>
              </w:tc>
            </w:tr>
            <w:tr w14:paraId="2E0C13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30" w:type="pct"/>
                  <w:vMerge w:val="continue"/>
                  <w:noWrap w:val="0"/>
                  <w:vAlign w:val="center"/>
                </w:tcPr>
                <w:p w14:paraId="7402B9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581" w:type="pct"/>
                  <w:vMerge w:val="continue"/>
                  <w:noWrap w:val="0"/>
                  <w:vAlign w:val="center"/>
                </w:tcPr>
                <w:p w14:paraId="4A1132D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kern w:val="0"/>
                      <w:position w:val="0"/>
                      <w:sz w:val="21"/>
                      <w:szCs w:val="21"/>
                      <w:highlight w:val="none"/>
                      <w:lang w:bidi="ar"/>
                    </w:rPr>
                  </w:pPr>
                </w:p>
              </w:tc>
              <w:tc>
                <w:tcPr>
                  <w:tcW w:w="221" w:type="pct"/>
                  <w:noWrap w:val="0"/>
                  <w:vAlign w:val="center"/>
                </w:tcPr>
                <w:p w14:paraId="2852ACE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w:t>
                  </w:r>
                </w:p>
              </w:tc>
              <w:tc>
                <w:tcPr>
                  <w:tcW w:w="345" w:type="pct"/>
                  <w:noWrap w:val="0"/>
                  <w:vAlign w:val="center"/>
                </w:tcPr>
                <w:p w14:paraId="1B5218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75</w:t>
                  </w:r>
                </w:p>
              </w:tc>
              <w:tc>
                <w:tcPr>
                  <w:tcW w:w="321" w:type="pct"/>
                  <w:vMerge w:val="continue"/>
                  <w:noWrap w:val="0"/>
                  <w:vAlign w:val="center"/>
                </w:tcPr>
                <w:p w14:paraId="367C83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8" w:type="pct"/>
                  <w:noWrap w:val="0"/>
                  <w:vAlign w:val="center"/>
                </w:tcPr>
                <w:p w14:paraId="1A80662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89</w:t>
                  </w:r>
                </w:p>
              </w:tc>
              <w:tc>
                <w:tcPr>
                  <w:tcW w:w="388" w:type="pct"/>
                  <w:noWrap w:val="0"/>
                  <w:vAlign w:val="center"/>
                </w:tcPr>
                <w:p w14:paraId="412475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106</w:t>
                  </w:r>
                </w:p>
              </w:tc>
              <w:tc>
                <w:tcPr>
                  <w:tcW w:w="300" w:type="pct"/>
                  <w:noWrap w:val="0"/>
                  <w:vAlign w:val="center"/>
                </w:tcPr>
                <w:p w14:paraId="4B146D1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c>
                <w:tcPr>
                  <w:tcW w:w="334" w:type="pct"/>
                  <w:noWrap w:val="0"/>
                  <w:vAlign w:val="center"/>
                </w:tcPr>
                <w:p w14:paraId="3993CF4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4</w:t>
                  </w:r>
                </w:p>
              </w:tc>
              <w:tc>
                <w:tcPr>
                  <w:tcW w:w="310" w:type="pct"/>
                  <w:noWrap w:val="0"/>
                  <w:vAlign w:val="center"/>
                </w:tcPr>
                <w:p w14:paraId="34155C1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70</w:t>
                  </w:r>
                </w:p>
              </w:tc>
              <w:tc>
                <w:tcPr>
                  <w:tcW w:w="388" w:type="pct"/>
                  <w:vMerge w:val="continue"/>
                  <w:noWrap w:val="0"/>
                  <w:vAlign w:val="center"/>
                </w:tcPr>
                <w:p w14:paraId="6896C58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79" w:type="pct"/>
                  <w:noWrap w:val="0"/>
                  <w:vAlign w:val="center"/>
                </w:tcPr>
                <w:p w14:paraId="2247E03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c>
                <w:tcPr>
                  <w:tcW w:w="495" w:type="pct"/>
                  <w:noWrap w:val="0"/>
                  <w:vAlign w:val="center"/>
                </w:tcPr>
                <w:p w14:paraId="3D033A3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50</w:t>
                  </w:r>
                </w:p>
              </w:tc>
              <w:tc>
                <w:tcPr>
                  <w:tcW w:w="273" w:type="pct"/>
                  <w:noWrap w:val="0"/>
                  <w:vAlign w:val="center"/>
                </w:tcPr>
                <w:p w14:paraId="36795A6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1</w:t>
                  </w:r>
                </w:p>
              </w:tc>
            </w:tr>
            <w:tr w14:paraId="31FDEA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30" w:type="pct"/>
                  <w:vMerge w:val="continue"/>
                  <w:noWrap w:val="0"/>
                  <w:vAlign w:val="center"/>
                </w:tcPr>
                <w:p w14:paraId="72491E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581" w:type="pct"/>
                  <w:vMerge w:val="continue"/>
                  <w:noWrap w:val="0"/>
                  <w:vAlign w:val="center"/>
                </w:tcPr>
                <w:p w14:paraId="7AEE22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221" w:type="pct"/>
                  <w:noWrap w:val="0"/>
                  <w:vAlign w:val="center"/>
                </w:tcPr>
                <w:p w14:paraId="3B59CE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w:t>
                  </w:r>
                </w:p>
              </w:tc>
              <w:tc>
                <w:tcPr>
                  <w:tcW w:w="345" w:type="pct"/>
                  <w:noWrap w:val="0"/>
                  <w:vAlign w:val="center"/>
                </w:tcPr>
                <w:p w14:paraId="5216212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75</w:t>
                  </w:r>
                </w:p>
              </w:tc>
              <w:tc>
                <w:tcPr>
                  <w:tcW w:w="321" w:type="pct"/>
                  <w:vMerge w:val="continue"/>
                  <w:noWrap w:val="0"/>
                  <w:vAlign w:val="center"/>
                </w:tcPr>
                <w:p w14:paraId="436251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8" w:type="pct"/>
                  <w:noWrap w:val="0"/>
                  <w:vAlign w:val="center"/>
                </w:tcPr>
                <w:p w14:paraId="66336EE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86</w:t>
                  </w:r>
                </w:p>
              </w:tc>
              <w:tc>
                <w:tcPr>
                  <w:tcW w:w="388" w:type="pct"/>
                  <w:noWrap w:val="0"/>
                  <w:vAlign w:val="center"/>
                </w:tcPr>
                <w:p w14:paraId="34FA619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103</w:t>
                  </w:r>
                </w:p>
              </w:tc>
              <w:tc>
                <w:tcPr>
                  <w:tcW w:w="300" w:type="pct"/>
                  <w:noWrap w:val="0"/>
                  <w:vAlign w:val="center"/>
                </w:tcPr>
                <w:p w14:paraId="1D3816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c>
                <w:tcPr>
                  <w:tcW w:w="334" w:type="pct"/>
                  <w:noWrap w:val="0"/>
                  <w:vAlign w:val="center"/>
                </w:tcPr>
                <w:p w14:paraId="5912CF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4</w:t>
                  </w:r>
                </w:p>
              </w:tc>
              <w:tc>
                <w:tcPr>
                  <w:tcW w:w="310" w:type="pct"/>
                  <w:noWrap w:val="0"/>
                  <w:vAlign w:val="center"/>
                </w:tcPr>
                <w:p w14:paraId="147014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70</w:t>
                  </w:r>
                </w:p>
              </w:tc>
              <w:tc>
                <w:tcPr>
                  <w:tcW w:w="388" w:type="pct"/>
                  <w:vMerge w:val="continue"/>
                  <w:noWrap w:val="0"/>
                  <w:vAlign w:val="center"/>
                </w:tcPr>
                <w:p w14:paraId="40BDF0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79" w:type="pct"/>
                  <w:noWrap w:val="0"/>
                  <w:vAlign w:val="center"/>
                </w:tcPr>
                <w:p w14:paraId="49B916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c>
                <w:tcPr>
                  <w:tcW w:w="495" w:type="pct"/>
                  <w:noWrap w:val="0"/>
                  <w:vAlign w:val="center"/>
                </w:tcPr>
                <w:p w14:paraId="4002E7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50</w:t>
                  </w:r>
                </w:p>
              </w:tc>
              <w:tc>
                <w:tcPr>
                  <w:tcW w:w="273" w:type="pct"/>
                  <w:noWrap w:val="0"/>
                  <w:vAlign w:val="center"/>
                </w:tcPr>
                <w:p w14:paraId="0F63FB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1</w:t>
                  </w:r>
                </w:p>
              </w:tc>
            </w:tr>
            <w:tr w14:paraId="790AE9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30" w:type="pct"/>
                  <w:vMerge w:val="continue"/>
                  <w:noWrap w:val="0"/>
                  <w:vAlign w:val="center"/>
                </w:tcPr>
                <w:p w14:paraId="503B66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581" w:type="pct"/>
                  <w:noWrap w:val="0"/>
                  <w:vAlign w:val="center"/>
                </w:tcPr>
                <w:p w14:paraId="0B5EA9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kern w:val="0"/>
                      <w:position w:val="0"/>
                      <w:sz w:val="21"/>
                      <w:szCs w:val="21"/>
                      <w:highlight w:val="none"/>
                      <w:lang w:bidi="ar"/>
                    </w:rPr>
                    <w:t>脱酸塔</w:t>
                  </w:r>
                </w:p>
              </w:tc>
              <w:tc>
                <w:tcPr>
                  <w:tcW w:w="221" w:type="pct"/>
                  <w:noWrap w:val="0"/>
                  <w:vAlign w:val="center"/>
                </w:tcPr>
                <w:p w14:paraId="64A162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w:t>
                  </w:r>
                </w:p>
              </w:tc>
              <w:tc>
                <w:tcPr>
                  <w:tcW w:w="345" w:type="pct"/>
                  <w:noWrap w:val="0"/>
                  <w:vAlign w:val="center"/>
                </w:tcPr>
                <w:p w14:paraId="02FF673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75</w:t>
                  </w:r>
                </w:p>
              </w:tc>
              <w:tc>
                <w:tcPr>
                  <w:tcW w:w="321" w:type="pct"/>
                  <w:vMerge w:val="continue"/>
                  <w:noWrap w:val="0"/>
                  <w:vAlign w:val="center"/>
                </w:tcPr>
                <w:p w14:paraId="1B236D0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8" w:type="pct"/>
                  <w:noWrap w:val="0"/>
                  <w:vAlign w:val="center"/>
                </w:tcPr>
                <w:p w14:paraId="3310F22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93</w:t>
                  </w:r>
                </w:p>
              </w:tc>
              <w:tc>
                <w:tcPr>
                  <w:tcW w:w="388" w:type="pct"/>
                  <w:noWrap w:val="0"/>
                  <w:vAlign w:val="center"/>
                </w:tcPr>
                <w:p w14:paraId="32D6C4A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98</w:t>
                  </w:r>
                </w:p>
              </w:tc>
              <w:tc>
                <w:tcPr>
                  <w:tcW w:w="300" w:type="pct"/>
                  <w:noWrap w:val="0"/>
                  <w:vAlign w:val="center"/>
                </w:tcPr>
                <w:p w14:paraId="3FA419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c>
                <w:tcPr>
                  <w:tcW w:w="334" w:type="pct"/>
                  <w:noWrap w:val="0"/>
                  <w:vAlign w:val="center"/>
                </w:tcPr>
                <w:p w14:paraId="59E637D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2</w:t>
                  </w:r>
                </w:p>
              </w:tc>
              <w:tc>
                <w:tcPr>
                  <w:tcW w:w="310" w:type="pct"/>
                  <w:noWrap w:val="0"/>
                  <w:vAlign w:val="center"/>
                </w:tcPr>
                <w:p w14:paraId="726EE1D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70</w:t>
                  </w:r>
                </w:p>
              </w:tc>
              <w:tc>
                <w:tcPr>
                  <w:tcW w:w="388" w:type="pct"/>
                  <w:vMerge w:val="continue"/>
                  <w:noWrap w:val="0"/>
                  <w:vAlign w:val="center"/>
                </w:tcPr>
                <w:p w14:paraId="6EAEE10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79" w:type="pct"/>
                  <w:noWrap w:val="0"/>
                  <w:vAlign w:val="center"/>
                </w:tcPr>
                <w:p w14:paraId="111CF7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c>
                <w:tcPr>
                  <w:tcW w:w="495" w:type="pct"/>
                  <w:noWrap w:val="0"/>
                  <w:vAlign w:val="center"/>
                </w:tcPr>
                <w:p w14:paraId="35F7F2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50</w:t>
                  </w:r>
                </w:p>
              </w:tc>
              <w:tc>
                <w:tcPr>
                  <w:tcW w:w="273" w:type="pct"/>
                  <w:noWrap w:val="0"/>
                  <w:vAlign w:val="center"/>
                </w:tcPr>
                <w:p w14:paraId="006B265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1</w:t>
                  </w:r>
                </w:p>
              </w:tc>
            </w:tr>
            <w:tr w14:paraId="311D62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30" w:type="pct"/>
                  <w:vMerge w:val="continue"/>
                  <w:noWrap w:val="0"/>
                  <w:vAlign w:val="center"/>
                </w:tcPr>
                <w:p w14:paraId="1C6EF3D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581" w:type="pct"/>
                  <w:noWrap w:val="0"/>
                  <w:vAlign w:val="center"/>
                </w:tcPr>
                <w:p w14:paraId="33092B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kern w:val="0"/>
                      <w:position w:val="0"/>
                      <w:sz w:val="21"/>
                      <w:szCs w:val="21"/>
                      <w:highlight w:val="none"/>
                      <w:lang w:bidi="ar"/>
                    </w:rPr>
                  </w:pPr>
                  <w:r>
                    <w:rPr>
                      <w:rFonts w:hint="default" w:ascii="Times New Roman" w:hAnsi="Times New Roman" w:cs="Times New Roman"/>
                      <w:color w:val="auto"/>
                      <w:spacing w:val="0"/>
                      <w:kern w:val="0"/>
                      <w:position w:val="0"/>
                      <w:sz w:val="21"/>
                      <w:szCs w:val="21"/>
                      <w:highlight w:val="none"/>
                      <w:lang w:bidi="ar"/>
                    </w:rPr>
                    <w:t>脱臭塔</w:t>
                  </w:r>
                </w:p>
              </w:tc>
              <w:tc>
                <w:tcPr>
                  <w:tcW w:w="221" w:type="pct"/>
                  <w:noWrap w:val="0"/>
                  <w:vAlign w:val="center"/>
                </w:tcPr>
                <w:p w14:paraId="1E51B6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w:t>
                  </w:r>
                </w:p>
              </w:tc>
              <w:tc>
                <w:tcPr>
                  <w:tcW w:w="345" w:type="pct"/>
                  <w:noWrap w:val="0"/>
                  <w:vAlign w:val="center"/>
                </w:tcPr>
                <w:p w14:paraId="468257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75</w:t>
                  </w:r>
                </w:p>
              </w:tc>
              <w:tc>
                <w:tcPr>
                  <w:tcW w:w="321" w:type="pct"/>
                  <w:vMerge w:val="continue"/>
                  <w:noWrap w:val="0"/>
                  <w:vAlign w:val="center"/>
                </w:tcPr>
                <w:p w14:paraId="75D94C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8" w:type="pct"/>
                  <w:noWrap w:val="0"/>
                  <w:vAlign w:val="center"/>
                </w:tcPr>
                <w:p w14:paraId="4E70DE2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86</w:t>
                  </w:r>
                </w:p>
              </w:tc>
              <w:tc>
                <w:tcPr>
                  <w:tcW w:w="388" w:type="pct"/>
                  <w:noWrap w:val="0"/>
                  <w:vAlign w:val="center"/>
                </w:tcPr>
                <w:p w14:paraId="24B04F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97</w:t>
                  </w:r>
                </w:p>
              </w:tc>
              <w:tc>
                <w:tcPr>
                  <w:tcW w:w="300" w:type="pct"/>
                  <w:noWrap w:val="0"/>
                  <w:vAlign w:val="center"/>
                </w:tcPr>
                <w:p w14:paraId="22FB7B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c>
                <w:tcPr>
                  <w:tcW w:w="334" w:type="pct"/>
                  <w:noWrap w:val="0"/>
                  <w:vAlign w:val="center"/>
                </w:tcPr>
                <w:p w14:paraId="3FA625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2</w:t>
                  </w:r>
                </w:p>
              </w:tc>
              <w:tc>
                <w:tcPr>
                  <w:tcW w:w="310" w:type="pct"/>
                  <w:noWrap w:val="0"/>
                  <w:vAlign w:val="center"/>
                </w:tcPr>
                <w:p w14:paraId="63B0C09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70</w:t>
                  </w:r>
                </w:p>
              </w:tc>
              <w:tc>
                <w:tcPr>
                  <w:tcW w:w="388" w:type="pct"/>
                  <w:vMerge w:val="continue"/>
                  <w:noWrap w:val="0"/>
                  <w:vAlign w:val="center"/>
                </w:tcPr>
                <w:p w14:paraId="457B466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79" w:type="pct"/>
                  <w:noWrap w:val="0"/>
                  <w:vAlign w:val="center"/>
                </w:tcPr>
                <w:p w14:paraId="12AD2F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c>
                <w:tcPr>
                  <w:tcW w:w="495" w:type="pct"/>
                  <w:noWrap w:val="0"/>
                  <w:vAlign w:val="center"/>
                </w:tcPr>
                <w:p w14:paraId="2ECD92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50</w:t>
                  </w:r>
                </w:p>
              </w:tc>
              <w:tc>
                <w:tcPr>
                  <w:tcW w:w="273" w:type="pct"/>
                  <w:noWrap w:val="0"/>
                  <w:vAlign w:val="center"/>
                </w:tcPr>
                <w:p w14:paraId="620777E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1</w:t>
                  </w:r>
                </w:p>
              </w:tc>
            </w:tr>
            <w:tr w14:paraId="519CFA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330" w:type="pct"/>
                  <w:vMerge w:val="continue"/>
                  <w:noWrap w:val="0"/>
                  <w:vAlign w:val="center"/>
                </w:tcPr>
                <w:p w14:paraId="1A116A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581" w:type="pct"/>
                  <w:noWrap w:val="0"/>
                  <w:vAlign w:val="center"/>
                </w:tcPr>
                <w:p w14:paraId="11FCC8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0"/>
                      <w:position w:val="0"/>
                      <w:sz w:val="21"/>
                      <w:szCs w:val="21"/>
                      <w:highlight w:val="none"/>
                      <w:lang w:eastAsia="zh-CN" w:bidi="ar"/>
                    </w:rPr>
                  </w:pPr>
                  <w:r>
                    <w:rPr>
                      <w:rFonts w:hint="default" w:ascii="Times New Roman" w:hAnsi="Times New Roman" w:cs="Times New Roman"/>
                      <w:color w:val="auto"/>
                      <w:spacing w:val="0"/>
                      <w:kern w:val="0"/>
                      <w:position w:val="0"/>
                      <w:sz w:val="21"/>
                      <w:szCs w:val="21"/>
                      <w:highlight w:val="none"/>
                      <w:lang w:val="en-US" w:eastAsia="zh-CN" w:bidi="ar"/>
                    </w:rPr>
                    <w:t>过滤机</w:t>
                  </w:r>
                </w:p>
              </w:tc>
              <w:tc>
                <w:tcPr>
                  <w:tcW w:w="221" w:type="pct"/>
                  <w:noWrap w:val="0"/>
                  <w:vAlign w:val="center"/>
                </w:tcPr>
                <w:p w14:paraId="6E883F1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w:t>
                  </w:r>
                </w:p>
              </w:tc>
              <w:tc>
                <w:tcPr>
                  <w:tcW w:w="345" w:type="pct"/>
                  <w:noWrap w:val="0"/>
                  <w:vAlign w:val="center"/>
                </w:tcPr>
                <w:p w14:paraId="7DCC5E7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75</w:t>
                  </w:r>
                </w:p>
              </w:tc>
              <w:tc>
                <w:tcPr>
                  <w:tcW w:w="321" w:type="pct"/>
                  <w:vMerge w:val="continue"/>
                  <w:noWrap w:val="0"/>
                  <w:vAlign w:val="center"/>
                </w:tcPr>
                <w:p w14:paraId="2096B2B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8" w:type="pct"/>
                  <w:noWrap w:val="0"/>
                  <w:vAlign w:val="center"/>
                </w:tcPr>
                <w:p w14:paraId="0B1309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91</w:t>
                  </w:r>
                </w:p>
              </w:tc>
              <w:tc>
                <w:tcPr>
                  <w:tcW w:w="388" w:type="pct"/>
                  <w:noWrap w:val="0"/>
                  <w:vAlign w:val="center"/>
                </w:tcPr>
                <w:p w14:paraId="2BA394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92</w:t>
                  </w:r>
                </w:p>
              </w:tc>
              <w:tc>
                <w:tcPr>
                  <w:tcW w:w="300" w:type="pct"/>
                  <w:noWrap w:val="0"/>
                  <w:vAlign w:val="center"/>
                </w:tcPr>
                <w:p w14:paraId="0488F9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c>
                <w:tcPr>
                  <w:tcW w:w="334" w:type="pct"/>
                  <w:noWrap w:val="0"/>
                  <w:vAlign w:val="center"/>
                </w:tcPr>
                <w:p w14:paraId="394078B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3</w:t>
                  </w:r>
                </w:p>
              </w:tc>
              <w:tc>
                <w:tcPr>
                  <w:tcW w:w="310" w:type="pct"/>
                  <w:noWrap w:val="0"/>
                  <w:vAlign w:val="center"/>
                </w:tcPr>
                <w:p w14:paraId="437058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70</w:t>
                  </w:r>
                </w:p>
              </w:tc>
              <w:tc>
                <w:tcPr>
                  <w:tcW w:w="388" w:type="pct"/>
                  <w:vMerge w:val="continue"/>
                  <w:noWrap w:val="0"/>
                  <w:vAlign w:val="center"/>
                </w:tcPr>
                <w:p w14:paraId="6E25A8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79" w:type="pct"/>
                  <w:noWrap w:val="0"/>
                  <w:vAlign w:val="center"/>
                </w:tcPr>
                <w:p w14:paraId="7A7027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c>
                <w:tcPr>
                  <w:tcW w:w="495" w:type="pct"/>
                  <w:noWrap w:val="0"/>
                  <w:vAlign w:val="center"/>
                </w:tcPr>
                <w:p w14:paraId="0ACBA6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50</w:t>
                  </w:r>
                </w:p>
              </w:tc>
              <w:tc>
                <w:tcPr>
                  <w:tcW w:w="273" w:type="pct"/>
                  <w:noWrap w:val="0"/>
                  <w:vAlign w:val="center"/>
                </w:tcPr>
                <w:p w14:paraId="5F7828D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1</w:t>
                  </w:r>
                </w:p>
              </w:tc>
            </w:tr>
            <w:tr w14:paraId="634D13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30" w:type="pct"/>
                  <w:vMerge w:val="restart"/>
                  <w:noWrap w:val="0"/>
                  <w:vAlign w:val="center"/>
                </w:tcPr>
                <w:p w14:paraId="6AD77B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锅炉房</w:t>
                  </w:r>
                </w:p>
              </w:tc>
              <w:tc>
                <w:tcPr>
                  <w:tcW w:w="581" w:type="pct"/>
                  <w:noWrap w:val="0"/>
                  <w:vAlign w:val="center"/>
                </w:tcPr>
                <w:p w14:paraId="700E78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0"/>
                      <w:position w:val="0"/>
                      <w:sz w:val="21"/>
                      <w:szCs w:val="21"/>
                      <w:highlight w:val="none"/>
                      <w:lang w:val="en-US" w:eastAsia="zh-CN" w:bidi="ar"/>
                    </w:rPr>
                  </w:pPr>
                  <w:r>
                    <w:rPr>
                      <w:rFonts w:hint="default" w:ascii="Times New Roman" w:hAnsi="Times New Roman" w:cs="Times New Roman"/>
                      <w:color w:val="auto"/>
                      <w:spacing w:val="0"/>
                      <w:kern w:val="0"/>
                      <w:position w:val="0"/>
                      <w:sz w:val="21"/>
                      <w:szCs w:val="21"/>
                      <w:highlight w:val="none"/>
                      <w:lang w:val="en-US" w:eastAsia="zh-CN" w:bidi="ar"/>
                    </w:rPr>
                    <w:t>引风机</w:t>
                  </w:r>
                </w:p>
              </w:tc>
              <w:tc>
                <w:tcPr>
                  <w:tcW w:w="221" w:type="pct"/>
                  <w:noWrap w:val="0"/>
                  <w:vAlign w:val="center"/>
                </w:tcPr>
                <w:p w14:paraId="7C0D9F6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w:t>
                  </w:r>
                </w:p>
              </w:tc>
              <w:tc>
                <w:tcPr>
                  <w:tcW w:w="345" w:type="pct"/>
                  <w:noWrap w:val="0"/>
                  <w:vAlign w:val="center"/>
                </w:tcPr>
                <w:p w14:paraId="51B6E2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85</w:t>
                  </w:r>
                </w:p>
              </w:tc>
              <w:tc>
                <w:tcPr>
                  <w:tcW w:w="321" w:type="pct"/>
                  <w:vMerge w:val="continue"/>
                  <w:noWrap w:val="0"/>
                  <w:vAlign w:val="center"/>
                </w:tcPr>
                <w:p w14:paraId="63BCD8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8" w:type="pct"/>
                  <w:noWrap w:val="0"/>
                  <w:vAlign w:val="center"/>
                </w:tcPr>
                <w:p w14:paraId="2C0660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61</w:t>
                  </w:r>
                </w:p>
              </w:tc>
              <w:tc>
                <w:tcPr>
                  <w:tcW w:w="388" w:type="pct"/>
                  <w:noWrap w:val="0"/>
                  <w:vAlign w:val="center"/>
                </w:tcPr>
                <w:p w14:paraId="3A8BFF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44</w:t>
                  </w:r>
                </w:p>
              </w:tc>
              <w:tc>
                <w:tcPr>
                  <w:tcW w:w="300" w:type="pct"/>
                  <w:noWrap w:val="0"/>
                  <w:vAlign w:val="center"/>
                </w:tcPr>
                <w:p w14:paraId="52FDB9E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c>
                <w:tcPr>
                  <w:tcW w:w="334" w:type="pct"/>
                  <w:noWrap w:val="0"/>
                  <w:vAlign w:val="center"/>
                </w:tcPr>
                <w:p w14:paraId="0AD443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w:t>
                  </w:r>
                </w:p>
              </w:tc>
              <w:tc>
                <w:tcPr>
                  <w:tcW w:w="310" w:type="pct"/>
                  <w:noWrap w:val="0"/>
                  <w:vAlign w:val="center"/>
                </w:tcPr>
                <w:p w14:paraId="4B6AFAE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80</w:t>
                  </w:r>
                </w:p>
              </w:tc>
              <w:tc>
                <w:tcPr>
                  <w:tcW w:w="388" w:type="pct"/>
                  <w:vMerge w:val="continue"/>
                  <w:noWrap w:val="0"/>
                  <w:vAlign w:val="center"/>
                </w:tcPr>
                <w:p w14:paraId="7FDB2D9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79" w:type="pct"/>
                  <w:noWrap w:val="0"/>
                  <w:vAlign w:val="center"/>
                </w:tcPr>
                <w:p w14:paraId="3272FBA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c>
                <w:tcPr>
                  <w:tcW w:w="495" w:type="pct"/>
                  <w:shd w:val="clear" w:color="auto" w:fill="auto"/>
                  <w:noWrap w:val="0"/>
                  <w:vAlign w:val="center"/>
                </w:tcPr>
                <w:p w14:paraId="437B1B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lang w:val="en-US" w:eastAsia="zh-CN"/>
                    </w:rPr>
                    <w:t>60</w:t>
                  </w:r>
                </w:p>
              </w:tc>
              <w:tc>
                <w:tcPr>
                  <w:tcW w:w="273" w:type="pct"/>
                  <w:noWrap w:val="0"/>
                  <w:vAlign w:val="center"/>
                </w:tcPr>
                <w:p w14:paraId="66B532A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r>
            <w:tr w14:paraId="73FE91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30" w:type="pct"/>
                  <w:vMerge w:val="continue"/>
                  <w:noWrap w:val="0"/>
                  <w:vAlign w:val="center"/>
                </w:tcPr>
                <w:p w14:paraId="56AAC2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581" w:type="pct"/>
                  <w:noWrap w:val="0"/>
                  <w:vAlign w:val="center"/>
                </w:tcPr>
                <w:p w14:paraId="6F0158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0"/>
                      <w:position w:val="0"/>
                      <w:sz w:val="21"/>
                      <w:szCs w:val="21"/>
                      <w:highlight w:val="none"/>
                      <w:lang w:val="en-US" w:eastAsia="zh-CN" w:bidi="ar"/>
                    </w:rPr>
                  </w:pPr>
                  <w:r>
                    <w:rPr>
                      <w:rFonts w:hint="default" w:ascii="Times New Roman" w:hAnsi="Times New Roman" w:cs="Times New Roman"/>
                      <w:color w:val="auto"/>
                      <w:spacing w:val="0"/>
                      <w:kern w:val="0"/>
                      <w:position w:val="0"/>
                      <w:sz w:val="21"/>
                      <w:szCs w:val="21"/>
                      <w:highlight w:val="none"/>
                      <w:lang w:val="en-US" w:eastAsia="zh-CN" w:bidi="ar"/>
                    </w:rPr>
                    <w:t>排风机</w:t>
                  </w:r>
                </w:p>
              </w:tc>
              <w:tc>
                <w:tcPr>
                  <w:tcW w:w="221" w:type="pct"/>
                  <w:noWrap w:val="0"/>
                  <w:vAlign w:val="center"/>
                </w:tcPr>
                <w:p w14:paraId="60051AE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w:t>
                  </w:r>
                </w:p>
              </w:tc>
              <w:tc>
                <w:tcPr>
                  <w:tcW w:w="345" w:type="pct"/>
                  <w:noWrap w:val="0"/>
                  <w:vAlign w:val="center"/>
                </w:tcPr>
                <w:p w14:paraId="26F600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85</w:t>
                  </w:r>
                </w:p>
              </w:tc>
              <w:tc>
                <w:tcPr>
                  <w:tcW w:w="321" w:type="pct"/>
                  <w:vMerge w:val="continue"/>
                  <w:noWrap w:val="0"/>
                  <w:vAlign w:val="center"/>
                </w:tcPr>
                <w:p w14:paraId="1572DC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8" w:type="pct"/>
                  <w:noWrap w:val="0"/>
                  <w:vAlign w:val="center"/>
                </w:tcPr>
                <w:p w14:paraId="5561E9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79</w:t>
                  </w:r>
                </w:p>
              </w:tc>
              <w:tc>
                <w:tcPr>
                  <w:tcW w:w="388" w:type="pct"/>
                  <w:noWrap w:val="0"/>
                  <w:vAlign w:val="center"/>
                </w:tcPr>
                <w:p w14:paraId="191093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56</w:t>
                  </w:r>
                </w:p>
              </w:tc>
              <w:tc>
                <w:tcPr>
                  <w:tcW w:w="300" w:type="pct"/>
                  <w:noWrap w:val="0"/>
                  <w:vAlign w:val="center"/>
                </w:tcPr>
                <w:p w14:paraId="5AB91C8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c>
                <w:tcPr>
                  <w:tcW w:w="334" w:type="pct"/>
                  <w:noWrap w:val="0"/>
                  <w:vAlign w:val="center"/>
                </w:tcPr>
                <w:p w14:paraId="57A2EA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w:t>
                  </w:r>
                </w:p>
              </w:tc>
              <w:tc>
                <w:tcPr>
                  <w:tcW w:w="310" w:type="pct"/>
                  <w:noWrap w:val="0"/>
                  <w:vAlign w:val="center"/>
                </w:tcPr>
                <w:p w14:paraId="2212CF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80</w:t>
                  </w:r>
                </w:p>
              </w:tc>
              <w:tc>
                <w:tcPr>
                  <w:tcW w:w="388" w:type="pct"/>
                  <w:vMerge w:val="continue"/>
                  <w:noWrap w:val="0"/>
                  <w:vAlign w:val="center"/>
                </w:tcPr>
                <w:p w14:paraId="612BF0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79" w:type="pct"/>
                  <w:noWrap w:val="0"/>
                  <w:vAlign w:val="center"/>
                </w:tcPr>
                <w:p w14:paraId="45F6C0B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c>
                <w:tcPr>
                  <w:tcW w:w="495" w:type="pct"/>
                  <w:shd w:val="clear" w:color="auto" w:fill="auto"/>
                  <w:noWrap w:val="0"/>
                  <w:vAlign w:val="center"/>
                </w:tcPr>
                <w:p w14:paraId="059D66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lang w:val="en-US" w:eastAsia="zh-CN"/>
                    </w:rPr>
                    <w:t>60</w:t>
                  </w:r>
                </w:p>
              </w:tc>
              <w:tc>
                <w:tcPr>
                  <w:tcW w:w="273" w:type="pct"/>
                  <w:noWrap w:val="0"/>
                  <w:vAlign w:val="center"/>
                </w:tcPr>
                <w:p w14:paraId="59C622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r>
            <w:tr w14:paraId="349376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30" w:type="pct"/>
                  <w:vMerge w:val="continue"/>
                  <w:noWrap w:val="0"/>
                  <w:vAlign w:val="center"/>
                </w:tcPr>
                <w:p w14:paraId="226D144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581" w:type="pct"/>
                  <w:noWrap w:val="0"/>
                  <w:vAlign w:val="center"/>
                </w:tcPr>
                <w:p w14:paraId="7279FD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0"/>
                      <w:position w:val="0"/>
                      <w:sz w:val="21"/>
                      <w:szCs w:val="21"/>
                      <w:highlight w:val="none"/>
                      <w:lang w:val="en-US" w:eastAsia="zh-CN" w:bidi="ar"/>
                    </w:rPr>
                  </w:pPr>
                  <w:r>
                    <w:rPr>
                      <w:rFonts w:hint="default" w:ascii="Times New Roman" w:hAnsi="Times New Roman" w:cs="Times New Roman"/>
                      <w:color w:val="auto"/>
                      <w:spacing w:val="0"/>
                      <w:kern w:val="0"/>
                      <w:position w:val="0"/>
                      <w:sz w:val="21"/>
                      <w:szCs w:val="21"/>
                      <w:highlight w:val="none"/>
                      <w:lang w:val="en-US" w:eastAsia="zh-CN" w:bidi="ar"/>
                    </w:rPr>
                    <w:t>水泵</w:t>
                  </w:r>
                </w:p>
              </w:tc>
              <w:tc>
                <w:tcPr>
                  <w:tcW w:w="221" w:type="pct"/>
                  <w:noWrap w:val="0"/>
                  <w:vAlign w:val="center"/>
                </w:tcPr>
                <w:p w14:paraId="59D8BE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w:t>
                  </w:r>
                </w:p>
              </w:tc>
              <w:tc>
                <w:tcPr>
                  <w:tcW w:w="345" w:type="pct"/>
                  <w:noWrap w:val="0"/>
                  <w:vAlign w:val="center"/>
                </w:tcPr>
                <w:p w14:paraId="19C9B1E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85</w:t>
                  </w:r>
                </w:p>
              </w:tc>
              <w:tc>
                <w:tcPr>
                  <w:tcW w:w="321" w:type="pct"/>
                  <w:vMerge w:val="continue"/>
                  <w:noWrap w:val="0"/>
                  <w:vAlign w:val="center"/>
                </w:tcPr>
                <w:p w14:paraId="2040FA0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8" w:type="pct"/>
                  <w:noWrap w:val="0"/>
                  <w:vAlign w:val="center"/>
                </w:tcPr>
                <w:p w14:paraId="7447FC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62</w:t>
                  </w:r>
                </w:p>
              </w:tc>
              <w:tc>
                <w:tcPr>
                  <w:tcW w:w="388" w:type="pct"/>
                  <w:noWrap w:val="0"/>
                  <w:vAlign w:val="center"/>
                </w:tcPr>
                <w:p w14:paraId="259696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51</w:t>
                  </w:r>
                </w:p>
              </w:tc>
              <w:tc>
                <w:tcPr>
                  <w:tcW w:w="300" w:type="pct"/>
                  <w:noWrap w:val="0"/>
                  <w:vAlign w:val="center"/>
                </w:tcPr>
                <w:p w14:paraId="5AEA85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c>
                <w:tcPr>
                  <w:tcW w:w="334" w:type="pct"/>
                  <w:noWrap w:val="0"/>
                  <w:vAlign w:val="center"/>
                </w:tcPr>
                <w:p w14:paraId="7911639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w:t>
                  </w:r>
                </w:p>
              </w:tc>
              <w:tc>
                <w:tcPr>
                  <w:tcW w:w="310" w:type="pct"/>
                  <w:noWrap w:val="0"/>
                  <w:vAlign w:val="center"/>
                </w:tcPr>
                <w:p w14:paraId="62E1F3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80</w:t>
                  </w:r>
                </w:p>
              </w:tc>
              <w:tc>
                <w:tcPr>
                  <w:tcW w:w="388" w:type="pct"/>
                  <w:vMerge w:val="continue"/>
                  <w:noWrap w:val="0"/>
                  <w:vAlign w:val="center"/>
                </w:tcPr>
                <w:p w14:paraId="212D818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79" w:type="pct"/>
                  <w:noWrap w:val="0"/>
                  <w:vAlign w:val="center"/>
                </w:tcPr>
                <w:p w14:paraId="3B72E1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c>
                <w:tcPr>
                  <w:tcW w:w="495" w:type="pct"/>
                  <w:shd w:val="clear" w:color="auto" w:fill="auto"/>
                  <w:noWrap w:val="0"/>
                  <w:vAlign w:val="center"/>
                </w:tcPr>
                <w:p w14:paraId="0F1C4FA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lang w:val="en-US" w:eastAsia="zh-CN"/>
                    </w:rPr>
                    <w:t>60</w:t>
                  </w:r>
                </w:p>
              </w:tc>
              <w:tc>
                <w:tcPr>
                  <w:tcW w:w="273" w:type="pct"/>
                  <w:noWrap w:val="0"/>
                  <w:vAlign w:val="center"/>
                </w:tcPr>
                <w:p w14:paraId="5E51FB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r>
            <w:tr w14:paraId="6B7393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30" w:type="pct"/>
                  <w:vMerge w:val="restart"/>
                  <w:noWrap w:val="0"/>
                  <w:vAlign w:val="center"/>
                </w:tcPr>
                <w:p w14:paraId="58D96A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污水处理站</w:t>
                  </w:r>
                </w:p>
              </w:tc>
              <w:tc>
                <w:tcPr>
                  <w:tcW w:w="581" w:type="pct"/>
                  <w:vMerge w:val="restart"/>
                  <w:noWrap w:val="0"/>
                  <w:vAlign w:val="center"/>
                </w:tcPr>
                <w:p w14:paraId="569255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kern w:val="0"/>
                      <w:position w:val="0"/>
                      <w:sz w:val="21"/>
                      <w:szCs w:val="21"/>
                      <w:highlight w:val="none"/>
                      <w:lang w:bidi="ar"/>
                    </w:rPr>
                    <w:t>污水提升泵</w:t>
                  </w:r>
                </w:p>
              </w:tc>
              <w:tc>
                <w:tcPr>
                  <w:tcW w:w="221" w:type="pct"/>
                  <w:noWrap w:val="0"/>
                  <w:vAlign w:val="center"/>
                </w:tcPr>
                <w:p w14:paraId="7E70FAF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w:t>
                  </w:r>
                </w:p>
              </w:tc>
              <w:tc>
                <w:tcPr>
                  <w:tcW w:w="345" w:type="pct"/>
                  <w:noWrap w:val="0"/>
                  <w:vAlign w:val="center"/>
                </w:tcPr>
                <w:p w14:paraId="3447677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85</w:t>
                  </w:r>
                </w:p>
              </w:tc>
              <w:tc>
                <w:tcPr>
                  <w:tcW w:w="321" w:type="pct"/>
                  <w:vMerge w:val="continue"/>
                  <w:noWrap w:val="0"/>
                  <w:vAlign w:val="center"/>
                </w:tcPr>
                <w:p w14:paraId="2786D19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8" w:type="pct"/>
                  <w:noWrap w:val="0"/>
                  <w:vAlign w:val="center"/>
                </w:tcPr>
                <w:p w14:paraId="40851B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101</w:t>
                  </w:r>
                </w:p>
              </w:tc>
              <w:tc>
                <w:tcPr>
                  <w:tcW w:w="388" w:type="pct"/>
                  <w:noWrap w:val="0"/>
                  <w:vAlign w:val="center"/>
                </w:tcPr>
                <w:p w14:paraId="3021FD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75</w:t>
                  </w:r>
                </w:p>
              </w:tc>
              <w:tc>
                <w:tcPr>
                  <w:tcW w:w="300" w:type="pct"/>
                  <w:noWrap w:val="0"/>
                  <w:vAlign w:val="center"/>
                </w:tcPr>
                <w:p w14:paraId="791781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c>
                <w:tcPr>
                  <w:tcW w:w="334" w:type="pct"/>
                  <w:noWrap w:val="0"/>
                  <w:vAlign w:val="center"/>
                </w:tcPr>
                <w:p w14:paraId="37692D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4</w:t>
                  </w:r>
                </w:p>
              </w:tc>
              <w:tc>
                <w:tcPr>
                  <w:tcW w:w="310" w:type="pct"/>
                  <w:noWrap w:val="0"/>
                  <w:vAlign w:val="center"/>
                </w:tcPr>
                <w:p w14:paraId="28ACFA8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80</w:t>
                  </w:r>
                </w:p>
              </w:tc>
              <w:tc>
                <w:tcPr>
                  <w:tcW w:w="388" w:type="pct"/>
                  <w:vMerge w:val="continue"/>
                  <w:noWrap w:val="0"/>
                  <w:vAlign w:val="center"/>
                </w:tcPr>
                <w:p w14:paraId="33A746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79" w:type="pct"/>
                  <w:noWrap w:val="0"/>
                  <w:vAlign w:val="center"/>
                </w:tcPr>
                <w:p w14:paraId="4707EF0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c>
                <w:tcPr>
                  <w:tcW w:w="495" w:type="pct"/>
                  <w:shd w:val="clear" w:color="auto" w:fill="auto"/>
                  <w:noWrap w:val="0"/>
                  <w:vAlign w:val="center"/>
                </w:tcPr>
                <w:p w14:paraId="0399DB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lang w:val="en-US" w:eastAsia="zh-CN"/>
                    </w:rPr>
                    <w:t>60</w:t>
                  </w:r>
                </w:p>
              </w:tc>
              <w:tc>
                <w:tcPr>
                  <w:tcW w:w="273" w:type="pct"/>
                  <w:noWrap w:val="0"/>
                  <w:vAlign w:val="center"/>
                </w:tcPr>
                <w:p w14:paraId="3DF8A30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1</w:t>
                  </w:r>
                </w:p>
              </w:tc>
            </w:tr>
            <w:tr w14:paraId="1C78B7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30" w:type="pct"/>
                  <w:vMerge w:val="continue"/>
                  <w:noWrap w:val="0"/>
                  <w:vAlign w:val="center"/>
                </w:tcPr>
                <w:p w14:paraId="6C84EC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581" w:type="pct"/>
                  <w:vMerge w:val="continue"/>
                  <w:noWrap w:val="0"/>
                  <w:vAlign w:val="center"/>
                </w:tcPr>
                <w:p w14:paraId="3324D2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221" w:type="pct"/>
                  <w:noWrap w:val="0"/>
                  <w:vAlign w:val="center"/>
                </w:tcPr>
                <w:p w14:paraId="2B6B569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w:t>
                  </w:r>
                </w:p>
              </w:tc>
              <w:tc>
                <w:tcPr>
                  <w:tcW w:w="345" w:type="pct"/>
                  <w:noWrap w:val="0"/>
                  <w:vAlign w:val="center"/>
                </w:tcPr>
                <w:p w14:paraId="3A086CE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85</w:t>
                  </w:r>
                </w:p>
              </w:tc>
              <w:tc>
                <w:tcPr>
                  <w:tcW w:w="321" w:type="pct"/>
                  <w:vMerge w:val="continue"/>
                  <w:noWrap w:val="0"/>
                  <w:vAlign w:val="center"/>
                </w:tcPr>
                <w:p w14:paraId="37E1C7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8" w:type="pct"/>
                  <w:noWrap w:val="0"/>
                  <w:vAlign w:val="center"/>
                </w:tcPr>
                <w:p w14:paraId="595BA7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97</w:t>
                  </w:r>
                </w:p>
              </w:tc>
              <w:tc>
                <w:tcPr>
                  <w:tcW w:w="388" w:type="pct"/>
                  <w:noWrap w:val="0"/>
                  <w:vAlign w:val="center"/>
                </w:tcPr>
                <w:p w14:paraId="287A27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73</w:t>
                  </w:r>
                </w:p>
              </w:tc>
              <w:tc>
                <w:tcPr>
                  <w:tcW w:w="300" w:type="pct"/>
                  <w:noWrap w:val="0"/>
                  <w:vAlign w:val="center"/>
                </w:tcPr>
                <w:p w14:paraId="434C934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c>
                <w:tcPr>
                  <w:tcW w:w="334" w:type="pct"/>
                  <w:noWrap w:val="0"/>
                  <w:vAlign w:val="center"/>
                </w:tcPr>
                <w:p w14:paraId="53F5CD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4</w:t>
                  </w:r>
                </w:p>
              </w:tc>
              <w:tc>
                <w:tcPr>
                  <w:tcW w:w="310" w:type="pct"/>
                  <w:noWrap w:val="0"/>
                  <w:vAlign w:val="center"/>
                </w:tcPr>
                <w:p w14:paraId="6519A0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80</w:t>
                  </w:r>
                </w:p>
              </w:tc>
              <w:tc>
                <w:tcPr>
                  <w:tcW w:w="388" w:type="pct"/>
                  <w:vMerge w:val="continue"/>
                  <w:noWrap w:val="0"/>
                  <w:vAlign w:val="center"/>
                </w:tcPr>
                <w:p w14:paraId="104AF15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79" w:type="pct"/>
                  <w:noWrap w:val="0"/>
                  <w:vAlign w:val="center"/>
                </w:tcPr>
                <w:p w14:paraId="538C74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c>
                <w:tcPr>
                  <w:tcW w:w="495" w:type="pct"/>
                  <w:noWrap w:val="0"/>
                  <w:vAlign w:val="center"/>
                </w:tcPr>
                <w:p w14:paraId="3CB24A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60</w:t>
                  </w:r>
                </w:p>
              </w:tc>
              <w:tc>
                <w:tcPr>
                  <w:tcW w:w="273" w:type="pct"/>
                  <w:noWrap w:val="0"/>
                  <w:vAlign w:val="center"/>
                </w:tcPr>
                <w:p w14:paraId="79E29E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1</w:t>
                  </w:r>
                </w:p>
              </w:tc>
            </w:tr>
            <w:tr w14:paraId="5AE95C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7" w:hRule="atLeast"/>
                <w:jc w:val="center"/>
              </w:trPr>
              <w:tc>
                <w:tcPr>
                  <w:tcW w:w="330" w:type="pct"/>
                  <w:vMerge w:val="continue"/>
                  <w:noWrap w:val="0"/>
                  <w:vAlign w:val="center"/>
                </w:tcPr>
                <w:p w14:paraId="69DE9ED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581" w:type="pct"/>
                  <w:noWrap w:val="0"/>
                  <w:vAlign w:val="center"/>
                </w:tcPr>
                <w:p w14:paraId="688204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kern w:val="0"/>
                      <w:position w:val="0"/>
                      <w:sz w:val="21"/>
                      <w:szCs w:val="21"/>
                      <w:highlight w:val="none"/>
                      <w:lang w:bidi="ar"/>
                    </w:rPr>
                    <w:t>风机</w:t>
                  </w:r>
                </w:p>
              </w:tc>
              <w:tc>
                <w:tcPr>
                  <w:tcW w:w="221" w:type="pct"/>
                  <w:noWrap w:val="0"/>
                  <w:vAlign w:val="center"/>
                </w:tcPr>
                <w:p w14:paraId="2A9FB0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w:t>
                  </w:r>
                </w:p>
              </w:tc>
              <w:tc>
                <w:tcPr>
                  <w:tcW w:w="345" w:type="pct"/>
                  <w:noWrap w:val="0"/>
                  <w:vAlign w:val="center"/>
                </w:tcPr>
                <w:p w14:paraId="1ED00AE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85</w:t>
                  </w:r>
                </w:p>
              </w:tc>
              <w:tc>
                <w:tcPr>
                  <w:tcW w:w="321" w:type="pct"/>
                  <w:vMerge w:val="continue"/>
                  <w:noWrap w:val="0"/>
                  <w:vAlign w:val="center"/>
                </w:tcPr>
                <w:p w14:paraId="36B3900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28" w:type="pct"/>
                  <w:noWrap w:val="0"/>
                  <w:vAlign w:val="center"/>
                </w:tcPr>
                <w:p w14:paraId="348BAD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106</w:t>
                  </w:r>
                </w:p>
              </w:tc>
              <w:tc>
                <w:tcPr>
                  <w:tcW w:w="388" w:type="pct"/>
                  <w:noWrap w:val="0"/>
                  <w:vAlign w:val="center"/>
                </w:tcPr>
                <w:p w14:paraId="4A3D29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77</w:t>
                  </w:r>
                </w:p>
              </w:tc>
              <w:tc>
                <w:tcPr>
                  <w:tcW w:w="300" w:type="pct"/>
                  <w:noWrap w:val="0"/>
                  <w:vAlign w:val="center"/>
                </w:tcPr>
                <w:p w14:paraId="0A083F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w:t>
                  </w:r>
                </w:p>
              </w:tc>
              <w:tc>
                <w:tcPr>
                  <w:tcW w:w="334" w:type="pct"/>
                  <w:noWrap w:val="0"/>
                  <w:vAlign w:val="center"/>
                </w:tcPr>
                <w:p w14:paraId="5680EC5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4</w:t>
                  </w:r>
                </w:p>
              </w:tc>
              <w:tc>
                <w:tcPr>
                  <w:tcW w:w="310" w:type="pct"/>
                  <w:noWrap w:val="0"/>
                  <w:vAlign w:val="center"/>
                </w:tcPr>
                <w:p w14:paraId="355C6D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80</w:t>
                  </w:r>
                </w:p>
              </w:tc>
              <w:tc>
                <w:tcPr>
                  <w:tcW w:w="388" w:type="pct"/>
                  <w:vMerge w:val="continue"/>
                  <w:noWrap w:val="0"/>
                  <w:vAlign w:val="center"/>
                </w:tcPr>
                <w:p w14:paraId="59B6B16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p>
              </w:tc>
              <w:tc>
                <w:tcPr>
                  <w:tcW w:w="379" w:type="pct"/>
                  <w:noWrap w:val="0"/>
                  <w:vAlign w:val="center"/>
                </w:tcPr>
                <w:p w14:paraId="0981FD5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c>
                <w:tcPr>
                  <w:tcW w:w="495" w:type="pct"/>
                  <w:noWrap w:val="0"/>
                  <w:vAlign w:val="center"/>
                </w:tcPr>
                <w:p w14:paraId="309D41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60</w:t>
                  </w:r>
                </w:p>
              </w:tc>
              <w:tc>
                <w:tcPr>
                  <w:tcW w:w="273" w:type="pct"/>
                  <w:noWrap w:val="0"/>
                  <w:vAlign w:val="center"/>
                </w:tcPr>
                <w:p w14:paraId="4318D4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1</w:t>
                  </w:r>
                </w:p>
              </w:tc>
            </w:tr>
            <w:tr w14:paraId="0248AB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5000" w:type="pct"/>
                  <w:gridSpan w:val="14"/>
                  <w:noWrap w:val="0"/>
                  <w:vAlign w:val="center"/>
                </w:tcPr>
                <w:p w14:paraId="094F68BF">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rPr>
                    <w:t>注：以本项目</w:t>
                  </w:r>
                  <w:r>
                    <w:rPr>
                      <w:rFonts w:hint="default" w:ascii="Times New Roman" w:hAnsi="Times New Roman" w:cs="Times New Roman"/>
                      <w:color w:val="auto"/>
                      <w:spacing w:val="0"/>
                      <w:position w:val="0"/>
                      <w:sz w:val="21"/>
                      <w:szCs w:val="21"/>
                      <w:highlight w:val="none"/>
                      <w:lang w:val="en-US" w:eastAsia="zh-CN"/>
                    </w:rPr>
                    <w:t>厂界</w:t>
                  </w:r>
                  <w:r>
                    <w:rPr>
                      <w:rFonts w:hint="default" w:ascii="Times New Roman" w:hAnsi="Times New Roman" w:cs="Times New Roman"/>
                      <w:color w:val="auto"/>
                      <w:spacing w:val="0"/>
                      <w:position w:val="0"/>
                      <w:sz w:val="21"/>
                      <w:szCs w:val="21"/>
                      <w:highlight w:val="none"/>
                    </w:rPr>
                    <w:t>西南角地面为起点，坐标为（0，0，0）。</w:t>
                  </w:r>
                </w:p>
              </w:tc>
            </w:tr>
          </w:tbl>
          <w:p w14:paraId="3B2FE211">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2、降噪措施</w:t>
            </w:r>
          </w:p>
          <w:p w14:paraId="3CADAB12">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为避免以上噪声对项目周边区域造成环境影响，建设单位应采取以下措施进行噪声控制：</w:t>
            </w:r>
          </w:p>
          <w:p w14:paraId="1A20CBB9">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（1）在满足生产工艺要求的前提下，应选用先进的低噪设备，以从声源上降低设备本身噪声；</w:t>
            </w:r>
          </w:p>
          <w:p w14:paraId="69561F1B">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（2）设备应按要求进行安装，做好动平衡，采用独立基座，减少振动的发生；</w:t>
            </w:r>
          </w:p>
          <w:p w14:paraId="7A2A4471">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（3）风机采用软性连接，基础减振等措施，根据实际产噪情况加装</w:t>
            </w:r>
            <w:r>
              <w:rPr>
                <w:rFonts w:hint="default" w:ascii="Times New Roman" w:hAnsi="Times New Roman" w:cs="Times New Roman"/>
                <w:color w:val="auto"/>
                <w:spacing w:val="0"/>
                <w:position w:val="0"/>
                <w:sz w:val="24"/>
                <w:szCs w:val="24"/>
                <w:highlight w:val="none"/>
                <w:lang w:eastAsia="zh-CN"/>
              </w:rPr>
              <w:t>消声器</w:t>
            </w:r>
            <w:r>
              <w:rPr>
                <w:rFonts w:hint="default" w:ascii="Times New Roman" w:hAnsi="Times New Roman" w:eastAsia="宋体" w:cs="Times New Roman"/>
                <w:color w:val="auto"/>
                <w:spacing w:val="0"/>
                <w:position w:val="0"/>
                <w:sz w:val="24"/>
                <w:szCs w:val="24"/>
                <w:highlight w:val="none"/>
              </w:rPr>
              <w:t>；</w:t>
            </w:r>
          </w:p>
          <w:p w14:paraId="56A8BC59">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（4）应做好生产设备的维修和保养工作，确保其处于良好的工作状态，适当设置吸声材料及隔声措施从而降低噪声的产生；</w:t>
            </w:r>
          </w:p>
          <w:p w14:paraId="64A8EC1A">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3、噪声环境影响分析结论</w:t>
            </w:r>
          </w:p>
          <w:p w14:paraId="7D4850EA">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本</w:t>
            </w:r>
            <w:r>
              <w:rPr>
                <w:rFonts w:hint="default" w:ascii="Times New Roman" w:hAnsi="Times New Roman" w:eastAsia="宋体" w:cs="Times New Roman"/>
                <w:color w:val="auto"/>
                <w:spacing w:val="0"/>
                <w:position w:val="0"/>
                <w:sz w:val="24"/>
                <w:szCs w:val="24"/>
                <w:highlight w:val="none"/>
              </w:rPr>
              <w:t>项目主要噪声源对厂界噪声贡献值预测计算结果汇总见下表</w:t>
            </w:r>
            <w:r>
              <w:rPr>
                <w:rFonts w:hint="default" w:ascii="Times New Roman" w:hAnsi="Times New Roman" w:cs="Times New Roman"/>
                <w:color w:val="auto"/>
                <w:spacing w:val="0"/>
                <w:position w:val="0"/>
                <w:sz w:val="24"/>
                <w:szCs w:val="24"/>
                <w:highlight w:val="none"/>
                <w:lang w:eastAsia="zh-CN"/>
              </w:rPr>
              <w:t>。</w:t>
            </w:r>
          </w:p>
          <w:p w14:paraId="10DA1EB9">
            <w:pPr>
              <w:pStyle w:val="10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
                <w:bCs/>
                <w:color w:val="auto"/>
                <w:spacing w:val="0"/>
                <w:position w:val="0"/>
                <w:sz w:val="24"/>
                <w:szCs w:val="24"/>
                <w:highlight w:val="none"/>
                <w:lang w:val="en-US" w:eastAsia="zh-CN"/>
              </w:rPr>
            </w:pPr>
            <w:r>
              <w:rPr>
                <w:rFonts w:hint="default" w:ascii="Times New Roman" w:hAnsi="Times New Roman" w:eastAsia="宋体" w:cs="Times New Roman"/>
                <w:b/>
                <w:bCs/>
                <w:color w:val="auto"/>
                <w:spacing w:val="0"/>
                <w:position w:val="0"/>
                <w:sz w:val="24"/>
                <w:szCs w:val="24"/>
                <w:highlight w:val="none"/>
                <w:lang w:val="en-US" w:eastAsia="zh-CN"/>
              </w:rPr>
              <w:t>表4-13 噪声预测结果表  单位：dB（A）</w:t>
            </w:r>
          </w:p>
          <w:tbl>
            <w:tblPr>
              <w:tblStyle w:val="29"/>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85" w:type="dxa"/>
                <w:bottom w:w="0" w:type="dxa"/>
                <w:right w:w="85" w:type="dxa"/>
              </w:tblCellMar>
            </w:tblPr>
            <w:tblGrid>
              <w:gridCol w:w="623"/>
              <w:gridCol w:w="1590"/>
              <w:gridCol w:w="1014"/>
              <w:gridCol w:w="1014"/>
              <w:gridCol w:w="1014"/>
              <w:gridCol w:w="1014"/>
              <w:gridCol w:w="1014"/>
              <w:gridCol w:w="1064"/>
            </w:tblGrid>
            <w:tr w14:paraId="04C484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23" w:hRule="atLeast"/>
                <w:tblHeader/>
                <w:jc w:val="center"/>
              </w:trPr>
              <w:tc>
                <w:tcPr>
                  <w:tcW w:w="373" w:type="pct"/>
                  <w:vMerge w:val="restart"/>
                  <w:tcBorders>
                    <w:tl2br w:val="nil"/>
                    <w:tr2bl w:val="nil"/>
                  </w:tcBorders>
                  <w:vAlign w:val="center"/>
                </w:tcPr>
                <w:p w14:paraId="5E010BB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编号</w:t>
                  </w:r>
                </w:p>
              </w:tc>
              <w:tc>
                <w:tcPr>
                  <w:tcW w:w="952" w:type="pct"/>
                  <w:vMerge w:val="restart"/>
                  <w:tcBorders>
                    <w:tl2br w:val="nil"/>
                    <w:tr2bl w:val="nil"/>
                  </w:tcBorders>
                  <w:vAlign w:val="center"/>
                </w:tcPr>
                <w:p w14:paraId="69BA5B9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预测点名称</w:t>
                  </w:r>
                </w:p>
              </w:tc>
              <w:tc>
                <w:tcPr>
                  <w:tcW w:w="1822" w:type="pct"/>
                  <w:gridSpan w:val="3"/>
                  <w:tcBorders>
                    <w:tl2br w:val="nil"/>
                    <w:tr2bl w:val="nil"/>
                  </w:tcBorders>
                  <w:vAlign w:val="center"/>
                </w:tcPr>
                <w:p w14:paraId="725C02D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位置</w:t>
                  </w:r>
                </w:p>
              </w:tc>
              <w:tc>
                <w:tcPr>
                  <w:tcW w:w="1214" w:type="pct"/>
                  <w:gridSpan w:val="2"/>
                  <w:tcBorders>
                    <w:tl2br w:val="nil"/>
                    <w:tr2bl w:val="nil"/>
                  </w:tcBorders>
                  <w:vAlign w:val="center"/>
                </w:tcPr>
                <w:p w14:paraId="58815E4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cs="Times New Roman"/>
                      <w:color w:val="auto"/>
                      <w:spacing w:val="0"/>
                      <w:position w:val="0"/>
                      <w:sz w:val="21"/>
                      <w:szCs w:val="21"/>
                      <w:highlight w:val="none"/>
                      <w:vertAlign w:val="baseline"/>
                      <w:lang w:val="en-US" w:eastAsia="zh-CN"/>
                    </w:rPr>
                    <w:t>贡献值</w:t>
                  </w:r>
                </w:p>
              </w:tc>
              <w:tc>
                <w:tcPr>
                  <w:tcW w:w="637" w:type="pct"/>
                  <w:vMerge w:val="restart"/>
                  <w:tcBorders>
                    <w:tl2br w:val="nil"/>
                    <w:tr2bl w:val="nil"/>
                  </w:tcBorders>
                  <w:vAlign w:val="center"/>
                </w:tcPr>
                <w:p w14:paraId="2D812EC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执行标准</w:t>
                  </w:r>
                </w:p>
              </w:tc>
            </w:tr>
            <w:tr w14:paraId="349899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23" w:hRule="atLeast"/>
                <w:tblHeader/>
                <w:jc w:val="center"/>
              </w:trPr>
              <w:tc>
                <w:tcPr>
                  <w:tcW w:w="373" w:type="pct"/>
                  <w:vMerge w:val="continue"/>
                  <w:tcBorders>
                    <w:tl2br w:val="nil"/>
                    <w:tr2bl w:val="nil"/>
                  </w:tcBorders>
                  <w:vAlign w:val="center"/>
                </w:tcPr>
                <w:p w14:paraId="1EB746E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p>
              </w:tc>
              <w:tc>
                <w:tcPr>
                  <w:tcW w:w="952" w:type="pct"/>
                  <w:vMerge w:val="continue"/>
                  <w:tcBorders>
                    <w:tl2br w:val="nil"/>
                    <w:tr2bl w:val="nil"/>
                  </w:tcBorders>
                  <w:vAlign w:val="center"/>
                </w:tcPr>
                <w:p w14:paraId="403EB14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p>
              </w:tc>
              <w:tc>
                <w:tcPr>
                  <w:tcW w:w="607" w:type="pct"/>
                  <w:tcBorders>
                    <w:tl2br w:val="nil"/>
                    <w:tr2bl w:val="nil"/>
                  </w:tcBorders>
                  <w:vAlign w:val="center"/>
                </w:tcPr>
                <w:p w14:paraId="13FF378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X</w:t>
                  </w:r>
                </w:p>
              </w:tc>
              <w:tc>
                <w:tcPr>
                  <w:tcW w:w="607" w:type="pct"/>
                  <w:tcBorders>
                    <w:tl2br w:val="nil"/>
                    <w:tr2bl w:val="nil"/>
                  </w:tcBorders>
                  <w:vAlign w:val="center"/>
                </w:tcPr>
                <w:p w14:paraId="623605D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Y</w:t>
                  </w:r>
                </w:p>
              </w:tc>
              <w:tc>
                <w:tcPr>
                  <w:tcW w:w="607" w:type="pct"/>
                  <w:tcBorders>
                    <w:tl2br w:val="nil"/>
                    <w:tr2bl w:val="nil"/>
                  </w:tcBorders>
                  <w:shd w:val="clear" w:color="auto" w:fill="auto"/>
                  <w:vAlign w:val="center"/>
                </w:tcPr>
                <w:p w14:paraId="46F9DCA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Z</w:t>
                  </w:r>
                </w:p>
              </w:tc>
              <w:tc>
                <w:tcPr>
                  <w:tcW w:w="607" w:type="pct"/>
                  <w:tcBorders>
                    <w:tl2br w:val="nil"/>
                    <w:tr2bl w:val="nil"/>
                  </w:tcBorders>
                  <w:shd w:val="clear" w:color="auto" w:fill="auto"/>
                  <w:vAlign w:val="center"/>
                </w:tcPr>
                <w:p w14:paraId="5741B45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position w:val="0"/>
                      <w:sz w:val="21"/>
                      <w:szCs w:val="21"/>
                      <w:highlight w:val="none"/>
                      <w:vertAlign w:val="baseline"/>
                      <w:lang w:val="en-US" w:eastAsia="zh-CN"/>
                    </w:rPr>
                    <w:t>昼间</w:t>
                  </w:r>
                </w:p>
              </w:tc>
              <w:tc>
                <w:tcPr>
                  <w:tcW w:w="607" w:type="pct"/>
                  <w:tcBorders>
                    <w:tl2br w:val="nil"/>
                    <w:tr2bl w:val="nil"/>
                  </w:tcBorders>
                  <w:shd w:val="clear" w:color="auto" w:fill="auto"/>
                  <w:vAlign w:val="center"/>
                </w:tcPr>
                <w:p w14:paraId="5522A2E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position w:val="0"/>
                      <w:sz w:val="21"/>
                      <w:szCs w:val="21"/>
                      <w:highlight w:val="none"/>
                      <w:vertAlign w:val="baseline"/>
                      <w:lang w:val="en-US" w:eastAsia="zh-CN"/>
                    </w:rPr>
                    <w:t>夜间</w:t>
                  </w:r>
                </w:p>
              </w:tc>
              <w:tc>
                <w:tcPr>
                  <w:tcW w:w="637" w:type="pct"/>
                  <w:vMerge w:val="continue"/>
                  <w:tcBorders>
                    <w:tl2br w:val="nil"/>
                    <w:tr2bl w:val="nil"/>
                  </w:tcBorders>
                  <w:vAlign w:val="center"/>
                </w:tcPr>
                <w:p w14:paraId="6A1041F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p>
              </w:tc>
            </w:tr>
            <w:tr w14:paraId="45442A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23" w:hRule="atLeast"/>
                <w:jc w:val="center"/>
              </w:trPr>
              <w:tc>
                <w:tcPr>
                  <w:tcW w:w="373" w:type="pct"/>
                  <w:tcBorders>
                    <w:tl2br w:val="nil"/>
                    <w:tr2bl w:val="nil"/>
                  </w:tcBorders>
                  <w:vAlign w:val="center"/>
                </w:tcPr>
                <w:p w14:paraId="3574E9B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1</w:t>
                  </w:r>
                </w:p>
              </w:tc>
              <w:tc>
                <w:tcPr>
                  <w:tcW w:w="952" w:type="pct"/>
                  <w:tcBorders>
                    <w:tl2br w:val="nil"/>
                    <w:tr2bl w:val="nil"/>
                  </w:tcBorders>
                  <w:vAlign w:val="center"/>
                </w:tcPr>
                <w:p w14:paraId="4A94D4A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厂区东侧</w:t>
                  </w:r>
                </w:p>
              </w:tc>
              <w:tc>
                <w:tcPr>
                  <w:tcW w:w="607" w:type="pct"/>
                  <w:tcBorders>
                    <w:tl2br w:val="nil"/>
                    <w:tr2bl w:val="nil"/>
                  </w:tcBorders>
                  <w:vAlign w:val="center"/>
                </w:tcPr>
                <w:p w14:paraId="074152F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230.10</w:t>
                  </w:r>
                </w:p>
              </w:tc>
              <w:tc>
                <w:tcPr>
                  <w:tcW w:w="607" w:type="pct"/>
                  <w:tcBorders>
                    <w:tl2br w:val="nil"/>
                    <w:tr2bl w:val="nil"/>
                  </w:tcBorders>
                  <w:vAlign w:val="center"/>
                </w:tcPr>
                <w:p w14:paraId="4BF1384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143.54</w:t>
                  </w:r>
                </w:p>
              </w:tc>
              <w:tc>
                <w:tcPr>
                  <w:tcW w:w="607" w:type="pct"/>
                  <w:tcBorders>
                    <w:tl2br w:val="nil"/>
                    <w:tr2bl w:val="nil"/>
                  </w:tcBorders>
                  <w:shd w:val="clear" w:color="auto" w:fill="auto"/>
                  <w:vAlign w:val="center"/>
                </w:tcPr>
                <w:p w14:paraId="0F1ACDF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1.2</w:t>
                  </w:r>
                </w:p>
              </w:tc>
              <w:tc>
                <w:tcPr>
                  <w:tcW w:w="607" w:type="pct"/>
                  <w:tcBorders>
                    <w:tl2br w:val="nil"/>
                    <w:tr2bl w:val="nil"/>
                  </w:tcBorders>
                  <w:shd w:val="clear" w:color="auto" w:fill="auto"/>
                  <w:vAlign w:val="center"/>
                </w:tcPr>
                <w:p w14:paraId="5812BA3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12.16</w:t>
                  </w:r>
                </w:p>
              </w:tc>
              <w:tc>
                <w:tcPr>
                  <w:tcW w:w="607" w:type="pct"/>
                  <w:tcBorders>
                    <w:tl2br w:val="nil"/>
                    <w:tr2bl w:val="nil"/>
                  </w:tcBorders>
                  <w:shd w:val="clear" w:color="auto" w:fill="auto"/>
                  <w:vAlign w:val="center"/>
                </w:tcPr>
                <w:p w14:paraId="0C9EB55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position w:val="0"/>
                      <w:sz w:val="21"/>
                      <w:szCs w:val="21"/>
                      <w:highlight w:val="none"/>
                      <w:vertAlign w:val="baseline"/>
                      <w:lang w:val="en-US" w:eastAsia="zh-CN"/>
                    </w:rPr>
                    <w:t>12.16</w:t>
                  </w:r>
                </w:p>
              </w:tc>
              <w:tc>
                <w:tcPr>
                  <w:tcW w:w="637" w:type="pct"/>
                  <w:vMerge w:val="restart"/>
                  <w:tcBorders>
                    <w:tl2br w:val="nil"/>
                    <w:tr2bl w:val="nil"/>
                  </w:tcBorders>
                  <w:vAlign w:val="center"/>
                </w:tcPr>
                <w:p w14:paraId="586946A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昼间≤6</w:t>
                  </w:r>
                  <w:r>
                    <w:rPr>
                      <w:rFonts w:hint="default" w:ascii="Times New Roman" w:hAnsi="Times New Roman" w:cs="Times New Roman"/>
                      <w:color w:val="auto"/>
                      <w:spacing w:val="0"/>
                      <w:position w:val="0"/>
                      <w:sz w:val="21"/>
                      <w:szCs w:val="21"/>
                      <w:highlight w:val="none"/>
                      <w:vertAlign w:val="baseline"/>
                      <w:lang w:val="en-US" w:eastAsia="zh-CN"/>
                    </w:rPr>
                    <w:t>5</w:t>
                  </w:r>
                </w:p>
                <w:p w14:paraId="39403EA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夜间≤5</w:t>
                  </w:r>
                  <w:r>
                    <w:rPr>
                      <w:rFonts w:hint="default" w:ascii="Times New Roman" w:hAnsi="Times New Roman" w:cs="Times New Roman"/>
                      <w:color w:val="auto"/>
                      <w:spacing w:val="0"/>
                      <w:position w:val="0"/>
                      <w:sz w:val="21"/>
                      <w:szCs w:val="21"/>
                      <w:highlight w:val="none"/>
                      <w:vertAlign w:val="baseline"/>
                      <w:lang w:val="en-US" w:eastAsia="zh-CN"/>
                    </w:rPr>
                    <w:t>5</w:t>
                  </w:r>
                </w:p>
              </w:tc>
            </w:tr>
            <w:tr w14:paraId="085890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23" w:hRule="atLeast"/>
                <w:jc w:val="center"/>
              </w:trPr>
              <w:tc>
                <w:tcPr>
                  <w:tcW w:w="373" w:type="pct"/>
                  <w:tcBorders>
                    <w:tl2br w:val="nil"/>
                    <w:tr2bl w:val="nil"/>
                  </w:tcBorders>
                  <w:vAlign w:val="center"/>
                </w:tcPr>
                <w:p w14:paraId="34FB3DB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2</w:t>
                  </w:r>
                </w:p>
              </w:tc>
              <w:tc>
                <w:tcPr>
                  <w:tcW w:w="952" w:type="pct"/>
                  <w:tcBorders>
                    <w:tl2br w:val="nil"/>
                    <w:tr2bl w:val="nil"/>
                  </w:tcBorders>
                  <w:vAlign w:val="center"/>
                </w:tcPr>
                <w:p w14:paraId="7E52D41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厂区北侧</w:t>
                  </w:r>
                </w:p>
              </w:tc>
              <w:tc>
                <w:tcPr>
                  <w:tcW w:w="607" w:type="pct"/>
                  <w:tcBorders>
                    <w:tl2br w:val="nil"/>
                    <w:tr2bl w:val="nil"/>
                  </w:tcBorders>
                  <w:vAlign w:val="center"/>
                </w:tcPr>
                <w:p w14:paraId="135CC21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70.13</w:t>
                  </w:r>
                </w:p>
              </w:tc>
              <w:tc>
                <w:tcPr>
                  <w:tcW w:w="607" w:type="pct"/>
                  <w:tcBorders>
                    <w:tl2br w:val="nil"/>
                    <w:tr2bl w:val="nil"/>
                  </w:tcBorders>
                  <w:vAlign w:val="center"/>
                </w:tcPr>
                <w:p w14:paraId="22C91D6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24.88</w:t>
                  </w:r>
                </w:p>
              </w:tc>
              <w:tc>
                <w:tcPr>
                  <w:tcW w:w="607" w:type="pct"/>
                  <w:tcBorders>
                    <w:tl2br w:val="nil"/>
                    <w:tr2bl w:val="nil"/>
                  </w:tcBorders>
                  <w:shd w:val="clear" w:color="auto" w:fill="auto"/>
                  <w:vAlign w:val="center"/>
                </w:tcPr>
                <w:p w14:paraId="17F2E63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1.2</w:t>
                  </w:r>
                </w:p>
              </w:tc>
              <w:tc>
                <w:tcPr>
                  <w:tcW w:w="607" w:type="pct"/>
                  <w:tcBorders>
                    <w:tl2br w:val="nil"/>
                    <w:tr2bl w:val="nil"/>
                  </w:tcBorders>
                  <w:shd w:val="clear" w:color="auto" w:fill="auto"/>
                  <w:vAlign w:val="center"/>
                </w:tcPr>
                <w:p w14:paraId="694C0C1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26.94</w:t>
                  </w:r>
                </w:p>
              </w:tc>
              <w:tc>
                <w:tcPr>
                  <w:tcW w:w="607" w:type="pct"/>
                  <w:tcBorders>
                    <w:tl2br w:val="nil"/>
                    <w:tr2bl w:val="nil"/>
                  </w:tcBorders>
                  <w:shd w:val="clear" w:color="auto" w:fill="auto"/>
                  <w:vAlign w:val="center"/>
                </w:tcPr>
                <w:p w14:paraId="1999F20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position w:val="0"/>
                      <w:sz w:val="21"/>
                      <w:szCs w:val="21"/>
                      <w:highlight w:val="none"/>
                      <w:vertAlign w:val="baseline"/>
                      <w:lang w:val="en-US" w:eastAsia="zh-CN"/>
                    </w:rPr>
                    <w:t>26.94</w:t>
                  </w:r>
                </w:p>
              </w:tc>
              <w:tc>
                <w:tcPr>
                  <w:tcW w:w="637" w:type="pct"/>
                  <w:vMerge w:val="continue"/>
                  <w:tcBorders>
                    <w:tl2br w:val="nil"/>
                    <w:tr2bl w:val="nil"/>
                  </w:tcBorders>
                  <w:vAlign w:val="center"/>
                </w:tcPr>
                <w:p w14:paraId="45F93E7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zh-CN" w:eastAsia="zh-CN"/>
                    </w:rPr>
                  </w:pPr>
                </w:p>
              </w:tc>
            </w:tr>
            <w:tr w14:paraId="1439F5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23" w:hRule="atLeast"/>
                <w:jc w:val="center"/>
              </w:trPr>
              <w:tc>
                <w:tcPr>
                  <w:tcW w:w="373" w:type="pct"/>
                  <w:tcBorders>
                    <w:tl2br w:val="nil"/>
                    <w:tr2bl w:val="nil"/>
                  </w:tcBorders>
                  <w:vAlign w:val="center"/>
                </w:tcPr>
                <w:p w14:paraId="224AB3E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3</w:t>
                  </w:r>
                </w:p>
              </w:tc>
              <w:tc>
                <w:tcPr>
                  <w:tcW w:w="952" w:type="pct"/>
                  <w:tcBorders>
                    <w:tl2br w:val="nil"/>
                    <w:tr2bl w:val="nil"/>
                  </w:tcBorders>
                  <w:vAlign w:val="center"/>
                </w:tcPr>
                <w:p w14:paraId="3EBD9ED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厂区西侧</w:t>
                  </w:r>
                </w:p>
              </w:tc>
              <w:tc>
                <w:tcPr>
                  <w:tcW w:w="607" w:type="pct"/>
                  <w:tcBorders>
                    <w:tl2br w:val="nil"/>
                    <w:tr2bl w:val="nil"/>
                  </w:tcBorders>
                  <w:vAlign w:val="center"/>
                </w:tcPr>
                <w:p w14:paraId="21E1F7C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-10.73</w:t>
                  </w:r>
                </w:p>
              </w:tc>
              <w:tc>
                <w:tcPr>
                  <w:tcW w:w="607" w:type="pct"/>
                  <w:tcBorders>
                    <w:tl2br w:val="nil"/>
                    <w:tr2bl w:val="nil"/>
                  </w:tcBorders>
                  <w:vAlign w:val="center"/>
                </w:tcPr>
                <w:p w14:paraId="312AC35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21.37</w:t>
                  </w:r>
                </w:p>
              </w:tc>
              <w:tc>
                <w:tcPr>
                  <w:tcW w:w="607" w:type="pct"/>
                  <w:tcBorders>
                    <w:tl2br w:val="nil"/>
                    <w:tr2bl w:val="nil"/>
                  </w:tcBorders>
                  <w:shd w:val="clear" w:color="auto" w:fill="auto"/>
                  <w:vAlign w:val="center"/>
                </w:tcPr>
                <w:p w14:paraId="549B2D6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1.2</w:t>
                  </w:r>
                </w:p>
              </w:tc>
              <w:tc>
                <w:tcPr>
                  <w:tcW w:w="607" w:type="pct"/>
                  <w:tcBorders>
                    <w:tl2br w:val="nil"/>
                    <w:tr2bl w:val="nil"/>
                  </w:tcBorders>
                  <w:shd w:val="clear" w:color="auto" w:fill="auto"/>
                  <w:vAlign w:val="center"/>
                </w:tcPr>
                <w:p w14:paraId="3212FBA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16.11</w:t>
                  </w:r>
                </w:p>
              </w:tc>
              <w:tc>
                <w:tcPr>
                  <w:tcW w:w="607" w:type="pct"/>
                  <w:tcBorders>
                    <w:tl2br w:val="nil"/>
                    <w:tr2bl w:val="nil"/>
                  </w:tcBorders>
                  <w:shd w:val="clear" w:color="auto" w:fill="auto"/>
                  <w:vAlign w:val="center"/>
                </w:tcPr>
                <w:p w14:paraId="3382E5F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position w:val="0"/>
                      <w:sz w:val="21"/>
                      <w:szCs w:val="21"/>
                      <w:highlight w:val="none"/>
                      <w:vertAlign w:val="baseline"/>
                      <w:lang w:val="en-US" w:eastAsia="zh-CN"/>
                    </w:rPr>
                    <w:t>16.11</w:t>
                  </w:r>
                </w:p>
              </w:tc>
              <w:tc>
                <w:tcPr>
                  <w:tcW w:w="637" w:type="pct"/>
                  <w:vMerge w:val="continue"/>
                  <w:tcBorders>
                    <w:tl2br w:val="nil"/>
                    <w:tr2bl w:val="nil"/>
                  </w:tcBorders>
                  <w:vAlign w:val="center"/>
                </w:tcPr>
                <w:p w14:paraId="7230F5C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zh-CN" w:eastAsia="zh-CN"/>
                    </w:rPr>
                  </w:pPr>
                </w:p>
              </w:tc>
            </w:tr>
            <w:tr w14:paraId="1680E6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23" w:hRule="atLeast"/>
                <w:jc w:val="center"/>
              </w:trPr>
              <w:tc>
                <w:tcPr>
                  <w:tcW w:w="373" w:type="pct"/>
                  <w:tcBorders>
                    <w:tl2br w:val="nil"/>
                    <w:tr2bl w:val="nil"/>
                  </w:tcBorders>
                  <w:vAlign w:val="center"/>
                </w:tcPr>
                <w:p w14:paraId="762F26A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4</w:t>
                  </w:r>
                </w:p>
              </w:tc>
              <w:tc>
                <w:tcPr>
                  <w:tcW w:w="952" w:type="pct"/>
                  <w:tcBorders>
                    <w:tl2br w:val="nil"/>
                    <w:tr2bl w:val="nil"/>
                  </w:tcBorders>
                  <w:vAlign w:val="center"/>
                </w:tcPr>
                <w:p w14:paraId="6AD4BBA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厂区南侧</w:t>
                  </w:r>
                </w:p>
              </w:tc>
              <w:tc>
                <w:tcPr>
                  <w:tcW w:w="607" w:type="pct"/>
                  <w:tcBorders>
                    <w:tl2br w:val="nil"/>
                    <w:tr2bl w:val="nil"/>
                  </w:tcBorders>
                  <w:vAlign w:val="center"/>
                </w:tcPr>
                <w:p w14:paraId="6F28313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38.49</w:t>
                  </w:r>
                </w:p>
              </w:tc>
              <w:tc>
                <w:tcPr>
                  <w:tcW w:w="607" w:type="pct"/>
                  <w:tcBorders>
                    <w:tl2br w:val="nil"/>
                    <w:tr2bl w:val="nil"/>
                  </w:tcBorders>
                  <w:vAlign w:val="center"/>
                </w:tcPr>
                <w:p w14:paraId="10D5F42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205.07</w:t>
                  </w:r>
                </w:p>
              </w:tc>
              <w:tc>
                <w:tcPr>
                  <w:tcW w:w="607" w:type="pct"/>
                  <w:tcBorders>
                    <w:tl2br w:val="nil"/>
                    <w:tr2bl w:val="nil"/>
                  </w:tcBorders>
                  <w:shd w:val="clear" w:color="auto" w:fill="auto"/>
                  <w:vAlign w:val="center"/>
                </w:tcPr>
                <w:p w14:paraId="60E915F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1.2</w:t>
                  </w:r>
                </w:p>
              </w:tc>
              <w:tc>
                <w:tcPr>
                  <w:tcW w:w="607" w:type="pct"/>
                  <w:tcBorders>
                    <w:tl2br w:val="nil"/>
                    <w:tr2bl w:val="nil"/>
                  </w:tcBorders>
                  <w:shd w:val="clear" w:color="auto" w:fill="auto"/>
                  <w:vAlign w:val="center"/>
                </w:tcPr>
                <w:p w14:paraId="54F8AEE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13.48</w:t>
                  </w:r>
                </w:p>
              </w:tc>
              <w:tc>
                <w:tcPr>
                  <w:tcW w:w="607" w:type="pct"/>
                  <w:tcBorders>
                    <w:tl2br w:val="nil"/>
                    <w:tr2bl w:val="nil"/>
                  </w:tcBorders>
                  <w:shd w:val="clear" w:color="auto" w:fill="auto"/>
                  <w:vAlign w:val="center"/>
                </w:tcPr>
                <w:p w14:paraId="080ADD1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position w:val="0"/>
                      <w:sz w:val="21"/>
                      <w:szCs w:val="21"/>
                      <w:highlight w:val="none"/>
                      <w:vertAlign w:val="baseline"/>
                      <w:lang w:val="en-US" w:eastAsia="zh-CN"/>
                    </w:rPr>
                    <w:t>13.48</w:t>
                  </w:r>
                </w:p>
              </w:tc>
              <w:tc>
                <w:tcPr>
                  <w:tcW w:w="637" w:type="pct"/>
                  <w:vMerge w:val="continue"/>
                  <w:tcBorders>
                    <w:tl2br w:val="nil"/>
                    <w:tr2bl w:val="nil"/>
                  </w:tcBorders>
                  <w:vAlign w:val="center"/>
                </w:tcPr>
                <w:p w14:paraId="1DA090A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position w:val="0"/>
                      <w:sz w:val="21"/>
                      <w:szCs w:val="21"/>
                      <w:highlight w:val="none"/>
                      <w:vertAlign w:val="baseline"/>
                      <w:lang w:val="en-US" w:eastAsia="zh-CN"/>
                    </w:rPr>
                  </w:pPr>
                </w:p>
              </w:tc>
            </w:tr>
          </w:tbl>
          <w:p w14:paraId="708CF2F1">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周边50m范围内无声环境保护目标。本工程采取的采用低噪声设备，安装减震垫减震，厂房隔声等措施，噪声污染防治措施落实后，厂界外1m处能够达到《工业企业厂界环境噪声排放标准》（GB12348-2008）3类标准，本项目运营期对周围声环境影响较小。</w:t>
            </w:r>
          </w:p>
          <w:p w14:paraId="1EFEE50D">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4、监测计划</w:t>
            </w:r>
          </w:p>
          <w:p w14:paraId="5FDB62BA">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本次环评根据</w:t>
            </w:r>
            <w:r>
              <w:rPr>
                <w:rFonts w:hint="default" w:ascii="Times New Roman" w:hAnsi="Times New Roman" w:eastAsia="宋体" w:cs="Times New Roman"/>
                <w:color w:val="auto"/>
                <w:spacing w:val="0"/>
                <w:position w:val="0"/>
                <w:sz w:val="24"/>
                <w:szCs w:val="32"/>
                <w:highlight w:val="none"/>
              </w:rPr>
              <w:t>《排污单位自行监测技术指南 农副食品加工业》（HJ986-2018）及</w:t>
            </w:r>
            <w:r>
              <w:rPr>
                <w:rFonts w:hint="default" w:ascii="Times New Roman" w:hAnsi="Times New Roman" w:eastAsia="宋体" w:cs="Times New Roman"/>
                <w:color w:val="auto"/>
                <w:spacing w:val="0"/>
                <w:position w:val="0"/>
                <w:sz w:val="24"/>
                <w:szCs w:val="24"/>
                <w:highlight w:val="none"/>
              </w:rPr>
              <w:t>《排污单位自行监测技术指南</w:t>
            </w:r>
            <w:r>
              <w:rPr>
                <w:rFonts w:hint="default" w:ascii="Times New Roman" w:hAnsi="Times New Roman" w:cs="Times New Roman"/>
                <w:color w:val="auto"/>
                <w:spacing w:val="0"/>
                <w:position w:val="0"/>
                <w:sz w:val="24"/>
                <w:szCs w:val="24"/>
                <w:highlight w:val="none"/>
                <w:lang w:val="en-US" w:eastAsia="zh-CN"/>
              </w:rPr>
              <w:t xml:space="preserve"> </w:t>
            </w:r>
            <w:r>
              <w:rPr>
                <w:rFonts w:hint="default" w:ascii="Times New Roman" w:hAnsi="Times New Roman" w:eastAsia="宋体" w:cs="Times New Roman"/>
                <w:color w:val="auto"/>
                <w:spacing w:val="0"/>
                <w:position w:val="0"/>
                <w:sz w:val="24"/>
                <w:szCs w:val="24"/>
                <w:highlight w:val="none"/>
              </w:rPr>
              <w:t>总则》（HJ819-2017）提出项目生产运行阶段的污染源监测计划，详见下表：</w:t>
            </w:r>
          </w:p>
          <w:p w14:paraId="2C8E0D9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bCs/>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表4-1</w:t>
            </w:r>
            <w:r>
              <w:rPr>
                <w:rFonts w:hint="default" w:ascii="Times New Roman" w:hAnsi="Times New Roman" w:cs="Times New Roman"/>
                <w:b/>
                <w:bCs/>
                <w:color w:val="auto"/>
                <w:spacing w:val="0"/>
                <w:position w:val="0"/>
                <w:sz w:val="24"/>
                <w:szCs w:val="24"/>
                <w:highlight w:val="none"/>
                <w:lang w:val="en-US" w:eastAsia="zh-CN"/>
              </w:rPr>
              <w:t>4</w:t>
            </w:r>
            <w:r>
              <w:rPr>
                <w:rFonts w:hint="default" w:ascii="Times New Roman" w:hAnsi="Times New Roman" w:eastAsia="宋体" w:cs="Times New Roman"/>
                <w:b/>
                <w:bCs/>
                <w:color w:val="auto"/>
                <w:spacing w:val="0"/>
                <w:position w:val="0"/>
                <w:sz w:val="24"/>
                <w:szCs w:val="24"/>
                <w:highlight w:val="none"/>
              </w:rPr>
              <w:t xml:space="preserve"> 噪声监测方案</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97"/>
              <w:gridCol w:w="1582"/>
              <w:gridCol w:w="1583"/>
              <w:gridCol w:w="3582"/>
            </w:tblGrid>
            <w:tr w14:paraId="19494C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956" w:type="pct"/>
                  <w:noWrap w:val="0"/>
                  <w:vAlign w:val="center"/>
                </w:tcPr>
                <w:p w14:paraId="393B3C88">
                  <w:pPr>
                    <w:keepNext w:val="0"/>
                    <w:keepLines w:val="0"/>
                    <w:pageBreakBefore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监测点位</w:t>
                  </w:r>
                </w:p>
              </w:tc>
              <w:tc>
                <w:tcPr>
                  <w:tcW w:w="947" w:type="pct"/>
                  <w:noWrap w:val="0"/>
                  <w:vAlign w:val="center"/>
                </w:tcPr>
                <w:p w14:paraId="6B5C8C6D">
                  <w:pPr>
                    <w:keepNext w:val="0"/>
                    <w:keepLines w:val="0"/>
                    <w:pageBreakBefore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监测指标</w:t>
                  </w:r>
                </w:p>
              </w:tc>
              <w:tc>
                <w:tcPr>
                  <w:tcW w:w="948" w:type="pct"/>
                  <w:noWrap w:val="0"/>
                  <w:vAlign w:val="center"/>
                </w:tcPr>
                <w:p w14:paraId="60A3A177">
                  <w:pPr>
                    <w:keepNext w:val="0"/>
                    <w:keepLines w:val="0"/>
                    <w:pageBreakBefore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监测频次</w:t>
                  </w:r>
                </w:p>
              </w:tc>
              <w:tc>
                <w:tcPr>
                  <w:tcW w:w="2146" w:type="pct"/>
                  <w:noWrap w:val="0"/>
                  <w:vAlign w:val="center"/>
                </w:tcPr>
                <w:p w14:paraId="180FAC13">
                  <w:pPr>
                    <w:keepNext w:val="0"/>
                    <w:keepLines w:val="0"/>
                    <w:pageBreakBefore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执行标准</w:t>
                  </w:r>
                </w:p>
              </w:tc>
            </w:tr>
            <w:tr w14:paraId="343E3D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956" w:type="pct"/>
                  <w:noWrap w:val="0"/>
                  <w:vAlign w:val="center"/>
                </w:tcPr>
                <w:p w14:paraId="739B3DB3">
                  <w:pPr>
                    <w:keepNext w:val="0"/>
                    <w:keepLines w:val="0"/>
                    <w:pageBreakBefore w:val="0"/>
                    <w:widowControl/>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厂界外1m处</w:t>
                  </w:r>
                </w:p>
              </w:tc>
              <w:tc>
                <w:tcPr>
                  <w:tcW w:w="947" w:type="pct"/>
                  <w:noWrap w:val="0"/>
                  <w:vAlign w:val="center"/>
                </w:tcPr>
                <w:p w14:paraId="5063D605">
                  <w:pPr>
                    <w:keepNext w:val="0"/>
                    <w:keepLines w:val="0"/>
                    <w:pageBreakBefore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厂界噪声</w:t>
                  </w:r>
                </w:p>
              </w:tc>
              <w:tc>
                <w:tcPr>
                  <w:tcW w:w="948" w:type="pct"/>
                  <w:noWrap w:val="0"/>
                  <w:vAlign w:val="center"/>
                </w:tcPr>
                <w:p w14:paraId="27191AA3">
                  <w:pPr>
                    <w:keepNext w:val="0"/>
                    <w:keepLines w:val="0"/>
                    <w:pageBreakBefore w:val="0"/>
                    <w:kinsoku/>
                    <w:wordWrap/>
                    <w:overflowPunct/>
                    <w:topLinePunct w:val="0"/>
                    <w:bidi w:val="0"/>
                    <w:adjustRightInd w:val="0"/>
                    <w:snapToGrid w:val="0"/>
                    <w:spacing w:beforeAutospacing="0" w:afterAutospacing="0"/>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1次/季度</w:t>
                  </w:r>
                </w:p>
              </w:tc>
              <w:tc>
                <w:tcPr>
                  <w:tcW w:w="2146" w:type="pct"/>
                  <w:noWrap w:val="0"/>
                  <w:vAlign w:val="center"/>
                </w:tcPr>
                <w:p w14:paraId="259DA925">
                  <w:pPr>
                    <w:pStyle w:val="73"/>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《工业企业厂界环境噪声排放标准》（GB12348-2008）中3类标准</w:t>
                  </w:r>
                </w:p>
              </w:tc>
            </w:tr>
          </w:tbl>
          <w:p w14:paraId="3B965AE5">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（四）固体废物</w:t>
            </w:r>
          </w:p>
          <w:p w14:paraId="38E5AAAA">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lang w:val="en-US" w:eastAsia="zh-CN"/>
              </w:rPr>
              <w:t>1、产生量</w:t>
            </w:r>
          </w:p>
          <w:p w14:paraId="20C94CA4">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本项目运营期固体废物主要为</w:t>
            </w:r>
            <w:r>
              <w:rPr>
                <w:rFonts w:hint="default" w:ascii="Times New Roman" w:hAnsi="Times New Roman" w:cs="Times New Roman"/>
                <w:color w:val="auto"/>
                <w:spacing w:val="0"/>
                <w:position w:val="0"/>
                <w:sz w:val="24"/>
                <w:szCs w:val="24"/>
                <w:highlight w:val="none"/>
                <w:lang w:val="en-US" w:eastAsia="zh-CN"/>
              </w:rPr>
              <w:t>生活垃圾、</w:t>
            </w:r>
            <w:r>
              <w:rPr>
                <w:rFonts w:hint="default" w:ascii="Times New Roman" w:hAnsi="Times New Roman" w:eastAsia="宋体" w:cs="Times New Roman"/>
                <w:color w:val="auto"/>
                <w:spacing w:val="0"/>
                <w:position w:val="0"/>
                <w:sz w:val="24"/>
                <w:szCs w:val="24"/>
                <w:highlight w:val="none"/>
              </w:rPr>
              <w:t>预处理车间清理杂质</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预处理车间收集粉尘、油角、脂肪酸、废白土、</w:t>
            </w:r>
            <w:r>
              <w:rPr>
                <w:rFonts w:hint="default" w:ascii="Times New Roman" w:hAnsi="Times New Roman" w:eastAsia="宋体" w:cs="Times New Roman"/>
                <w:color w:val="auto"/>
                <w:spacing w:val="0"/>
                <w:position w:val="0"/>
                <w:sz w:val="24"/>
                <w:szCs w:val="24"/>
                <w:highlight w:val="none"/>
                <w:lang w:eastAsia="zh-CN"/>
              </w:rPr>
              <w:t>锅炉炉渣</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锅炉</w:t>
            </w:r>
            <w:r>
              <w:rPr>
                <w:rFonts w:hint="default" w:ascii="Times New Roman" w:hAnsi="Times New Roman" w:eastAsia="宋体" w:cs="Times New Roman"/>
                <w:color w:val="auto"/>
                <w:spacing w:val="0"/>
                <w:position w:val="0"/>
                <w:sz w:val="24"/>
                <w:szCs w:val="24"/>
                <w:highlight w:val="none"/>
              </w:rPr>
              <w:t>除尘器</w:t>
            </w:r>
            <w:r>
              <w:rPr>
                <w:rFonts w:hint="default" w:ascii="Times New Roman" w:hAnsi="Times New Roman" w:cs="Times New Roman"/>
                <w:color w:val="auto"/>
                <w:spacing w:val="0"/>
                <w:position w:val="0"/>
                <w:sz w:val="24"/>
                <w:szCs w:val="24"/>
                <w:highlight w:val="none"/>
                <w:lang w:val="en-US" w:eastAsia="zh-CN"/>
              </w:rPr>
              <w:t>收集</w:t>
            </w:r>
            <w:r>
              <w:rPr>
                <w:rFonts w:hint="default" w:ascii="Times New Roman" w:hAnsi="Times New Roman" w:eastAsia="宋体" w:cs="Times New Roman"/>
                <w:color w:val="auto"/>
                <w:spacing w:val="0"/>
                <w:position w:val="0"/>
                <w:sz w:val="24"/>
                <w:szCs w:val="24"/>
                <w:highlight w:val="none"/>
              </w:rPr>
              <w:t>粉尘</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废离子交换树脂</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废布袋、污泥、废活性炭（污水处理站）、废活性炭（精炼车间）及废机油</w:t>
            </w:r>
            <w:r>
              <w:rPr>
                <w:rFonts w:hint="default" w:ascii="Times New Roman" w:hAnsi="Times New Roman" w:eastAsia="宋体" w:cs="Times New Roman"/>
                <w:color w:val="auto"/>
                <w:spacing w:val="0"/>
                <w:position w:val="0"/>
                <w:sz w:val="24"/>
                <w:szCs w:val="24"/>
                <w:highlight w:val="none"/>
              </w:rPr>
              <w:t>。</w:t>
            </w:r>
          </w:p>
          <w:p w14:paraId="2419BE99">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eastAsia="zh-CN"/>
              </w:rPr>
            </w:pPr>
            <w:r>
              <w:rPr>
                <w:rFonts w:hint="default" w:ascii="Times New Roman" w:hAnsi="Times New Roman" w:eastAsia="宋体" w:cs="Times New Roman"/>
                <w:color w:val="auto"/>
                <w:spacing w:val="0"/>
                <w:position w:val="0"/>
                <w:sz w:val="24"/>
                <w:szCs w:val="24"/>
                <w:highlight w:val="none"/>
              </w:rPr>
              <w:t>（1）</w:t>
            </w:r>
            <w:r>
              <w:rPr>
                <w:rFonts w:hint="default" w:ascii="Times New Roman" w:hAnsi="Times New Roman" w:cs="Times New Roman"/>
                <w:color w:val="auto"/>
                <w:spacing w:val="0"/>
                <w:position w:val="0"/>
                <w:sz w:val="24"/>
                <w:szCs w:val="24"/>
                <w:highlight w:val="none"/>
                <w:lang w:val="en-US" w:eastAsia="zh-CN"/>
              </w:rPr>
              <w:t>生活垃圾（</w:t>
            </w:r>
            <w:r>
              <w:rPr>
                <w:rFonts w:hint="default" w:ascii="Times New Roman" w:hAnsi="Times New Roman" w:eastAsia="宋体" w:cs="Times New Roman"/>
                <w:color w:val="auto"/>
                <w:spacing w:val="0"/>
                <w:position w:val="0"/>
                <w:sz w:val="24"/>
                <w:szCs w:val="24"/>
                <w:highlight w:val="none"/>
              </w:rPr>
              <w:t>900-099-S64</w:t>
            </w:r>
            <w:r>
              <w:rPr>
                <w:rFonts w:hint="default" w:ascii="Times New Roman" w:hAnsi="Times New Roman" w:cs="Times New Roman"/>
                <w:color w:val="auto"/>
                <w:spacing w:val="0"/>
                <w:position w:val="0"/>
                <w:sz w:val="24"/>
                <w:szCs w:val="24"/>
                <w:highlight w:val="none"/>
                <w:lang w:val="en-US" w:eastAsia="zh-CN"/>
              </w:rPr>
              <w:t>）</w:t>
            </w:r>
          </w:p>
          <w:p w14:paraId="4E09FDE8">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eastAsia="zh-CN"/>
              </w:rPr>
            </w:pPr>
            <w:r>
              <w:rPr>
                <w:rFonts w:hint="default" w:ascii="Times New Roman" w:hAnsi="Times New Roman" w:eastAsia="宋体" w:cs="Times New Roman"/>
                <w:color w:val="auto"/>
                <w:spacing w:val="0"/>
                <w:position w:val="0"/>
                <w:sz w:val="24"/>
                <w:szCs w:val="24"/>
                <w:highlight w:val="none"/>
              </w:rPr>
              <w:t>生活垃圾按0.5kg/人·d计算，项目员工20人，年工作3</w:t>
            </w:r>
            <w:r>
              <w:rPr>
                <w:rFonts w:hint="default" w:ascii="Times New Roman" w:hAnsi="Times New Roman" w:cs="Times New Roman"/>
                <w:color w:val="auto"/>
                <w:spacing w:val="0"/>
                <w:position w:val="0"/>
                <w:sz w:val="24"/>
                <w:szCs w:val="24"/>
                <w:highlight w:val="none"/>
                <w:lang w:val="en-US" w:eastAsia="zh-CN"/>
              </w:rPr>
              <w:t>5</w:t>
            </w:r>
            <w:r>
              <w:rPr>
                <w:rFonts w:hint="default" w:ascii="Times New Roman" w:hAnsi="Times New Roman" w:eastAsia="宋体" w:cs="Times New Roman"/>
                <w:color w:val="auto"/>
                <w:spacing w:val="0"/>
                <w:position w:val="0"/>
                <w:sz w:val="24"/>
                <w:szCs w:val="24"/>
                <w:highlight w:val="none"/>
              </w:rPr>
              <w:t>0天，产生量为3.</w:t>
            </w:r>
            <w:r>
              <w:rPr>
                <w:rFonts w:hint="default" w:ascii="Times New Roman" w:hAnsi="Times New Roman" w:cs="Times New Roman"/>
                <w:color w:val="auto"/>
                <w:spacing w:val="0"/>
                <w:position w:val="0"/>
                <w:sz w:val="24"/>
                <w:szCs w:val="24"/>
                <w:highlight w:val="none"/>
                <w:lang w:val="en-US" w:eastAsia="zh-CN"/>
              </w:rPr>
              <w:t>5</w:t>
            </w:r>
            <w:r>
              <w:rPr>
                <w:rFonts w:hint="default" w:ascii="Times New Roman" w:hAnsi="Times New Roman" w:eastAsia="宋体" w:cs="Times New Roman"/>
                <w:color w:val="auto"/>
                <w:spacing w:val="0"/>
                <w:position w:val="0"/>
                <w:sz w:val="24"/>
                <w:szCs w:val="24"/>
                <w:highlight w:val="none"/>
              </w:rPr>
              <w:t>t/a，集中收集，</w:t>
            </w:r>
            <w:r>
              <w:rPr>
                <w:rFonts w:hint="default" w:ascii="Times New Roman" w:hAnsi="Times New Roman" w:cs="Times New Roman"/>
                <w:color w:val="auto"/>
                <w:spacing w:val="0"/>
                <w:position w:val="0"/>
                <w:sz w:val="24"/>
                <w:szCs w:val="24"/>
                <w:highlight w:val="none"/>
                <w:lang w:val="en-US" w:eastAsia="zh-CN"/>
              </w:rPr>
              <w:t>交由市政环卫部门处置</w:t>
            </w:r>
            <w:r>
              <w:rPr>
                <w:rFonts w:hint="default" w:ascii="Times New Roman" w:hAnsi="Times New Roman" w:eastAsia="宋体" w:cs="Times New Roman"/>
                <w:color w:val="auto"/>
                <w:spacing w:val="0"/>
                <w:position w:val="0"/>
                <w:sz w:val="24"/>
                <w:szCs w:val="24"/>
                <w:highlight w:val="none"/>
              </w:rPr>
              <w:t>。</w:t>
            </w:r>
          </w:p>
          <w:p w14:paraId="4F99A1A2">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（2）预处理车间</w:t>
            </w:r>
            <w:r>
              <w:rPr>
                <w:rFonts w:hint="default" w:ascii="Times New Roman" w:hAnsi="Times New Roman" w:cs="Times New Roman"/>
                <w:color w:val="auto"/>
                <w:spacing w:val="0"/>
                <w:position w:val="0"/>
                <w:sz w:val="24"/>
                <w:szCs w:val="24"/>
                <w:highlight w:val="none"/>
                <w:lang w:val="en-US" w:eastAsia="zh-CN"/>
              </w:rPr>
              <w:t>清理杂质（900-099-S59）</w:t>
            </w:r>
          </w:p>
          <w:p w14:paraId="753DBD96">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预处理工段将米糠</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lang w:val="en-US" w:eastAsia="zh-CN"/>
              </w:rPr>
              <w:t>大豆</w:t>
            </w:r>
            <w:r>
              <w:rPr>
                <w:rFonts w:hint="default" w:ascii="Times New Roman" w:hAnsi="Times New Roman" w:eastAsia="宋体" w:cs="Times New Roman"/>
                <w:color w:val="auto"/>
                <w:spacing w:val="0"/>
                <w:position w:val="0"/>
                <w:sz w:val="24"/>
                <w:szCs w:val="24"/>
                <w:highlight w:val="none"/>
              </w:rPr>
              <w:t>中杂质去除，主要为碎石及编织袋丝等，杂质产生量</w:t>
            </w:r>
            <w:r>
              <w:rPr>
                <w:rFonts w:hint="default" w:ascii="Times New Roman" w:hAnsi="Times New Roman" w:eastAsia="宋体" w:cs="Times New Roman"/>
                <w:color w:val="auto"/>
                <w:spacing w:val="0"/>
                <w:position w:val="0"/>
                <w:sz w:val="24"/>
                <w:szCs w:val="24"/>
                <w:highlight w:val="none"/>
                <w:lang w:val="en-US" w:eastAsia="zh-CN"/>
              </w:rPr>
              <w:t>65</w:t>
            </w:r>
            <w:r>
              <w:rPr>
                <w:rFonts w:hint="default" w:ascii="Times New Roman" w:hAnsi="Times New Roman" w:eastAsia="宋体" w:cs="Times New Roman"/>
                <w:color w:val="auto"/>
                <w:spacing w:val="0"/>
                <w:position w:val="0"/>
                <w:sz w:val="24"/>
                <w:szCs w:val="24"/>
                <w:highlight w:val="none"/>
              </w:rPr>
              <w:t>t/a，集中收集后定期清运</w:t>
            </w:r>
            <w:r>
              <w:rPr>
                <w:rFonts w:hint="default" w:ascii="Times New Roman" w:hAnsi="Times New Roman" w:eastAsia="宋体" w:cs="Times New Roman"/>
                <w:color w:val="auto"/>
                <w:spacing w:val="0"/>
                <w:position w:val="0"/>
                <w:sz w:val="24"/>
                <w:szCs w:val="24"/>
                <w:highlight w:val="none"/>
                <w:lang w:val="en-US" w:eastAsia="zh-CN"/>
              </w:rPr>
              <w:t>至</w:t>
            </w:r>
            <w:r>
              <w:rPr>
                <w:rFonts w:hint="default" w:ascii="Times New Roman" w:hAnsi="Times New Roman" w:eastAsia="宋体" w:cs="Times New Roman"/>
                <w:color w:val="auto"/>
                <w:spacing w:val="0"/>
                <w:position w:val="0"/>
                <w:sz w:val="24"/>
                <w:szCs w:val="24"/>
                <w:highlight w:val="none"/>
              </w:rPr>
              <w:t>市政主管部门指定地点</w:t>
            </w:r>
            <w:r>
              <w:rPr>
                <w:rFonts w:hint="default" w:ascii="Times New Roman" w:hAnsi="Times New Roman" w:eastAsia="宋体" w:cs="Times New Roman"/>
                <w:bCs/>
                <w:color w:val="auto"/>
                <w:spacing w:val="0"/>
                <w:position w:val="0"/>
                <w:sz w:val="24"/>
                <w:szCs w:val="24"/>
                <w:highlight w:val="none"/>
                <w:lang w:eastAsia="zh-CN"/>
              </w:rPr>
              <w:t>进行处置</w:t>
            </w:r>
            <w:r>
              <w:rPr>
                <w:rFonts w:hint="default" w:ascii="Times New Roman" w:hAnsi="Times New Roman" w:eastAsia="宋体" w:cs="Times New Roman"/>
                <w:color w:val="auto"/>
                <w:spacing w:val="0"/>
                <w:position w:val="0"/>
                <w:sz w:val="24"/>
                <w:szCs w:val="24"/>
                <w:highlight w:val="none"/>
              </w:rPr>
              <w:t>。</w:t>
            </w:r>
          </w:p>
          <w:p w14:paraId="68EC74A0">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eastAsia="zh-CN"/>
              </w:rPr>
            </w:pP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3</w:t>
            </w:r>
            <w:r>
              <w:rPr>
                <w:rFonts w:hint="default" w:ascii="Times New Roman" w:hAnsi="Times New Roman" w:cs="Times New Roman"/>
                <w:color w:val="auto"/>
                <w:spacing w:val="0"/>
                <w:position w:val="0"/>
                <w:sz w:val="24"/>
                <w:szCs w:val="24"/>
                <w:highlight w:val="none"/>
                <w:lang w:eastAsia="zh-CN"/>
              </w:rPr>
              <w:t>）预处理车间收集粉尘（900-099-S59）</w:t>
            </w:r>
          </w:p>
          <w:p w14:paraId="6A39D411">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根据工程分析，预处理车间收集的粉尘量为</w:t>
            </w:r>
            <w:r>
              <w:rPr>
                <w:rFonts w:hint="default" w:ascii="Times New Roman" w:hAnsi="Times New Roman" w:eastAsia="宋体" w:cs="Times New Roman"/>
                <w:color w:val="auto"/>
                <w:spacing w:val="0"/>
                <w:position w:val="0"/>
                <w:sz w:val="24"/>
                <w:szCs w:val="24"/>
                <w:highlight w:val="none"/>
                <w:lang w:val="en-US" w:eastAsia="zh-CN"/>
              </w:rPr>
              <w:t>22.77</w:t>
            </w:r>
            <w:r>
              <w:rPr>
                <w:rFonts w:hint="default" w:ascii="Times New Roman" w:hAnsi="Times New Roman" w:eastAsia="宋体" w:cs="Times New Roman"/>
                <w:color w:val="auto"/>
                <w:spacing w:val="0"/>
                <w:position w:val="0"/>
                <w:sz w:val="24"/>
                <w:szCs w:val="24"/>
                <w:highlight w:val="none"/>
              </w:rPr>
              <w:t>t/a，集中收集后定期清运至市政主管部门指定地点进行处置。</w:t>
            </w:r>
          </w:p>
          <w:p w14:paraId="241C1784">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4</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油角（133-002-S13）</w:t>
            </w:r>
          </w:p>
          <w:p w14:paraId="694F1A4F">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工艺过程中产生的油脚约为</w:t>
            </w:r>
            <w:r>
              <w:rPr>
                <w:rFonts w:hint="default" w:ascii="Times New Roman" w:hAnsi="Times New Roman" w:cs="Times New Roman"/>
                <w:color w:val="auto"/>
                <w:spacing w:val="0"/>
                <w:position w:val="0"/>
                <w:sz w:val="24"/>
                <w:szCs w:val="24"/>
                <w:highlight w:val="none"/>
                <w:lang w:val="en-US" w:eastAsia="zh-CN"/>
              </w:rPr>
              <w:t>72.18</w:t>
            </w:r>
            <w:r>
              <w:rPr>
                <w:rFonts w:hint="default" w:ascii="Times New Roman" w:hAnsi="Times New Roman" w:eastAsia="宋体" w:cs="Times New Roman"/>
                <w:color w:val="auto"/>
                <w:spacing w:val="0"/>
                <w:position w:val="0"/>
                <w:sz w:val="24"/>
                <w:szCs w:val="24"/>
                <w:highlight w:val="none"/>
              </w:rPr>
              <w:t>t/a，外售综合利用。</w:t>
            </w:r>
          </w:p>
          <w:p w14:paraId="6224F4F2">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5</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脂肪酸（900-099-S13）</w:t>
            </w:r>
          </w:p>
          <w:p w14:paraId="2EB58E92">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工艺过程中收集的脂肪酸约为17.82</w:t>
            </w:r>
            <w:r>
              <w:rPr>
                <w:rFonts w:hint="default" w:ascii="Times New Roman" w:hAnsi="Times New Roman" w:eastAsia="宋体" w:cs="Times New Roman"/>
                <w:color w:val="auto"/>
                <w:spacing w:val="0"/>
                <w:position w:val="0"/>
                <w:sz w:val="24"/>
                <w:szCs w:val="24"/>
                <w:highlight w:val="none"/>
              </w:rPr>
              <w:t>t/a，外售综合利用。</w:t>
            </w:r>
          </w:p>
          <w:p w14:paraId="3AF31129">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6</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废白土（133-001-S13）</w:t>
            </w:r>
          </w:p>
          <w:p w14:paraId="3D2F5B99">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项目脱色工序，过滤过程会产生废白土，植物油无法避免</w:t>
            </w:r>
            <w:r>
              <w:rPr>
                <w:rFonts w:hint="default" w:ascii="Times New Roman" w:hAnsi="Times New Roman" w:cs="Times New Roman"/>
                <w:color w:val="auto"/>
                <w:spacing w:val="0"/>
                <w:position w:val="0"/>
                <w:sz w:val="24"/>
                <w:szCs w:val="24"/>
                <w:highlight w:val="none"/>
                <w:lang w:eastAsia="zh-CN"/>
              </w:rPr>
              <w:t>地</w:t>
            </w:r>
            <w:r>
              <w:rPr>
                <w:rFonts w:hint="default" w:ascii="Times New Roman" w:hAnsi="Times New Roman" w:eastAsia="宋体" w:cs="Times New Roman"/>
                <w:color w:val="auto"/>
                <w:spacing w:val="0"/>
                <w:position w:val="0"/>
                <w:sz w:val="24"/>
                <w:szCs w:val="24"/>
                <w:highlight w:val="none"/>
              </w:rPr>
              <w:t>会附存在白土颗粒中，毛油损耗率约为2%，白土使用量为</w:t>
            </w:r>
            <w:r>
              <w:rPr>
                <w:rFonts w:hint="default" w:ascii="Times New Roman" w:hAnsi="Times New Roman" w:cs="Times New Roman"/>
                <w:color w:val="auto"/>
                <w:spacing w:val="0"/>
                <w:position w:val="0"/>
                <w:sz w:val="24"/>
                <w:szCs w:val="24"/>
                <w:highlight w:val="none"/>
                <w:lang w:val="en-US" w:eastAsia="zh-CN"/>
              </w:rPr>
              <w:t>135</w:t>
            </w:r>
            <w:r>
              <w:rPr>
                <w:rFonts w:hint="default" w:ascii="Times New Roman" w:hAnsi="Times New Roman" w:eastAsia="宋体" w:cs="Times New Roman"/>
                <w:color w:val="auto"/>
                <w:spacing w:val="0"/>
                <w:position w:val="0"/>
                <w:sz w:val="24"/>
                <w:szCs w:val="24"/>
                <w:highlight w:val="none"/>
              </w:rPr>
              <w:t>t/a，则废白土产生量为</w:t>
            </w:r>
            <w:r>
              <w:rPr>
                <w:rFonts w:hint="default" w:ascii="Times New Roman" w:hAnsi="Times New Roman" w:cs="Times New Roman"/>
                <w:color w:val="auto"/>
                <w:spacing w:val="0"/>
                <w:position w:val="0"/>
                <w:sz w:val="24"/>
                <w:szCs w:val="24"/>
                <w:highlight w:val="none"/>
                <w:lang w:val="en-US" w:eastAsia="zh-CN"/>
              </w:rPr>
              <w:t>225</w:t>
            </w:r>
            <w:r>
              <w:rPr>
                <w:rFonts w:hint="default" w:ascii="Times New Roman" w:hAnsi="Times New Roman" w:eastAsia="宋体" w:cs="Times New Roman"/>
                <w:color w:val="auto"/>
                <w:spacing w:val="0"/>
                <w:position w:val="0"/>
                <w:sz w:val="24"/>
                <w:szCs w:val="24"/>
                <w:highlight w:val="none"/>
              </w:rPr>
              <w:t>t/a，属于一般固体废物。废白土渣集中收集用密闭容器保存后存入废白土间，厂家回收处理。</w:t>
            </w:r>
          </w:p>
          <w:p w14:paraId="5F66575B">
            <w:pPr>
              <w:keepNext w:val="0"/>
              <w:keepLines w:val="0"/>
              <w:pageBreakBefore w:val="0"/>
              <w:widowControl w:val="0"/>
              <w:tabs>
                <w:tab w:val="left" w:pos="1291"/>
              </w:tabs>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rPr>
                <w:rFonts w:hint="default" w:ascii="Times New Roman" w:hAnsi="Times New Roman" w:cs="Times New Roman"/>
                <w:color w:val="auto"/>
                <w:spacing w:val="0"/>
                <w:position w:val="0"/>
                <w:sz w:val="24"/>
                <w:szCs w:val="24"/>
                <w:highlight w:val="none"/>
                <w:lang w:eastAsia="zh-CN"/>
              </w:rPr>
            </w:pP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7</w:t>
            </w:r>
            <w:r>
              <w:rPr>
                <w:rFonts w:hint="default" w:ascii="Times New Roman" w:hAnsi="Times New Roman" w:cs="Times New Roman"/>
                <w:color w:val="auto"/>
                <w:spacing w:val="0"/>
                <w:position w:val="0"/>
                <w:sz w:val="24"/>
                <w:szCs w:val="24"/>
                <w:highlight w:val="none"/>
                <w:lang w:eastAsia="zh-CN"/>
              </w:rPr>
              <w:t>）锅炉炉渣（900-099-S03）</w:t>
            </w:r>
          </w:p>
          <w:p w14:paraId="0E18579A">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cs="Times New Roman"/>
                <w:color w:val="auto"/>
                <w:spacing w:val="0"/>
                <w:kern w:val="0"/>
                <w:position w:val="0"/>
                <w:sz w:val="24"/>
                <w:highlight w:val="none"/>
              </w:rPr>
            </w:pPr>
            <w:r>
              <w:rPr>
                <w:rFonts w:hint="default" w:ascii="Times New Roman" w:hAnsi="Times New Roman" w:cs="Times New Roman"/>
                <w:color w:val="auto"/>
                <w:spacing w:val="0"/>
                <w:kern w:val="0"/>
                <w:position w:val="0"/>
                <w:sz w:val="24"/>
                <w:highlight w:val="none"/>
              </w:rPr>
              <w:t>根据《污染源源强核算技术指南锅炉》（HJ991-2018）中的规定，生物质锅炉灰渣产生量以下式进行计算：</w:t>
            </w:r>
          </w:p>
          <w:p w14:paraId="45C18B40">
            <w:pPr>
              <w:spacing w:line="240" w:lineRule="auto"/>
              <w:ind w:firstLine="482"/>
              <w:jc w:val="center"/>
              <w:rPr>
                <w:rFonts w:hint="default" w:ascii="Times New Roman" w:hAnsi="Times New Roman" w:cs="Times New Roman"/>
                <w:b/>
                <w:color w:val="auto"/>
                <w:spacing w:val="0"/>
                <w:position w:val="0"/>
                <w:sz w:val="24"/>
                <w:highlight w:val="none"/>
              </w:rPr>
            </w:pPr>
            <w:r>
              <w:rPr>
                <w:rFonts w:hint="default" w:ascii="Times New Roman" w:hAnsi="Times New Roman" w:cs="Times New Roman"/>
                <w:b/>
                <w:color w:val="auto"/>
                <w:spacing w:val="0"/>
                <w:position w:val="0"/>
                <w:sz w:val="24"/>
                <w:highlight w:val="none"/>
              </w:rPr>
              <w:object>
                <v:shape id="_x0000_i1030" o:spt="75" type="#_x0000_t75" style="height:37.5pt;width:149.25pt;" o:ole="t" filled="f" o:preferrelative="t" stroked="f" coordsize="21600,21600">
                  <v:path/>
                  <v:fill on="f" focussize="0,0"/>
                  <v:stroke on="f"/>
                  <v:imagedata r:id="rId38" o:title=""/>
                  <o:lock v:ext="edit" aspectratio="t"/>
                  <w10:wrap type="none"/>
                  <w10:anchorlock/>
                </v:shape>
                <o:OLEObject Type="Embed" ProgID="Equation.3" ShapeID="_x0000_i1030" DrawAspect="Content" ObjectID="_1468075730" r:id="rId37">
                  <o:LockedField>false</o:LockedField>
                </o:OLEObject>
              </w:object>
            </w:r>
          </w:p>
          <w:p w14:paraId="40C4E31B">
            <w:pPr>
              <w:keepNext w:val="0"/>
              <w:keepLines w:val="0"/>
              <w:pageBreakBefore w:val="0"/>
              <w:widowControl w:val="0"/>
              <w:kinsoku/>
              <w:wordWrap/>
              <w:overflowPunct/>
              <w:topLinePunct w:val="0"/>
              <w:autoSpaceDE/>
              <w:autoSpaceDN/>
              <w:bidi w:val="0"/>
              <w:adjustRightInd w:val="0"/>
              <w:snapToGrid w:val="0"/>
              <w:spacing w:line="520" w:lineRule="exact"/>
              <w:ind w:firstLine="460" w:firstLineChars="192"/>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rPr>
              <w:t>式中：</w:t>
            </w:r>
            <w:r>
              <w:rPr>
                <w:rFonts w:hint="default" w:ascii="Times New Roman" w:hAnsi="Times New Roman" w:cs="Times New Roman"/>
                <w:color w:val="auto"/>
                <w:spacing w:val="0"/>
                <w:position w:val="0"/>
                <w:sz w:val="24"/>
                <w:szCs w:val="24"/>
                <w:highlight w:val="none"/>
                <w:lang w:val="en-US" w:eastAsia="zh-CN"/>
              </w:rPr>
              <w:t>E</w:t>
            </w:r>
            <w:r>
              <w:rPr>
                <w:rFonts w:hint="default" w:ascii="Times New Roman" w:hAnsi="Times New Roman" w:cs="Times New Roman"/>
                <w:color w:val="auto"/>
                <w:spacing w:val="0"/>
                <w:position w:val="0"/>
                <w:sz w:val="24"/>
                <w:szCs w:val="24"/>
                <w:highlight w:val="none"/>
                <w:vertAlign w:val="subscript"/>
                <w:lang w:val="en-US" w:eastAsia="zh-CN"/>
              </w:rPr>
              <w:t>hz</w:t>
            </w:r>
            <w:r>
              <w:rPr>
                <w:rFonts w:hint="default" w:ascii="Times New Roman" w:hAnsi="Times New Roman" w:cs="Times New Roman"/>
                <w:color w:val="auto"/>
                <w:spacing w:val="0"/>
                <w:position w:val="0"/>
                <w:sz w:val="24"/>
                <w:szCs w:val="24"/>
                <w:highlight w:val="none"/>
              </w:rPr>
              <w:t>——核算时段内灰渣产生量；t</w:t>
            </w:r>
          </w:p>
          <w:p w14:paraId="23EDA9AB">
            <w:pPr>
              <w:keepNext w:val="0"/>
              <w:keepLines w:val="0"/>
              <w:pageBreakBefore w:val="0"/>
              <w:widowControl w:val="0"/>
              <w:kinsoku/>
              <w:wordWrap/>
              <w:overflowPunct/>
              <w:topLinePunct w:val="0"/>
              <w:autoSpaceDE/>
              <w:autoSpaceDN/>
              <w:bidi w:val="0"/>
              <w:adjustRightInd w:val="0"/>
              <w:snapToGrid w:val="0"/>
              <w:spacing w:line="520" w:lineRule="exact"/>
              <w:ind w:firstLine="1214" w:firstLineChars="506"/>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R</w:t>
            </w:r>
            <w:r>
              <w:rPr>
                <w:rFonts w:hint="default" w:ascii="Times New Roman" w:hAnsi="Times New Roman" w:cs="Times New Roman"/>
                <w:color w:val="auto"/>
                <w:spacing w:val="0"/>
                <w:position w:val="0"/>
                <w:sz w:val="24"/>
                <w:szCs w:val="24"/>
                <w:highlight w:val="none"/>
              </w:rPr>
              <w:t>——核算时段内，锅炉燃料消耗量，t（</w:t>
            </w:r>
            <w:r>
              <w:rPr>
                <w:rFonts w:hint="default" w:ascii="Times New Roman" w:hAnsi="Times New Roman" w:cs="Times New Roman"/>
                <w:color w:val="auto"/>
                <w:spacing w:val="0"/>
                <w:position w:val="0"/>
                <w:sz w:val="24"/>
                <w:szCs w:val="24"/>
                <w:highlight w:val="none"/>
                <w:lang w:val="en-US" w:eastAsia="zh-CN"/>
              </w:rPr>
              <w:t>26813</w:t>
            </w:r>
            <w:r>
              <w:rPr>
                <w:rFonts w:hint="default" w:ascii="Times New Roman" w:hAnsi="Times New Roman" w:cs="Times New Roman"/>
                <w:color w:val="auto"/>
                <w:spacing w:val="0"/>
                <w:position w:val="0"/>
                <w:sz w:val="24"/>
                <w:szCs w:val="24"/>
                <w:highlight w:val="none"/>
              </w:rPr>
              <w:t>t/a）</w:t>
            </w:r>
          </w:p>
          <w:p w14:paraId="33A5D13C">
            <w:pPr>
              <w:keepNext w:val="0"/>
              <w:keepLines w:val="0"/>
              <w:pageBreakBefore w:val="0"/>
              <w:widowControl w:val="0"/>
              <w:kinsoku/>
              <w:wordWrap/>
              <w:overflowPunct/>
              <w:topLinePunct w:val="0"/>
              <w:autoSpaceDE/>
              <w:autoSpaceDN/>
              <w:bidi w:val="0"/>
              <w:adjustRightInd w:val="0"/>
              <w:snapToGrid w:val="0"/>
              <w:spacing w:line="520" w:lineRule="exact"/>
              <w:ind w:firstLine="1262" w:firstLineChars="526"/>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A</w:t>
            </w:r>
            <w:r>
              <w:rPr>
                <w:rFonts w:hint="default" w:ascii="Times New Roman" w:hAnsi="Times New Roman" w:cs="Times New Roman"/>
                <w:color w:val="auto"/>
                <w:spacing w:val="0"/>
                <w:position w:val="0"/>
                <w:sz w:val="24"/>
                <w:szCs w:val="24"/>
                <w:highlight w:val="none"/>
                <w:vertAlign w:val="subscript"/>
                <w:lang w:val="en-US" w:eastAsia="zh-CN"/>
              </w:rPr>
              <w:t>ar</w:t>
            </w:r>
            <w:r>
              <w:rPr>
                <w:rFonts w:hint="default" w:ascii="Times New Roman" w:hAnsi="Times New Roman" w:cs="Times New Roman"/>
                <w:color w:val="auto"/>
                <w:spacing w:val="0"/>
                <w:position w:val="0"/>
                <w:sz w:val="24"/>
                <w:szCs w:val="24"/>
                <w:highlight w:val="none"/>
              </w:rPr>
              <w:t>——收到基灰分的质量分数，%（</w:t>
            </w:r>
            <w:r>
              <w:rPr>
                <w:rFonts w:hint="default" w:ascii="Times New Roman" w:hAnsi="Times New Roman" w:cs="Times New Roman"/>
                <w:color w:val="auto"/>
                <w:spacing w:val="0"/>
                <w:position w:val="0"/>
                <w:sz w:val="24"/>
                <w:szCs w:val="24"/>
                <w:highlight w:val="none"/>
                <w:lang w:val="en-US" w:eastAsia="zh-CN"/>
              </w:rPr>
              <w:t>12.96</w:t>
            </w:r>
            <w:r>
              <w:rPr>
                <w:rFonts w:hint="default" w:ascii="Times New Roman" w:hAnsi="Times New Roman" w:eastAsia="宋体" w:cs="Times New Roman"/>
                <w:color w:val="auto"/>
                <w:spacing w:val="0"/>
                <w:position w:val="0"/>
                <w:sz w:val="24"/>
                <w:szCs w:val="24"/>
                <w:highlight w:val="none"/>
              </w:rPr>
              <w:t>%</w:t>
            </w:r>
            <w:r>
              <w:rPr>
                <w:rFonts w:hint="default" w:ascii="Times New Roman" w:hAnsi="Times New Roman" w:cs="Times New Roman"/>
                <w:color w:val="auto"/>
                <w:spacing w:val="0"/>
                <w:position w:val="0"/>
                <w:sz w:val="24"/>
                <w:szCs w:val="24"/>
                <w:highlight w:val="none"/>
              </w:rPr>
              <w:t>）</w:t>
            </w:r>
          </w:p>
          <w:p w14:paraId="3DB29123">
            <w:pPr>
              <w:keepNext w:val="0"/>
              <w:keepLines w:val="0"/>
              <w:pageBreakBefore w:val="0"/>
              <w:widowControl w:val="0"/>
              <w:kinsoku/>
              <w:wordWrap/>
              <w:overflowPunct/>
              <w:topLinePunct w:val="0"/>
              <w:autoSpaceDE/>
              <w:autoSpaceDN/>
              <w:bidi w:val="0"/>
              <w:adjustRightInd w:val="0"/>
              <w:snapToGrid w:val="0"/>
              <w:spacing w:line="520" w:lineRule="exact"/>
              <w:ind w:firstLine="1214" w:firstLineChars="506"/>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q</w:t>
            </w:r>
            <w:r>
              <w:rPr>
                <w:rFonts w:hint="default" w:ascii="Times New Roman" w:hAnsi="Times New Roman" w:cs="Times New Roman"/>
                <w:color w:val="auto"/>
                <w:spacing w:val="0"/>
                <w:position w:val="0"/>
                <w:sz w:val="24"/>
                <w:szCs w:val="24"/>
                <w:highlight w:val="none"/>
                <w:vertAlign w:val="subscript"/>
                <w:lang w:val="en-US" w:eastAsia="zh-CN"/>
              </w:rPr>
              <w:t>4</w:t>
            </w:r>
            <w:r>
              <w:rPr>
                <w:rFonts w:hint="default" w:ascii="Times New Roman" w:hAnsi="Times New Roman" w:cs="Times New Roman"/>
                <w:color w:val="auto"/>
                <w:spacing w:val="0"/>
                <w:position w:val="0"/>
                <w:sz w:val="24"/>
                <w:szCs w:val="24"/>
                <w:highlight w:val="none"/>
              </w:rPr>
              <w:t>——锅炉机械不完全燃烧热损失，%（取1</w:t>
            </w:r>
            <w:r>
              <w:rPr>
                <w:rFonts w:hint="default" w:ascii="Times New Roman" w:hAnsi="Times New Roman" w:cs="Times New Roman"/>
                <w:color w:val="auto"/>
                <w:spacing w:val="0"/>
                <w:position w:val="0"/>
                <w:sz w:val="24"/>
                <w:szCs w:val="24"/>
                <w:highlight w:val="none"/>
                <w:lang w:val="en-US" w:eastAsia="zh-CN"/>
              </w:rPr>
              <w:t>0</w:t>
            </w:r>
            <w:r>
              <w:rPr>
                <w:rFonts w:hint="default" w:ascii="Times New Roman" w:hAnsi="Times New Roman" w:cs="Times New Roman"/>
                <w:color w:val="auto"/>
                <w:spacing w:val="0"/>
                <w:position w:val="0"/>
                <w:sz w:val="24"/>
                <w:szCs w:val="24"/>
                <w:highlight w:val="none"/>
              </w:rPr>
              <w:t>%）</w:t>
            </w:r>
          </w:p>
          <w:p w14:paraId="4AF68B02">
            <w:pPr>
              <w:keepNext w:val="0"/>
              <w:keepLines w:val="0"/>
              <w:pageBreakBefore w:val="0"/>
              <w:widowControl w:val="0"/>
              <w:kinsoku/>
              <w:wordWrap/>
              <w:overflowPunct/>
              <w:topLinePunct w:val="0"/>
              <w:autoSpaceDE/>
              <w:autoSpaceDN/>
              <w:bidi w:val="0"/>
              <w:adjustRightInd w:val="0"/>
              <w:snapToGrid w:val="0"/>
              <w:spacing w:line="520" w:lineRule="exact"/>
              <w:ind w:firstLine="1214" w:firstLineChars="506"/>
              <w:textAlignment w:val="auto"/>
              <w:rPr>
                <w:rFonts w:hint="default" w:ascii="Times New Roman" w:hAnsi="Times New Roman" w:cs="Times New Roman"/>
                <w:color w:val="auto"/>
                <w:spacing w:val="0"/>
                <w:position w:val="0"/>
                <w:sz w:val="24"/>
                <w:szCs w:val="24"/>
                <w:highlight w:val="none"/>
              </w:rPr>
            </w:pPr>
            <w:r>
              <w:rPr>
                <w:rFonts w:hint="default" w:ascii="Times New Roman" w:hAnsi="Times New Roman" w:cs="Times New Roman"/>
                <w:color w:val="auto"/>
                <w:spacing w:val="0"/>
                <w:position w:val="0"/>
                <w:sz w:val="24"/>
                <w:szCs w:val="24"/>
                <w:highlight w:val="none"/>
                <w:lang w:val="en-US" w:eastAsia="zh-CN"/>
              </w:rPr>
              <w:t>Q</w:t>
            </w:r>
            <w:r>
              <w:rPr>
                <w:rFonts w:hint="default" w:ascii="Times New Roman" w:hAnsi="Times New Roman" w:cs="Times New Roman"/>
                <w:color w:val="auto"/>
                <w:spacing w:val="0"/>
                <w:position w:val="0"/>
                <w:sz w:val="24"/>
                <w:szCs w:val="24"/>
                <w:highlight w:val="none"/>
                <w:vertAlign w:val="subscript"/>
                <w:lang w:val="en-US" w:eastAsia="zh-CN"/>
              </w:rPr>
              <w:t>net，ar</w:t>
            </w:r>
            <w:r>
              <w:rPr>
                <w:rFonts w:hint="default" w:ascii="Times New Roman" w:hAnsi="Times New Roman" w:cs="Times New Roman"/>
                <w:color w:val="auto"/>
                <w:spacing w:val="0"/>
                <w:position w:val="0"/>
                <w:sz w:val="24"/>
                <w:szCs w:val="24"/>
                <w:highlight w:val="none"/>
              </w:rPr>
              <w:t>——收到基低位发热量，kJ/kg（</w:t>
            </w:r>
            <w:r>
              <w:rPr>
                <w:rFonts w:hint="default" w:ascii="Times New Roman" w:hAnsi="Times New Roman" w:cs="Times New Roman"/>
                <w:caps w:val="0"/>
                <w:color w:val="auto"/>
                <w:spacing w:val="0"/>
                <w:position w:val="0"/>
                <w:sz w:val="24"/>
                <w:szCs w:val="24"/>
                <w:highlight w:val="none"/>
                <w:lang w:val="en-US" w:eastAsia="zh-CN"/>
              </w:rPr>
              <w:t>13865</w:t>
            </w:r>
            <w:r>
              <w:rPr>
                <w:rFonts w:hint="default" w:ascii="Times New Roman" w:hAnsi="Times New Roman" w:eastAsia="宋体" w:cs="Times New Roman"/>
                <w:caps w:val="0"/>
                <w:color w:val="auto"/>
                <w:spacing w:val="0"/>
                <w:position w:val="0"/>
                <w:sz w:val="24"/>
                <w:szCs w:val="24"/>
                <w:highlight w:val="none"/>
              </w:rPr>
              <w:t>KJ/kg</w:t>
            </w:r>
            <w:r>
              <w:rPr>
                <w:rFonts w:hint="default" w:ascii="Times New Roman" w:hAnsi="Times New Roman" w:cs="Times New Roman"/>
                <w:color w:val="auto"/>
                <w:spacing w:val="0"/>
                <w:position w:val="0"/>
                <w:sz w:val="24"/>
                <w:szCs w:val="24"/>
                <w:highlight w:val="none"/>
              </w:rPr>
              <w:t>）</w:t>
            </w:r>
          </w:p>
          <w:p w14:paraId="5B4AA240">
            <w:pPr>
              <w:keepNext w:val="0"/>
              <w:keepLines w:val="0"/>
              <w:pageBreakBefore w:val="0"/>
              <w:widowControl w:val="0"/>
              <w:tabs>
                <w:tab w:val="left" w:pos="1291"/>
              </w:tabs>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rPr>
                <w:rFonts w:hint="default" w:ascii="Times New Roman" w:hAnsi="Times New Roman" w:cs="Times New Roman"/>
                <w:color w:val="auto"/>
                <w:spacing w:val="0"/>
                <w:position w:val="0"/>
                <w:sz w:val="24"/>
                <w:szCs w:val="24"/>
                <w:highlight w:val="none"/>
                <w:lang w:eastAsia="zh-CN"/>
              </w:rPr>
            </w:pPr>
            <w:r>
              <w:rPr>
                <w:rFonts w:hint="default" w:ascii="Times New Roman" w:hAnsi="Times New Roman" w:cs="Times New Roman"/>
                <w:color w:val="auto"/>
                <w:spacing w:val="0"/>
                <w:kern w:val="0"/>
                <w:position w:val="0"/>
                <w:sz w:val="24"/>
                <w:szCs w:val="24"/>
                <w:highlight w:val="none"/>
              </w:rPr>
              <w:t>计算公式后最终求得本项目生物质锅炉灰和炉渣产生量为</w:t>
            </w:r>
            <w:r>
              <w:rPr>
                <w:rFonts w:hint="default" w:ascii="Times New Roman" w:hAnsi="Times New Roman" w:cs="Times New Roman"/>
                <w:color w:val="auto"/>
                <w:spacing w:val="0"/>
                <w:kern w:val="0"/>
                <w:position w:val="0"/>
                <w:sz w:val="24"/>
                <w:szCs w:val="24"/>
                <w:highlight w:val="none"/>
                <w:lang w:val="en-US" w:eastAsia="zh-CN"/>
              </w:rPr>
              <w:t>5776.052</w:t>
            </w:r>
            <w:r>
              <w:rPr>
                <w:rFonts w:hint="default" w:ascii="Times New Roman" w:hAnsi="Times New Roman" w:cs="Times New Roman"/>
                <w:color w:val="auto"/>
                <w:spacing w:val="0"/>
                <w:kern w:val="0"/>
                <w:position w:val="0"/>
                <w:sz w:val="24"/>
                <w:szCs w:val="24"/>
                <w:highlight w:val="none"/>
              </w:rPr>
              <w:t>t/a，</w:t>
            </w:r>
            <w:r>
              <w:rPr>
                <w:rFonts w:hint="default" w:ascii="Times New Roman" w:hAnsi="Times New Roman" w:cs="Times New Roman"/>
                <w:color w:val="auto"/>
                <w:spacing w:val="0"/>
                <w:kern w:val="0"/>
                <w:position w:val="0"/>
                <w:sz w:val="24"/>
                <w:szCs w:val="24"/>
                <w:highlight w:val="none"/>
                <w:lang w:val="en-US" w:eastAsia="zh-CN"/>
              </w:rPr>
              <w:t>根据工程分析，</w:t>
            </w:r>
            <w:r>
              <w:rPr>
                <w:rFonts w:hint="default" w:ascii="Times New Roman" w:hAnsi="Times New Roman" w:cs="Times New Roman"/>
                <w:color w:val="auto"/>
                <w:spacing w:val="0"/>
                <w:kern w:val="0"/>
                <w:position w:val="0"/>
                <w:sz w:val="24"/>
                <w:szCs w:val="24"/>
                <w:highlight w:val="none"/>
              </w:rPr>
              <w:t>锅炉灰</w:t>
            </w:r>
            <w:r>
              <w:rPr>
                <w:rFonts w:hint="default" w:ascii="Times New Roman" w:hAnsi="Times New Roman" w:cs="Times New Roman"/>
                <w:color w:val="auto"/>
                <w:spacing w:val="0"/>
                <w:kern w:val="0"/>
                <w:position w:val="0"/>
                <w:sz w:val="24"/>
                <w:szCs w:val="24"/>
                <w:highlight w:val="none"/>
                <w:lang w:val="en-US" w:eastAsia="zh-CN"/>
              </w:rPr>
              <w:t>产生量为1930.536</w:t>
            </w:r>
            <w:r>
              <w:rPr>
                <w:rFonts w:hint="default" w:ascii="Times New Roman" w:hAnsi="Times New Roman" w:cs="Times New Roman"/>
                <w:color w:val="auto"/>
                <w:spacing w:val="0"/>
                <w:kern w:val="0"/>
                <w:position w:val="0"/>
                <w:sz w:val="24"/>
                <w:szCs w:val="24"/>
                <w:highlight w:val="none"/>
              </w:rPr>
              <w:t>t/a，</w:t>
            </w:r>
            <w:r>
              <w:rPr>
                <w:rFonts w:hint="default" w:ascii="Times New Roman" w:hAnsi="Times New Roman" w:cs="Times New Roman"/>
                <w:color w:val="auto"/>
                <w:spacing w:val="0"/>
                <w:kern w:val="0"/>
                <w:position w:val="0"/>
                <w:sz w:val="24"/>
                <w:szCs w:val="24"/>
                <w:highlight w:val="none"/>
                <w:lang w:val="en-US" w:eastAsia="zh-CN"/>
              </w:rPr>
              <w:t>则锅炉炉渣产生量为3845.516</w:t>
            </w:r>
            <w:r>
              <w:rPr>
                <w:rFonts w:hint="default" w:ascii="Times New Roman" w:hAnsi="Times New Roman" w:cs="Times New Roman"/>
                <w:color w:val="auto"/>
                <w:spacing w:val="0"/>
                <w:kern w:val="0"/>
                <w:position w:val="0"/>
                <w:sz w:val="24"/>
                <w:szCs w:val="24"/>
                <w:highlight w:val="none"/>
              </w:rPr>
              <w:t>t/a</w:t>
            </w:r>
            <w:r>
              <w:rPr>
                <w:rFonts w:hint="default" w:ascii="Times New Roman" w:hAnsi="Times New Roman" w:cs="Times New Roman"/>
                <w:color w:val="auto"/>
                <w:spacing w:val="0"/>
                <w:position w:val="0"/>
                <w:sz w:val="24"/>
                <w:szCs w:val="24"/>
                <w:highlight w:val="none"/>
              </w:rPr>
              <w:t>，</w:t>
            </w:r>
            <w:r>
              <w:rPr>
                <w:rFonts w:hint="default" w:ascii="Times New Roman" w:hAnsi="Times New Roman" w:cs="Times New Roman"/>
                <w:bCs/>
                <w:color w:val="auto"/>
                <w:spacing w:val="0"/>
                <w:kern w:val="0"/>
                <w:position w:val="0"/>
                <w:sz w:val="24"/>
                <w:szCs w:val="24"/>
                <w:highlight w:val="none"/>
              </w:rPr>
              <w:t>定期外售综合利用</w:t>
            </w:r>
            <w:r>
              <w:rPr>
                <w:rFonts w:hint="default" w:ascii="Times New Roman" w:hAnsi="Times New Roman" w:cs="Times New Roman"/>
                <w:color w:val="auto"/>
                <w:spacing w:val="0"/>
                <w:kern w:val="0"/>
                <w:position w:val="0"/>
                <w:sz w:val="24"/>
                <w:szCs w:val="24"/>
                <w:highlight w:val="none"/>
                <w:lang w:val="en-US" w:eastAsia="zh-CN"/>
              </w:rPr>
              <w:t>。</w:t>
            </w:r>
          </w:p>
          <w:p w14:paraId="126256AA">
            <w:pPr>
              <w:keepNext w:val="0"/>
              <w:keepLines w:val="0"/>
              <w:pageBreakBefore w:val="0"/>
              <w:widowControl w:val="0"/>
              <w:tabs>
                <w:tab w:val="left" w:pos="1291"/>
              </w:tabs>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rPr>
                <w:rFonts w:hint="default" w:ascii="Times New Roman" w:hAnsi="Times New Roman" w:cs="Times New Roman"/>
                <w:color w:val="auto"/>
                <w:spacing w:val="0"/>
                <w:position w:val="0"/>
                <w:sz w:val="24"/>
                <w:szCs w:val="24"/>
                <w:highlight w:val="none"/>
                <w:lang w:eastAsia="zh-CN"/>
              </w:rPr>
            </w:pP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8</w:t>
            </w:r>
            <w:r>
              <w:rPr>
                <w:rFonts w:hint="default" w:ascii="Times New Roman" w:hAnsi="Times New Roman" w:cs="Times New Roman"/>
                <w:color w:val="auto"/>
                <w:spacing w:val="0"/>
                <w:position w:val="0"/>
                <w:sz w:val="24"/>
                <w:szCs w:val="24"/>
                <w:highlight w:val="none"/>
                <w:lang w:eastAsia="zh-CN"/>
              </w:rPr>
              <w:t>）锅炉除尘器收集粉尘（900-099-S59）</w:t>
            </w:r>
          </w:p>
          <w:p w14:paraId="0B2300A4">
            <w:pPr>
              <w:keepNext w:val="0"/>
              <w:keepLines w:val="0"/>
              <w:pageBreakBefore w:val="0"/>
              <w:widowControl w:val="0"/>
              <w:tabs>
                <w:tab w:val="left" w:pos="1291"/>
              </w:tabs>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rPr>
                <w:rFonts w:hint="default" w:ascii="Times New Roman" w:hAnsi="Times New Roman"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根据工程分析，锅炉布袋除尘器收集粉尘量为1922.814t/a</w:t>
            </w:r>
            <w:r>
              <w:rPr>
                <w:rFonts w:hint="default" w:ascii="Times New Roman" w:hAnsi="Times New Roman" w:cs="Times New Roman"/>
                <w:color w:val="auto"/>
                <w:spacing w:val="0"/>
                <w:position w:val="0"/>
                <w:sz w:val="24"/>
                <w:szCs w:val="24"/>
                <w:highlight w:val="none"/>
              </w:rPr>
              <w:t>，</w:t>
            </w:r>
            <w:r>
              <w:rPr>
                <w:rFonts w:hint="default" w:ascii="Times New Roman" w:hAnsi="Times New Roman" w:cs="Times New Roman"/>
                <w:bCs/>
                <w:color w:val="auto"/>
                <w:spacing w:val="0"/>
                <w:kern w:val="0"/>
                <w:position w:val="0"/>
                <w:sz w:val="24"/>
                <w:szCs w:val="24"/>
                <w:highlight w:val="none"/>
              </w:rPr>
              <w:t>定期外售综合利用</w:t>
            </w:r>
            <w:r>
              <w:rPr>
                <w:rFonts w:hint="default" w:ascii="Times New Roman" w:hAnsi="Times New Roman" w:cs="Times New Roman"/>
                <w:color w:val="auto"/>
                <w:spacing w:val="0"/>
                <w:position w:val="0"/>
                <w:sz w:val="24"/>
                <w:szCs w:val="24"/>
                <w:highlight w:val="none"/>
                <w:lang w:val="en-US" w:eastAsia="zh-CN"/>
              </w:rPr>
              <w:t>。</w:t>
            </w:r>
          </w:p>
          <w:p w14:paraId="1EDC7E0A">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cs="Times New Roman"/>
                <w:color w:val="auto"/>
                <w:spacing w:val="0"/>
                <w:position w:val="0"/>
                <w:sz w:val="24"/>
                <w:szCs w:val="24"/>
                <w:highlight w:val="none"/>
                <w:lang w:eastAsia="zh-CN"/>
              </w:rPr>
            </w:pP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9</w:t>
            </w:r>
            <w:r>
              <w:rPr>
                <w:rFonts w:hint="default" w:ascii="Times New Roman" w:hAnsi="Times New Roman" w:cs="Times New Roman"/>
                <w:color w:val="auto"/>
                <w:spacing w:val="0"/>
                <w:position w:val="0"/>
                <w:sz w:val="24"/>
                <w:szCs w:val="24"/>
                <w:highlight w:val="none"/>
                <w:lang w:eastAsia="zh-CN"/>
              </w:rPr>
              <w:t>）废离子交换树脂（900-0</w:t>
            </w:r>
            <w:r>
              <w:rPr>
                <w:rFonts w:hint="default" w:ascii="Times New Roman" w:hAnsi="Times New Roman" w:cs="Times New Roman"/>
                <w:color w:val="auto"/>
                <w:spacing w:val="0"/>
                <w:position w:val="0"/>
                <w:sz w:val="24"/>
                <w:szCs w:val="24"/>
                <w:highlight w:val="none"/>
                <w:lang w:val="en-US" w:eastAsia="zh-CN"/>
              </w:rPr>
              <w:t>0</w:t>
            </w:r>
            <w:r>
              <w:rPr>
                <w:rFonts w:hint="default" w:ascii="Times New Roman" w:hAnsi="Times New Roman" w:cs="Times New Roman"/>
                <w:color w:val="auto"/>
                <w:spacing w:val="0"/>
                <w:position w:val="0"/>
                <w:sz w:val="24"/>
                <w:szCs w:val="24"/>
                <w:highlight w:val="none"/>
                <w:lang w:eastAsia="zh-CN"/>
              </w:rPr>
              <w:t>9-S59）</w:t>
            </w:r>
          </w:p>
          <w:p w14:paraId="342E8E6A">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cs="Times New Roman"/>
                <w:color w:val="auto"/>
                <w:spacing w:val="0"/>
                <w:position w:val="0"/>
                <w:sz w:val="24"/>
                <w:szCs w:val="24"/>
                <w:highlight w:val="none"/>
                <w:lang w:eastAsia="zh-CN"/>
              </w:rPr>
            </w:pPr>
            <w:r>
              <w:rPr>
                <w:rFonts w:hint="default" w:ascii="Times New Roman" w:hAnsi="Times New Roman" w:cs="Times New Roman"/>
                <w:color w:val="auto"/>
                <w:spacing w:val="0"/>
                <w:position w:val="0"/>
                <w:sz w:val="24"/>
                <w:szCs w:val="24"/>
                <w:highlight w:val="none"/>
                <w:lang w:eastAsia="zh-CN"/>
              </w:rPr>
              <w:t>根据设计单位提供资料，废</w:t>
            </w:r>
            <w:r>
              <w:rPr>
                <w:rFonts w:hint="default" w:ascii="Times New Roman" w:hAnsi="Times New Roman" w:cs="Times New Roman"/>
                <w:color w:val="auto"/>
                <w:spacing w:val="0"/>
                <w:position w:val="0"/>
                <w:sz w:val="24"/>
                <w:szCs w:val="24"/>
                <w:highlight w:val="none"/>
                <w:lang w:val="en-US" w:eastAsia="zh-CN"/>
              </w:rPr>
              <w:t>离子交换树脂</w:t>
            </w:r>
            <w:r>
              <w:rPr>
                <w:rFonts w:hint="default" w:ascii="Times New Roman" w:hAnsi="Times New Roman" w:cs="Times New Roman"/>
                <w:color w:val="auto"/>
                <w:spacing w:val="0"/>
                <w:position w:val="0"/>
                <w:sz w:val="24"/>
                <w:szCs w:val="24"/>
                <w:highlight w:val="none"/>
                <w:lang w:eastAsia="zh-CN"/>
              </w:rPr>
              <w:t>产生量约为0.</w:t>
            </w:r>
            <w:r>
              <w:rPr>
                <w:rFonts w:hint="default" w:ascii="Times New Roman" w:hAnsi="Times New Roman" w:cs="Times New Roman"/>
                <w:color w:val="auto"/>
                <w:spacing w:val="0"/>
                <w:position w:val="0"/>
                <w:sz w:val="24"/>
                <w:szCs w:val="24"/>
                <w:highlight w:val="none"/>
                <w:lang w:val="en-US" w:eastAsia="zh-CN"/>
              </w:rPr>
              <w:t>3</w:t>
            </w:r>
            <w:r>
              <w:rPr>
                <w:rFonts w:hint="default" w:ascii="Times New Roman" w:hAnsi="Times New Roman" w:cs="Times New Roman"/>
                <w:color w:val="auto"/>
                <w:spacing w:val="0"/>
                <w:position w:val="0"/>
                <w:sz w:val="24"/>
                <w:szCs w:val="24"/>
                <w:highlight w:val="none"/>
                <w:lang w:eastAsia="zh-CN"/>
              </w:rPr>
              <w:t>t/a，每年更换一次，即产即运，不在厂区内长时间储存，由厂家回收利用。</w:t>
            </w:r>
          </w:p>
          <w:p w14:paraId="7F1F3F6C">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cs="Times New Roman"/>
                <w:color w:val="auto"/>
                <w:spacing w:val="0"/>
                <w:position w:val="0"/>
                <w:sz w:val="24"/>
                <w:szCs w:val="24"/>
                <w:highlight w:val="none"/>
                <w:lang w:eastAsia="zh-CN"/>
              </w:rPr>
            </w:pP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10</w:t>
            </w:r>
            <w:r>
              <w:rPr>
                <w:rFonts w:hint="default" w:ascii="Times New Roman" w:hAnsi="Times New Roman" w:cs="Times New Roman"/>
                <w:color w:val="auto"/>
                <w:spacing w:val="0"/>
                <w:position w:val="0"/>
                <w:sz w:val="24"/>
                <w:szCs w:val="24"/>
                <w:highlight w:val="none"/>
                <w:lang w:eastAsia="zh-CN"/>
              </w:rPr>
              <w:t>）废布袋（900-0</w:t>
            </w:r>
            <w:r>
              <w:rPr>
                <w:rFonts w:hint="default" w:ascii="Times New Roman" w:hAnsi="Times New Roman" w:cs="Times New Roman"/>
                <w:color w:val="auto"/>
                <w:spacing w:val="0"/>
                <w:position w:val="0"/>
                <w:sz w:val="24"/>
                <w:szCs w:val="24"/>
                <w:highlight w:val="none"/>
                <w:lang w:val="en-US" w:eastAsia="zh-CN"/>
              </w:rPr>
              <w:t>0</w:t>
            </w:r>
            <w:r>
              <w:rPr>
                <w:rFonts w:hint="default" w:ascii="Times New Roman" w:hAnsi="Times New Roman" w:cs="Times New Roman"/>
                <w:color w:val="auto"/>
                <w:spacing w:val="0"/>
                <w:position w:val="0"/>
                <w:sz w:val="24"/>
                <w:szCs w:val="24"/>
                <w:highlight w:val="none"/>
                <w:lang w:eastAsia="zh-CN"/>
              </w:rPr>
              <w:t>9-S59）</w:t>
            </w:r>
          </w:p>
          <w:p w14:paraId="07F768ED">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eastAsia="zh-CN"/>
              </w:rPr>
              <w:t>根据设计单位提供资料，</w:t>
            </w:r>
            <w:r>
              <w:rPr>
                <w:rFonts w:hint="default" w:ascii="Times New Roman" w:hAnsi="Times New Roman" w:cs="Times New Roman"/>
                <w:color w:val="auto"/>
                <w:spacing w:val="0"/>
                <w:position w:val="0"/>
                <w:sz w:val="24"/>
                <w:szCs w:val="24"/>
                <w:highlight w:val="none"/>
                <w:lang w:val="en-US" w:eastAsia="zh-CN"/>
              </w:rPr>
              <w:t>废布袋产生量约0.2t/a，更换时交由</w:t>
            </w:r>
            <w:r>
              <w:rPr>
                <w:rFonts w:hint="default" w:ascii="Times New Roman" w:hAnsi="Times New Roman" w:cs="Times New Roman"/>
                <w:color w:val="auto"/>
                <w:spacing w:val="0"/>
                <w:position w:val="0"/>
                <w:sz w:val="24"/>
                <w:szCs w:val="24"/>
                <w:highlight w:val="none"/>
                <w:lang w:eastAsia="zh-CN"/>
              </w:rPr>
              <w:t>厂家回收利用，不在厂区内储存。</w:t>
            </w:r>
          </w:p>
          <w:p w14:paraId="00FA96BB">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cs="Times New Roman"/>
                <w:color w:val="auto"/>
                <w:spacing w:val="0"/>
                <w:position w:val="0"/>
                <w:sz w:val="24"/>
                <w:szCs w:val="24"/>
                <w:highlight w:val="none"/>
                <w:lang w:eastAsia="zh-CN"/>
              </w:rPr>
            </w:pP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11</w:t>
            </w:r>
            <w:r>
              <w:rPr>
                <w:rFonts w:hint="default" w:ascii="Times New Roman" w:hAnsi="Times New Roman" w:cs="Times New Roman"/>
                <w:color w:val="auto"/>
                <w:spacing w:val="0"/>
                <w:position w:val="0"/>
                <w:sz w:val="24"/>
                <w:szCs w:val="24"/>
                <w:highlight w:val="none"/>
                <w:lang w:eastAsia="zh-CN"/>
              </w:rPr>
              <w:t>）污泥（900-099-S07）</w:t>
            </w:r>
          </w:p>
          <w:p w14:paraId="0E57414E">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cs="Times New Roman"/>
                <w:color w:val="auto"/>
                <w:spacing w:val="0"/>
                <w:position w:val="0"/>
                <w:sz w:val="24"/>
                <w:szCs w:val="24"/>
                <w:highlight w:val="none"/>
                <w:lang w:eastAsia="zh-CN"/>
              </w:rPr>
            </w:pPr>
            <w:r>
              <w:rPr>
                <w:rFonts w:hint="default" w:ascii="Times New Roman" w:hAnsi="Times New Roman" w:cs="Times New Roman"/>
                <w:color w:val="auto"/>
                <w:spacing w:val="0"/>
                <w:position w:val="0"/>
                <w:sz w:val="24"/>
                <w:szCs w:val="24"/>
                <w:highlight w:val="none"/>
                <w:lang w:eastAsia="zh-CN"/>
              </w:rPr>
              <w:t>污泥是污水处理厂运营过程中产生的主要固体废物。本项目BOD</w:t>
            </w:r>
            <w:r>
              <w:rPr>
                <w:rFonts w:hint="default" w:ascii="Times New Roman" w:hAnsi="Times New Roman" w:cs="Times New Roman"/>
                <w:color w:val="auto"/>
                <w:spacing w:val="0"/>
                <w:position w:val="0"/>
                <w:sz w:val="24"/>
                <w:szCs w:val="24"/>
                <w:highlight w:val="none"/>
                <w:vertAlign w:val="subscript"/>
                <w:lang w:eastAsia="zh-CN"/>
              </w:rPr>
              <w:t>5</w:t>
            </w:r>
            <w:r>
              <w:rPr>
                <w:rFonts w:hint="default" w:ascii="Times New Roman" w:hAnsi="Times New Roman" w:cs="Times New Roman"/>
                <w:color w:val="auto"/>
                <w:spacing w:val="0"/>
                <w:position w:val="0"/>
                <w:sz w:val="24"/>
                <w:szCs w:val="24"/>
                <w:highlight w:val="none"/>
                <w:lang w:eastAsia="zh-CN"/>
              </w:rPr>
              <w:t>去除量为</w:t>
            </w:r>
            <w:r>
              <w:rPr>
                <w:rFonts w:hint="default" w:ascii="Times New Roman" w:hAnsi="Times New Roman" w:cs="Times New Roman"/>
                <w:color w:val="auto"/>
                <w:spacing w:val="0"/>
                <w:position w:val="0"/>
                <w:sz w:val="24"/>
                <w:szCs w:val="24"/>
                <w:highlight w:val="none"/>
                <w:lang w:val="en-US" w:eastAsia="zh-CN"/>
              </w:rPr>
              <w:t>11.629</w:t>
            </w:r>
            <w:r>
              <w:rPr>
                <w:rFonts w:hint="default" w:ascii="Times New Roman" w:hAnsi="Times New Roman" w:cs="Times New Roman"/>
                <w:color w:val="auto"/>
                <w:spacing w:val="0"/>
                <w:position w:val="0"/>
                <w:sz w:val="24"/>
                <w:szCs w:val="24"/>
                <w:highlight w:val="none"/>
                <w:lang w:eastAsia="zh-CN"/>
              </w:rPr>
              <w:t>t/a，干污泥含量约占BOD</w:t>
            </w:r>
            <w:r>
              <w:rPr>
                <w:rFonts w:hint="default" w:ascii="Times New Roman" w:hAnsi="Times New Roman" w:cs="Times New Roman"/>
                <w:color w:val="auto"/>
                <w:spacing w:val="0"/>
                <w:position w:val="0"/>
                <w:sz w:val="24"/>
                <w:szCs w:val="24"/>
                <w:highlight w:val="none"/>
                <w:vertAlign w:val="subscript"/>
                <w:lang w:eastAsia="zh-CN"/>
              </w:rPr>
              <w:t>5</w:t>
            </w:r>
            <w:r>
              <w:rPr>
                <w:rFonts w:hint="default" w:ascii="Times New Roman" w:hAnsi="Times New Roman" w:cs="Times New Roman"/>
                <w:color w:val="auto"/>
                <w:spacing w:val="0"/>
                <w:position w:val="0"/>
                <w:sz w:val="24"/>
                <w:szCs w:val="24"/>
                <w:highlight w:val="none"/>
                <w:lang w:eastAsia="zh-CN"/>
              </w:rPr>
              <w:t>总量的85%，干污泥量为</w:t>
            </w:r>
            <w:r>
              <w:rPr>
                <w:rFonts w:hint="default" w:ascii="Times New Roman" w:hAnsi="Times New Roman" w:cs="Times New Roman"/>
                <w:color w:val="auto"/>
                <w:spacing w:val="0"/>
                <w:position w:val="0"/>
                <w:sz w:val="24"/>
                <w:szCs w:val="24"/>
                <w:highlight w:val="none"/>
                <w:lang w:val="en-US" w:eastAsia="zh-CN"/>
              </w:rPr>
              <w:t>13.681</w:t>
            </w:r>
            <w:r>
              <w:rPr>
                <w:rFonts w:hint="default" w:ascii="Times New Roman" w:hAnsi="Times New Roman" w:cs="Times New Roman"/>
                <w:color w:val="auto"/>
                <w:spacing w:val="0"/>
                <w:position w:val="0"/>
                <w:sz w:val="24"/>
                <w:szCs w:val="24"/>
                <w:highlight w:val="none"/>
                <w:lang w:eastAsia="zh-CN"/>
              </w:rPr>
              <w:t>t/a。</w:t>
            </w:r>
            <w:r>
              <w:rPr>
                <w:rFonts w:hint="default" w:ascii="Times New Roman" w:hAnsi="Times New Roman" w:cs="Times New Roman"/>
                <w:color w:val="auto"/>
                <w:spacing w:val="0"/>
                <w:position w:val="0"/>
                <w:sz w:val="24"/>
                <w:szCs w:val="24"/>
                <w:highlight w:val="none"/>
                <w:lang w:val="en-US" w:eastAsia="zh-CN"/>
              </w:rPr>
              <w:t>交</w:t>
            </w:r>
            <w:r>
              <w:rPr>
                <w:rFonts w:hint="default" w:ascii="Times New Roman" w:hAnsi="Times New Roman" w:cs="Times New Roman"/>
                <w:color w:val="auto"/>
                <w:spacing w:val="0"/>
                <w:position w:val="0"/>
                <w:sz w:val="24"/>
                <w:szCs w:val="24"/>
                <w:highlight w:val="none"/>
                <w:lang w:eastAsia="zh-CN"/>
              </w:rPr>
              <w:t>由环卫部门统一清运进行卫生填埋。</w:t>
            </w:r>
          </w:p>
          <w:p w14:paraId="1CAD94B4">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cs="Times New Roman"/>
                <w:color w:val="auto"/>
                <w:spacing w:val="0"/>
                <w:position w:val="0"/>
                <w:sz w:val="24"/>
                <w:szCs w:val="24"/>
                <w:highlight w:val="none"/>
                <w:lang w:eastAsia="zh-CN"/>
              </w:rPr>
            </w:pP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12</w:t>
            </w:r>
            <w:r>
              <w:rPr>
                <w:rFonts w:hint="default" w:ascii="Times New Roman" w:hAnsi="Times New Roman" w:cs="Times New Roman"/>
                <w:color w:val="auto"/>
                <w:spacing w:val="0"/>
                <w:position w:val="0"/>
                <w:sz w:val="24"/>
                <w:szCs w:val="24"/>
                <w:highlight w:val="none"/>
                <w:lang w:eastAsia="zh-CN"/>
              </w:rPr>
              <w:t>）废活性炭（污水处理站）（900-008-S59）</w:t>
            </w:r>
          </w:p>
          <w:p w14:paraId="73D913B1">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cs="Times New Roman"/>
                <w:color w:val="auto"/>
                <w:spacing w:val="0"/>
                <w:position w:val="0"/>
                <w:sz w:val="24"/>
                <w:szCs w:val="24"/>
                <w:highlight w:val="none"/>
                <w:lang w:eastAsia="zh-CN"/>
              </w:rPr>
            </w:pPr>
            <w:r>
              <w:rPr>
                <w:rFonts w:hint="default" w:ascii="Times New Roman" w:hAnsi="Times New Roman" w:cs="Times New Roman"/>
                <w:color w:val="auto"/>
                <w:spacing w:val="0"/>
                <w:position w:val="0"/>
                <w:sz w:val="24"/>
                <w:szCs w:val="24"/>
                <w:highlight w:val="none"/>
                <w:lang w:eastAsia="zh-CN"/>
              </w:rPr>
              <w:t xml:space="preserve">根据《国家危险废物名录》（2025版），“烟气、VOCs治理过程（不包括餐饮行业油烟治理过程）产生的废活性炭，化学原料和化学制品脱色（不包括有机合成食品添加剂脱色）、除杂、净化过程产生的废活性炭”属于危险废物，本项目使用活性炭吸附污水处理站恶臭气体产生的废活性炭属于一般固体废物。 </w:t>
            </w:r>
          </w:p>
          <w:p w14:paraId="33D236EA">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cs="Times New Roman"/>
                <w:color w:val="auto"/>
                <w:spacing w:val="0"/>
                <w:position w:val="0"/>
                <w:sz w:val="24"/>
                <w:szCs w:val="24"/>
                <w:highlight w:val="none"/>
                <w:lang w:eastAsia="zh-CN"/>
              </w:rPr>
            </w:pPr>
            <w:r>
              <w:rPr>
                <w:rFonts w:hint="default" w:ascii="Times New Roman" w:hAnsi="Times New Roman" w:cs="Times New Roman"/>
                <w:color w:val="auto"/>
                <w:spacing w:val="0"/>
                <w:position w:val="0"/>
                <w:sz w:val="24"/>
                <w:szCs w:val="24"/>
                <w:highlight w:val="none"/>
                <w:lang w:eastAsia="zh-CN"/>
              </w:rPr>
              <w:t>根据本项目处理规模并采用经验数据（《简明通风设计手册》活性炭有效吸附量qe=0.24kg/kg活性炭）估算，则本项目</w:t>
            </w:r>
            <w:r>
              <w:rPr>
                <w:rFonts w:hint="default" w:ascii="Times New Roman" w:hAnsi="Times New Roman" w:cs="Times New Roman"/>
                <w:color w:val="auto"/>
                <w:spacing w:val="0"/>
                <w:position w:val="0"/>
                <w:sz w:val="24"/>
                <w:szCs w:val="24"/>
                <w:highlight w:val="none"/>
                <w:lang w:val="en-US" w:eastAsia="zh-CN"/>
              </w:rPr>
              <w:t>吸附所需活性炭量0.112t/a，为保证吸附效果，活性炭</w:t>
            </w:r>
            <w:r>
              <w:rPr>
                <w:rFonts w:hint="default" w:ascii="Times New Roman" w:hAnsi="Times New Roman" w:cs="Times New Roman"/>
                <w:color w:val="auto"/>
                <w:spacing w:val="0"/>
                <w:position w:val="0"/>
                <w:sz w:val="24"/>
                <w:szCs w:val="24"/>
                <w:highlight w:val="none"/>
                <w:lang w:eastAsia="zh-CN"/>
              </w:rPr>
              <w:t>每3个月更换一次，</w:t>
            </w:r>
            <w:r>
              <w:rPr>
                <w:rFonts w:hint="default" w:ascii="Times New Roman" w:hAnsi="Times New Roman" w:cs="Times New Roman"/>
                <w:color w:val="auto"/>
                <w:spacing w:val="0"/>
                <w:position w:val="0"/>
                <w:sz w:val="24"/>
                <w:szCs w:val="24"/>
                <w:highlight w:val="none"/>
                <w:lang w:val="en-US" w:eastAsia="zh-CN"/>
              </w:rPr>
              <w:t>活性炭箱内一次填装活性炭30kg，</w:t>
            </w:r>
            <w:r>
              <w:rPr>
                <w:rFonts w:hint="default" w:ascii="Times New Roman" w:hAnsi="Times New Roman" w:cs="Times New Roman"/>
                <w:color w:val="auto"/>
                <w:spacing w:val="0"/>
                <w:position w:val="0"/>
                <w:sz w:val="24"/>
                <w:szCs w:val="24"/>
                <w:highlight w:val="none"/>
                <w:lang w:eastAsia="zh-CN"/>
              </w:rPr>
              <w:t>废活性炭产生量约为0.</w:t>
            </w:r>
            <w:r>
              <w:rPr>
                <w:rFonts w:hint="default" w:ascii="Times New Roman" w:hAnsi="Times New Roman" w:cs="Times New Roman"/>
                <w:color w:val="auto"/>
                <w:spacing w:val="0"/>
                <w:position w:val="0"/>
                <w:sz w:val="24"/>
                <w:szCs w:val="24"/>
                <w:highlight w:val="none"/>
                <w:lang w:val="en-US" w:eastAsia="zh-CN"/>
              </w:rPr>
              <w:t>147</w:t>
            </w:r>
            <w:r>
              <w:rPr>
                <w:rFonts w:hint="default" w:ascii="Times New Roman" w:hAnsi="Times New Roman" w:cs="Times New Roman"/>
                <w:color w:val="auto"/>
                <w:spacing w:val="0"/>
                <w:position w:val="0"/>
                <w:sz w:val="24"/>
                <w:szCs w:val="24"/>
                <w:highlight w:val="none"/>
                <w:lang w:eastAsia="zh-CN"/>
              </w:rPr>
              <w:t>t/a，集中收集后定期清运至市政主管部门指定地点进行处置。</w:t>
            </w:r>
          </w:p>
          <w:p w14:paraId="67C8C315">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eastAsia="zh-CN"/>
              </w:rPr>
            </w:pP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13</w:t>
            </w:r>
            <w:r>
              <w:rPr>
                <w:rFonts w:hint="default" w:ascii="Times New Roman" w:hAnsi="Times New Roman" w:cs="Times New Roman"/>
                <w:color w:val="auto"/>
                <w:spacing w:val="0"/>
                <w:position w:val="0"/>
                <w:sz w:val="24"/>
                <w:szCs w:val="24"/>
                <w:highlight w:val="none"/>
                <w:lang w:eastAsia="zh-CN"/>
              </w:rPr>
              <w:t>）废活性炭（精炼车间）</w:t>
            </w:r>
          </w:p>
          <w:p w14:paraId="39F311F2">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rPr>
              <w:t>本项目</w:t>
            </w:r>
            <w:r>
              <w:rPr>
                <w:rFonts w:hint="default" w:ascii="Times New Roman" w:hAnsi="Times New Roman" w:cs="Times New Roman"/>
                <w:color w:val="auto"/>
                <w:spacing w:val="0"/>
                <w:position w:val="0"/>
                <w:sz w:val="24"/>
                <w:szCs w:val="24"/>
                <w:highlight w:val="none"/>
                <w:lang w:val="en-US" w:eastAsia="zh-CN"/>
              </w:rPr>
              <w:t>精炼车间</w:t>
            </w:r>
            <w:r>
              <w:rPr>
                <w:rFonts w:hint="default" w:ascii="Times New Roman" w:hAnsi="Times New Roman" w:eastAsia="宋体" w:cs="Times New Roman"/>
                <w:color w:val="auto"/>
                <w:spacing w:val="0"/>
                <w:position w:val="0"/>
                <w:sz w:val="24"/>
                <w:szCs w:val="24"/>
                <w:highlight w:val="none"/>
              </w:rPr>
              <w:t>活性炭需更换，《2020年挥发性有机物治理攻坚方案》提出</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采用活性炭吸附技术的，应选择碘值不低于800毫克/克的活性炭</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本项目选取碘值为900毫克/克的活性炭，即每克活性炭可吸附900毫克挥发性有机物。由前述分析结果可知，被吸附的废气量约为</w:t>
            </w:r>
            <w:r>
              <w:rPr>
                <w:rFonts w:hint="default" w:ascii="Times New Roman" w:hAnsi="Times New Roman" w:cs="Times New Roman"/>
                <w:color w:val="auto"/>
                <w:spacing w:val="0"/>
                <w:position w:val="0"/>
                <w:sz w:val="24"/>
                <w:szCs w:val="24"/>
                <w:highlight w:val="none"/>
                <w:lang w:val="en-US" w:eastAsia="zh-CN"/>
              </w:rPr>
              <w:t>0.178</w:t>
            </w:r>
            <w:r>
              <w:rPr>
                <w:rFonts w:hint="default" w:ascii="Times New Roman" w:hAnsi="Times New Roman" w:eastAsia="宋体" w:cs="Times New Roman"/>
                <w:color w:val="auto"/>
                <w:spacing w:val="0"/>
                <w:position w:val="0"/>
                <w:sz w:val="24"/>
                <w:szCs w:val="24"/>
                <w:highlight w:val="none"/>
              </w:rPr>
              <w:t>t/a，则理论上需要活性炭的量为</w:t>
            </w:r>
            <w:r>
              <w:rPr>
                <w:rFonts w:hint="default" w:ascii="Times New Roman" w:hAnsi="Times New Roman" w:cs="Times New Roman"/>
                <w:color w:val="auto"/>
                <w:spacing w:val="0"/>
                <w:position w:val="0"/>
                <w:sz w:val="24"/>
                <w:szCs w:val="24"/>
                <w:highlight w:val="none"/>
                <w:lang w:val="en-US" w:eastAsia="zh-CN"/>
              </w:rPr>
              <w:t>0.198</w:t>
            </w:r>
            <w:r>
              <w:rPr>
                <w:rFonts w:hint="default" w:ascii="Times New Roman" w:hAnsi="Times New Roman" w:eastAsia="宋体" w:cs="Times New Roman"/>
                <w:color w:val="auto"/>
                <w:spacing w:val="0"/>
                <w:position w:val="0"/>
                <w:sz w:val="24"/>
                <w:szCs w:val="24"/>
                <w:highlight w:val="none"/>
              </w:rPr>
              <w:t>t/a。为保证吸附效果，活性炭每3个月更换一次，为保证活性炭吸附效率，本项目在活性炭吸附饱和之前即更换，活性炭装载按装载量高于理论吸附10%计，活性炭箱内一次填装活性炭</w:t>
            </w:r>
            <w:r>
              <w:rPr>
                <w:rFonts w:hint="default" w:ascii="Times New Roman" w:hAnsi="Times New Roman" w:cs="Times New Roman"/>
                <w:color w:val="auto"/>
                <w:spacing w:val="0"/>
                <w:position w:val="0"/>
                <w:sz w:val="24"/>
                <w:szCs w:val="24"/>
                <w:highlight w:val="none"/>
                <w:lang w:val="en-US" w:eastAsia="zh-CN"/>
              </w:rPr>
              <w:t>60</w:t>
            </w:r>
            <w:r>
              <w:rPr>
                <w:rFonts w:hint="default" w:ascii="Times New Roman" w:hAnsi="Times New Roman" w:eastAsia="宋体" w:cs="Times New Roman"/>
                <w:color w:val="auto"/>
                <w:spacing w:val="0"/>
                <w:position w:val="0"/>
                <w:sz w:val="24"/>
                <w:szCs w:val="24"/>
                <w:highlight w:val="none"/>
              </w:rPr>
              <w:t>kg，</w:t>
            </w:r>
            <w:r>
              <w:rPr>
                <w:rFonts w:hint="default" w:ascii="Times New Roman" w:hAnsi="Times New Roman" w:cs="Times New Roman"/>
                <w:color w:val="auto"/>
                <w:spacing w:val="0"/>
                <w:position w:val="0"/>
                <w:sz w:val="24"/>
                <w:szCs w:val="24"/>
                <w:highlight w:val="none"/>
                <w:lang w:val="en-US" w:eastAsia="zh-CN"/>
              </w:rPr>
              <w:t>废活性炭产生量约为0.418</w:t>
            </w:r>
            <w:r>
              <w:rPr>
                <w:rFonts w:hint="default" w:ascii="Times New Roman" w:hAnsi="Times New Roman" w:eastAsia="宋体" w:cs="Times New Roman"/>
                <w:color w:val="auto"/>
                <w:spacing w:val="0"/>
                <w:position w:val="0"/>
                <w:sz w:val="24"/>
                <w:szCs w:val="24"/>
                <w:highlight w:val="none"/>
              </w:rPr>
              <w:t>t/a。</w:t>
            </w:r>
          </w:p>
          <w:p w14:paraId="2B4F8E41">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对照《国家危险废物名录（202</w:t>
            </w:r>
            <w:r>
              <w:rPr>
                <w:rFonts w:hint="default" w:ascii="Times New Roman" w:hAnsi="Times New Roman" w:cs="Times New Roman"/>
                <w:color w:val="auto"/>
                <w:spacing w:val="0"/>
                <w:position w:val="0"/>
                <w:sz w:val="24"/>
                <w:szCs w:val="24"/>
                <w:highlight w:val="none"/>
                <w:lang w:val="en-US" w:eastAsia="zh-CN"/>
              </w:rPr>
              <w:t>5</w:t>
            </w:r>
            <w:r>
              <w:rPr>
                <w:rFonts w:hint="default" w:ascii="Times New Roman" w:hAnsi="Times New Roman" w:eastAsia="宋体" w:cs="Times New Roman"/>
                <w:color w:val="auto"/>
                <w:spacing w:val="0"/>
                <w:position w:val="0"/>
                <w:sz w:val="24"/>
                <w:szCs w:val="24"/>
                <w:highlight w:val="none"/>
              </w:rPr>
              <w:t>年版）》，废活性炭属于危险废物，废物类别为HW49其他废物，废物代码为900-039-49。由专用容器存储，暂存于现有</w:t>
            </w:r>
            <w:r>
              <w:rPr>
                <w:rFonts w:hint="default" w:ascii="Times New Roman" w:hAnsi="Times New Roman" w:cs="Times New Roman"/>
                <w:color w:val="auto"/>
                <w:spacing w:val="0"/>
                <w:position w:val="0"/>
                <w:sz w:val="24"/>
                <w:szCs w:val="24"/>
                <w:highlight w:val="none"/>
                <w:lang w:eastAsia="zh-CN"/>
              </w:rPr>
              <w:t>危险废物贮存库</w:t>
            </w:r>
            <w:r>
              <w:rPr>
                <w:rFonts w:hint="default" w:ascii="Times New Roman" w:hAnsi="Times New Roman" w:eastAsia="宋体" w:cs="Times New Roman"/>
                <w:color w:val="auto"/>
                <w:spacing w:val="0"/>
                <w:position w:val="0"/>
                <w:sz w:val="24"/>
                <w:szCs w:val="24"/>
                <w:highlight w:val="none"/>
              </w:rPr>
              <w:t>内，定期交由有资质单位处置。</w:t>
            </w:r>
          </w:p>
          <w:p w14:paraId="00DF2D82">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eastAsia="zh-CN"/>
              </w:rPr>
            </w:pP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cs="Times New Roman"/>
                <w:color w:val="auto"/>
                <w:spacing w:val="0"/>
                <w:position w:val="0"/>
                <w:sz w:val="24"/>
                <w:szCs w:val="24"/>
                <w:highlight w:val="none"/>
                <w:lang w:val="en-US" w:eastAsia="zh-CN"/>
              </w:rPr>
              <w:t>14</w:t>
            </w:r>
            <w:r>
              <w:rPr>
                <w:rFonts w:hint="default" w:ascii="Times New Roman" w:hAnsi="Times New Roman" w:cs="Times New Roman"/>
                <w:color w:val="auto"/>
                <w:spacing w:val="0"/>
                <w:position w:val="0"/>
                <w:sz w:val="24"/>
                <w:szCs w:val="24"/>
                <w:highlight w:val="none"/>
                <w:lang w:eastAsia="zh-CN"/>
              </w:rPr>
              <w:t>）废机油</w:t>
            </w:r>
          </w:p>
          <w:p w14:paraId="1182DFCE">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本项目设备定期检修会产生废机油，产生量约为0.1t/a，暂存于危险废物贮存库，委托有资质单位处理。根据《国家危险废物名录》（2025年版），该部分废机油属于危险废物</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HW08废矿物油与含矿物油废物，900-249-08其他生产、销售、使用过程中产生的废矿物油及沾染矿物油的废弃包装物</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w:t>
            </w:r>
          </w:p>
          <w:p w14:paraId="580EEEC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color w:val="auto"/>
                <w:spacing w:val="0"/>
                <w:position w:val="0"/>
                <w:sz w:val="24"/>
                <w:szCs w:val="24"/>
                <w:highlight w:val="none"/>
              </w:rPr>
              <w:t>表4-1</w:t>
            </w:r>
            <w:r>
              <w:rPr>
                <w:rFonts w:hint="default" w:ascii="Times New Roman" w:hAnsi="Times New Roman" w:cs="Times New Roman"/>
                <w:b/>
                <w:color w:val="auto"/>
                <w:spacing w:val="0"/>
                <w:position w:val="0"/>
                <w:sz w:val="24"/>
                <w:szCs w:val="24"/>
                <w:highlight w:val="none"/>
                <w:lang w:val="en-US" w:eastAsia="zh-CN"/>
              </w:rPr>
              <w:t>5</w:t>
            </w:r>
            <w:r>
              <w:rPr>
                <w:rFonts w:hint="default" w:ascii="Times New Roman" w:hAnsi="Times New Roman" w:eastAsia="宋体" w:cs="Times New Roman"/>
                <w:b/>
                <w:color w:val="auto"/>
                <w:spacing w:val="0"/>
                <w:position w:val="0"/>
                <w:sz w:val="24"/>
                <w:szCs w:val="24"/>
                <w:highlight w:val="none"/>
              </w:rPr>
              <w:t xml:space="preserve"> </w:t>
            </w:r>
            <w:r>
              <w:rPr>
                <w:rFonts w:hint="default" w:ascii="Times New Roman" w:hAnsi="Times New Roman" w:eastAsia="宋体" w:cs="Times New Roman"/>
                <w:b/>
                <w:color w:val="auto"/>
                <w:spacing w:val="0"/>
                <w:position w:val="0"/>
                <w:sz w:val="24"/>
                <w:szCs w:val="24"/>
                <w:highlight w:val="none"/>
                <w:lang w:val="en-US" w:eastAsia="zh-CN"/>
              </w:rPr>
              <w:t>一般</w:t>
            </w:r>
            <w:r>
              <w:rPr>
                <w:rFonts w:hint="default" w:ascii="Times New Roman" w:hAnsi="Times New Roman" w:eastAsia="宋体" w:cs="Times New Roman"/>
                <w:b/>
                <w:color w:val="auto"/>
                <w:spacing w:val="0"/>
                <w:position w:val="0"/>
                <w:sz w:val="24"/>
                <w:szCs w:val="24"/>
                <w:highlight w:val="none"/>
              </w:rPr>
              <w:t>固体废物产生及情况一览表</w:t>
            </w:r>
          </w:p>
          <w:tbl>
            <w:tblPr>
              <w:tblStyle w:val="29"/>
              <w:tblW w:w="8343"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908"/>
              <w:gridCol w:w="885"/>
              <w:gridCol w:w="690"/>
              <w:gridCol w:w="660"/>
              <w:gridCol w:w="855"/>
              <w:gridCol w:w="885"/>
              <w:gridCol w:w="885"/>
              <w:gridCol w:w="1275"/>
              <w:gridCol w:w="1300"/>
            </w:tblGrid>
            <w:tr w14:paraId="01D934C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08" w:type="dxa"/>
                  <w:vMerge w:val="restart"/>
                  <w:noWrap w:val="0"/>
                  <w:vAlign w:val="center"/>
                </w:tcPr>
                <w:p w14:paraId="5DAD8C81">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工序/生产线</w:t>
                  </w:r>
                </w:p>
              </w:tc>
              <w:tc>
                <w:tcPr>
                  <w:tcW w:w="885" w:type="dxa"/>
                  <w:vMerge w:val="restart"/>
                  <w:noWrap w:val="0"/>
                  <w:vAlign w:val="center"/>
                </w:tcPr>
                <w:p w14:paraId="455376C3">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szCs w:val="21"/>
                      <w:highlight w:val="none"/>
                    </w:rPr>
                    <w:t>固体废物名称</w:t>
                  </w:r>
                </w:p>
              </w:tc>
              <w:tc>
                <w:tcPr>
                  <w:tcW w:w="690" w:type="dxa"/>
                  <w:vMerge w:val="restart"/>
                  <w:noWrap w:val="0"/>
                  <w:vAlign w:val="center"/>
                </w:tcPr>
                <w:p w14:paraId="577361D7">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固废属性</w:t>
                  </w:r>
                </w:p>
              </w:tc>
              <w:tc>
                <w:tcPr>
                  <w:tcW w:w="660" w:type="dxa"/>
                  <w:vMerge w:val="restart"/>
                  <w:noWrap w:val="0"/>
                  <w:vAlign w:val="center"/>
                </w:tcPr>
                <w:p w14:paraId="5C22B247">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highlight w:val="none"/>
                    </w:rPr>
                    <w:t>代码</w:t>
                  </w:r>
                </w:p>
              </w:tc>
              <w:tc>
                <w:tcPr>
                  <w:tcW w:w="1740" w:type="dxa"/>
                  <w:gridSpan w:val="2"/>
                  <w:noWrap w:val="0"/>
                  <w:vAlign w:val="center"/>
                </w:tcPr>
                <w:p w14:paraId="46C6DD71">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szCs w:val="21"/>
                      <w:highlight w:val="none"/>
                    </w:rPr>
                    <w:t>产生情况</w:t>
                  </w:r>
                </w:p>
              </w:tc>
              <w:tc>
                <w:tcPr>
                  <w:tcW w:w="2160" w:type="dxa"/>
                  <w:gridSpan w:val="2"/>
                  <w:noWrap w:val="0"/>
                  <w:vAlign w:val="center"/>
                </w:tcPr>
                <w:p w14:paraId="4CA68181">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处置措施</w:t>
                  </w:r>
                </w:p>
              </w:tc>
              <w:tc>
                <w:tcPr>
                  <w:tcW w:w="1300" w:type="dxa"/>
                  <w:vMerge w:val="restart"/>
                  <w:noWrap w:val="0"/>
                  <w:vAlign w:val="center"/>
                </w:tcPr>
                <w:p w14:paraId="59F2A470">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最终去向</w:t>
                  </w:r>
                </w:p>
              </w:tc>
            </w:tr>
            <w:tr w14:paraId="524897C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08" w:type="dxa"/>
                  <w:vMerge w:val="continue"/>
                  <w:noWrap w:val="0"/>
                  <w:vAlign w:val="center"/>
                </w:tcPr>
                <w:p w14:paraId="7A656C35">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highlight w:val="none"/>
                    </w:rPr>
                  </w:pPr>
                </w:p>
              </w:tc>
              <w:tc>
                <w:tcPr>
                  <w:tcW w:w="885" w:type="dxa"/>
                  <w:vMerge w:val="continue"/>
                  <w:noWrap w:val="0"/>
                  <w:vAlign w:val="center"/>
                </w:tcPr>
                <w:p w14:paraId="663A5622">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highlight w:val="none"/>
                    </w:rPr>
                  </w:pPr>
                </w:p>
              </w:tc>
              <w:tc>
                <w:tcPr>
                  <w:tcW w:w="690" w:type="dxa"/>
                  <w:vMerge w:val="continue"/>
                  <w:noWrap w:val="0"/>
                  <w:vAlign w:val="center"/>
                </w:tcPr>
                <w:p w14:paraId="531A98D3">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highlight w:val="none"/>
                    </w:rPr>
                  </w:pPr>
                </w:p>
              </w:tc>
              <w:tc>
                <w:tcPr>
                  <w:tcW w:w="660" w:type="dxa"/>
                  <w:vMerge w:val="continue"/>
                  <w:noWrap w:val="0"/>
                  <w:vAlign w:val="center"/>
                </w:tcPr>
                <w:p w14:paraId="6FC27101">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highlight w:val="none"/>
                    </w:rPr>
                  </w:pPr>
                </w:p>
              </w:tc>
              <w:tc>
                <w:tcPr>
                  <w:tcW w:w="855" w:type="dxa"/>
                  <w:noWrap w:val="0"/>
                  <w:vAlign w:val="center"/>
                </w:tcPr>
                <w:p w14:paraId="56BF0858">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核算方法</w:t>
                  </w:r>
                </w:p>
              </w:tc>
              <w:tc>
                <w:tcPr>
                  <w:tcW w:w="885" w:type="dxa"/>
                  <w:noWrap w:val="0"/>
                  <w:vAlign w:val="center"/>
                </w:tcPr>
                <w:p w14:paraId="28C3BF6E">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产生量</w:t>
                  </w:r>
                </w:p>
                <w:p w14:paraId="48AC55C6">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（t/a）</w:t>
                  </w:r>
                </w:p>
              </w:tc>
              <w:tc>
                <w:tcPr>
                  <w:tcW w:w="885" w:type="dxa"/>
                  <w:noWrap w:val="0"/>
                  <w:vAlign w:val="center"/>
                </w:tcPr>
                <w:p w14:paraId="664C6AE1">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处置量（t/a）</w:t>
                  </w:r>
                </w:p>
              </w:tc>
              <w:tc>
                <w:tcPr>
                  <w:tcW w:w="1275" w:type="dxa"/>
                  <w:noWrap w:val="0"/>
                  <w:vAlign w:val="center"/>
                </w:tcPr>
                <w:p w14:paraId="5CB109FA">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工艺</w:t>
                  </w:r>
                </w:p>
              </w:tc>
              <w:tc>
                <w:tcPr>
                  <w:tcW w:w="1300" w:type="dxa"/>
                  <w:vMerge w:val="continue"/>
                  <w:noWrap w:val="0"/>
                  <w:vAlign w:val="center"/>
                </w:tcPr>
                <w:p w14:paraId="2ABC407A">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p>
              </w:tc>
            </w:tr>
            <w:tr w14:paraId="2438E77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08" w:type="dxa"/>
                  <w:noWrap w:val="0"/>
                  <w:vAlign w:val="center"/>
                </w:tcPr>
                <w:p w14:paraId="3E1ED820">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员工生活</w:t>
                  </w:r>
                </w:p>
              </w:tc>
              <w:tc>
                <w:tcPr>
                  <w:tcW w:w="885" w:type="dxa"/>
                  <w:noWrap w:val="0"/>
                  <w:vAlign w:val="center"/>
                </w:tcPr>
                <w:p w14:paraId="12D4CF5F">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生活垃圾</w:t>
                  </w:r>
                </w:p>
              </w:tc>
              <w:tc>
                <w:tcPr>
                  <w:tcW w:w="690" w:type="dxa"/>
                  <w:noWrap w:val="0"/>
                  <w:vAlign w:val="center"/>
                </w:tcPr>
                <w:p w14:paraId="1A70950F">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生活垃圾</w:t>
                  </w:r>
                </w:p>
              </w:tc>
              <w:tc>
                <w:tcPr>
                  <w:tcW w:w="660" w:type="dxa"/>
                  <w:noWrap w:val="0"/>
                  <w:vAlign w:val="center"/>
                </w:tcPr>
                <w:p w14:paraId="4886D60F">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900-099-S64</w:t>
                  </w:r>
                </w:p>
              </w:tc>
              <w:tc>
                <w:tcPr>
                  <w:tcW w:w="855" w:type="dxa"/>
                  <w:noWrap w:val="0"/>
                  <w:vAlign w:val="center"/>
                </w:tcPr>
                <w:p w14:paraId="674ABC5C">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产污系数法</w:t>
                  </w:r>
                </w:p>
              </w:tc>
              <w:tc>
                <w:tcPr>
                  <w:tcW w:w="885" w:type="dxa"/>
                  <w:noWrap w:val="0"/>
                  <w:vAlign w:val="center"/>
                </w:tcPr>
                <w:p w14:paraId="497F3EE4">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3.5</w:t>
                  </w:r>
                </w:p>
              </w:tc>
              <w:tc>
                <w:tcPr>
                  <w:tcW w:w="885" w:type="dxa"/>
                  <w:noWrap w:val="0"/>
                  <w:vAlign w:val="center"/>
                </w:tcPr>
                <w:p w14:paraId="55E9B844">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3.5</w:t>
                  </w:r>
                </w:p>
              </w:tc>
              <w:tc>
                <w:tcPr>
                  <w:tcW w:w="1275" w:type="dxa"/>
                  <w:noWrap w:val="0"/>
                  <w:vAlign w:val="center"/>
                </w:tcPr>
                <w:p w14:paraId="5855DC35">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交由市政环卫部门处置</w:t>
                  </w:r>
                </w:p>
              </w:tc>
              <w:tc>
                <w:tcPr>
                  <w:tcW w:w="1300" w:type="dxa"/>
                  <w:noWrap w:val="0"/>
                  <w:vAlign w:val="center"/>
                </w:tcPr>
                <w:p w14:paraId="199BCF6A">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pacing w:val="0"/>
                      <w:position w:val="0"/>
                      <w:sz w:val="21"/>
                      <w:szCs w:val="21"/>
                      <w:highlight w:val="none"/>
                      <w:lang w:eastAsia="zh-CN"/>
                    </w:rPr>
                  </w:pPr>
                  <w:r>
                    <w:rPr>
                      <w:rFonts w:hint="default" w:ascii="Times New Roman" w:hAnsi="Times New Roman" w:cs="Times New Roman"/>
                      <w:bCs/>
                      <w:color w:val="auto"/>
                      <w:spacing w:val="0"/>
                      <w:position w:val="0"/>
                      <w:sz w:val="21"/>
                      <w:szCs w:val="21"/>
                      <w:highlight w:val="none"/>
                      <w:lang w:val="en-US" w:eastAsia="zh-CN"/>
                    </w:rPr>
                    <w:t>交由市政环卫部门处置</w:t>
                  </w:r>
                </w:p>
              </w:tc>
            </w:tr>
            <w:tr w14:paraId="62AB151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08" w:type="dxa"/>
                  <w:noWrap w:val="0"/>
                  <w:vAlign w:val="center"/>
                </w:tcPr>
                <w:p w14:paraId="5A8506A5">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预处理工段</w:t>
                  </w:r>
                </w:p>
              </w:tc>
              <w:tc>
                <w:tcPr>
                  <w:tcW w:w="885" w:type="dxa"/>
                  <w:noWrap w:val="0"/>
                  <w:vAlign w:val="center"/>
                </w:tcPr>
                <w:p w14:paraId="26B55B79">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eastAsia="zh-CN"/>
                    </w:rPr>
                  </w:pPr>
                  <w:r>
                    <w:rPr>
                      <w:rFonts w:hint="default" w:ascii="Times New Roman" w:hAnsi="Times New Roman" w:cs="Times New Roman"/>
                      <w:color w:val="auto"/>
                      <w:spacing w:val="0"/>
                      <w:position w:val="0"/>
                      <w:szCs w:val="21"/>
                      <w:highlight w:val="none"/>
                      <w:lang w:val="en-US" w:eastAsia="zh-CN"/>
                    </w:rPr>
                    <w:t>清理杂质</w:t>
                  </w:r>
                </w:p>
              </w:tc>
              <w:tc>
                <w:tcPr>
                  <w:tcW w:w="690" w:type="dxa"/>
                  <w:noWrap w:val="0"/>
                  <w:vAlign w:val="center"/>
                </w:tcPr>
                <w:p w14:paraId="562D4E98">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一般固</w:t>
                  </w:r>
                  <w:r>
                    <w:rPr>
                      <w:rFonts w:hint="default" w:ascii="Times New Roman" w:hAnsi="Times New Roman" w:cs="Times New Roman"/>
                      <w:color w:val="auto"/>
                      <w:spacing w:val="0"/>
                      <w:position w:val="0"/>
                      <w:szCs w:val="21"/>
                      <w:highlight w:val="none"/>
                      <w:lang w:val="en-US" w:eastAsia="zh-CN"/>
                    </w:rPr>
                    <w:t>体废</w:t>
                  </w:r>
                  <w:r>
                    <w:rPr>
                      <w:rFonts w:hint="default" w:ascii="Times New Roman" w:hAnsi="Times New Roman" w:eastAsia="宋体" w:cs="Times New Roman"/>
                      <w:color w:val="auto"/>
                      <w:spacing w:val="0"/>
                      <w:position w:val="0"/>
                      <w:szCs w:val="21"/>
                      <w:highlight w:val="none"/>
                    </w:rPr>
                    <w:t>物</w:t>
                  </w:r>
                </w:p>
              </w:tc>
              <w:tc>
                <w:tcPr>
                  <w:tcW w:w="660" w:type="dxa"/>
                  <w:noWrap w:val="0"/>
                  <w:vAlign w:val="center"/>
                </w:tcPr>
                <w:p w14:paraId="48213721">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rPr>
                  </w:pPr>
                  <w:r>
                    <w:rPr>
                      <w:rFonts w:hint="default" w:ascii="Times New Roman" w:hAnsi="Times New Roman" w:cs="Times New Roman"/>
                      <w:color w:val="auto"/>
                      <w:spacing w:val="0"/>
                      <w:position w:val="0"/>
                      <w:szCs w:val="21"/>
                      <w:highlight w:val="none"/>
                      <w:lang w:val="en-US" w:eastAsia="zh-CN"/>
                    </w:rPr>
                    <w:t>900-099-S59</w:t>
                  </w:r>
                </w:p>
              </w:tc>
              <w:tc>
                <w:tcPr>
                  <w:tcW w:w="855" w:type="dxa"/>
                  <w:noWrap w:val="0"/>
                  <w:vAlign w:val="center"/>
                </w:tcPr>
                <w:p w14:paraId="0ACC338B">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eastAsia="zh-CN"/>
                    </w:rPr>
                  </w:pPr>
                  <w:r>
                    <w:rPr>
                      <w:rFonts w:hint="default" w:ascii="Times New Roman" w:hAnsi="Times New Roman" w:cs="Times New Roman"/>
                      <w:color w:val="auto"/>
                      <w:spacing w:val="0"/>
                      <w:position w:val="0"/>
                      <w:szCs w:val="21"/>
                      <w:highlight w:val="none"/>
                      <w:lang w:val="en-US" w:eastAsia="zh-CN"/>
                    </w:rPr>
                    <w:t>类比法</w:t>
                  </w:r>
                </w:p>
              </w:tc>
              <w:tc>
                <w:tcPr>
                  <w:tcW w:w="885" w:type="dxa"/>
                  <w:noWrap w:val="0"/>
                  <w:vAlign w:val="center"/>
                </w:tcPr>
                <w:p w14:paraId="15FF150D">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65</w:t>
                  </w:r>
                </w:p>
              </w:tc>
              <w:tc>
                <w:tcPr>
                  <w:tcW w:w="885" w:type="dxa"/>
                  <w:noWrap w:val="0"/>
                  <w:vAlign w:val="center"/>
                </w:tcPr>
                <w:p w14:paraId="002B09FF">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65</w:t>
                  </w:r>
                </w:p>
              </w:tc>
              <w:tc>
                <w:tcPr>
                  <w:tcW w:w="1275" w:type="dxa"/>
                  <w:noWrap w:val="0"/>
                  <w:vAlign w:val="center"/>
                </w:tcPr>
                <w:p w14:paraId="0133F048">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清运至市政主管部门指定地点进行处置</w:t>
                  </w:r>
                </w:p>
              </w:tc>
              <w:tc>
                <w:tcPr>
                  <w:tcW w:w="1300" w:type="dxa"/>
                  <w:noWrap w:val="0"/>
                  <w:vAlign w:val="center"/>
                </w:tcPr>
                <w:p w14:paraId="76728B86">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清运至市政主管部门指定地点进行处置</w:t>
                  </w:r>
                </w:p>
              </w:tc>
            </w:tr>
            <w:tr w14:paraId="09043DB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08" w:type="dxa"/>
                  <w:noWrap w:val="0"/>
                  <w:vAlign w:val="center"/>
                </w:tcPr>
                <w:p w14:paraId="025D25D7">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预处理工段除尘设施</w:t>
                  </w:r>
                </w:p>
              </w:tc>
              <w:tc>
                <w:tcPr>
                  <w:tcW w:w="885" w:type="dxa"/>
                  <w:noWrap w:val="0"/>
                  <w:vAlign w:val="center"/>
                </w:tcPr>
                <w:p w14:paraId="1B700F79">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cs="Times New Roman"/>
                      <w:color w:val="auto"/>
                      <w:spacing w:val="0"/>
                      <w:position w:val="0"/>
                      <w:szCs w:val="21"/>
                      <w:highlight w:val="none"/>
                      <w:lang w:val="en-US" w:eastAsia="zh-CN"/>
                    </w:rPr>
                    <w:t>收集</w:t>
                  </w:r>
                  <w:r>
                    <w:rPr>
                      <w:rFonts w:hint="default" w:ascii="Times New Roman" w:hAnsi="Times New Roman" w:eastAsia="宋体" w:cs="Times New Roman"/>
                      <w:color w:val="auto"/>
                      <w:spacing w:val="0"/>
                      <w:position w:val="0"/>
                      <w:szCs w:val="21"/>
                      <w:highlight w:val="none"/>
                    </w:rPr>
                    <w:t>粉尘</w:t>
                  </w:r>
                </w:p>
              </w:tc>
              <w:tc>
                <w:tcPr>
                  <w:tcW w:w="690" w:type="dxa"/>
                  <w:noWrap w:val="0"/>
                  <w:vAlign w:val="center"/>
                </w:tcPr>
                <w:p w14:paraId="456E07F2">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一般固</w:t>
                  </w:r>
                  <w:r>
                    <w:rPr>
                      <w:rFonts w:hint="default" w:ascii="Times New Roman" w:hAnsi="Times New Roman" w:cs="Times New Roman"/>
                      <w:color w:val="auto"/>
                      <w:spacing w:val="0"/>
                      <w:position w:val="0"/>
                      <w:szCs w:val="21"/>
                      <w:highlight w:val="none"/>
                      <w:lang w:val="en-US" w:eastAsia="zh-CN"/>
                    </w:rPr>
                    <w:t>体废</w:t>
                  </w:r>
                  <w:r>
                    <w:rPr>
                      <w:rFonts w:hint="default" w:ascii="Times New Roman" w:hAnsi="Times New Roman" w:eastAsia="宋体" w:cs="Times New Roman"/>
                      <w:color w:val="auto"/>
                      <w:spacing w:val="0"/>
                      <w:position w:val="0"/>
                      <w:szCs w:val="21"/>
                      <w:highlight w:val="none"/>
                    </w:rPr>
                    <w:t>物</w:t>
                  </w:r>
                </w:p>
              </w:tc>
              <w:tc>
                <w:tcPr>
                  <w:tcW w:w="660" w:type="dxa"/>
                  <w:noWrap w:val="0"/>
                  <w:vAlign w:val="center"/>
                </w:tcPr>
                <w:p w14:paraId="5FAB7258">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eastAsia="宋体" w:cs="Times New Roman"/>
                      <w:color w:val="auto"/>
                      <w:spacing w:val="0"/>
                      <w:position w:val="0"/>
                      <w:szCs w:val="21"/>
                      <w:highlight w:val="none"/>
                      <w:lang w:val="en-US" w:eastAsia="zh-CN"/>
                    </w:rPr>
                    <w:t>900-099-S59</w:t>
                  </w:r>
                </w:p>
              </w:tc>
              <w:tc>
                <w:tcPr>
                  <w:tcW w:w="855" w:type="dxa"/>
                  <w:noWrap w:val="0"/>
                  <w:vAlign w:val="center"/>
                </w:tcPr>
                <w:p w14:paraId="1AA5921A">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物料衡算法</w:t>
                  </w:r>
                </w:p>
              </w:tc>
              <w:tc>
                <w:tcPr>
                  <w:tcW w:w="885" w:type="dxa"/>
                  <w:noWrap w:val="0"/>
                  <w:vAlign w:val="center"/>
                </w:tcPr>
                <w:p w14:paraId="6166513C">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22.77</w:t>
                  </w:r>
                </w:p>
              </w:tc>
              <w:tc>
                <w:tcPr>
                  <w:tcW w:w="885" w:type="dxa"/>
                  <w:noWrap w:val="0"/>
                  <w:vAlign w:val="center"/>
                </w:tcPr>
                <w:p w14:paraId="7485C696">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22.77</w:t>
                  </w:r>
                </w:p>
              </w:tc>
              <w:tc>
                <w:tcPr>
                  <w:tcW w:w="1275" w:type="dxa"/>
                  <w:shd w:val="clear" w:color="auto" w:fill="auto"/>
                  <w:noWrap w:val="0"/>
                  <w:vAlign w:val="center"/>
                </w:tcPr>
                <w:p w14:paraId="3FAB4FF2">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清运至市政主管部门指定地点进行处置</w:t>
                  </w:r>
                </w:p>
              </w:tc>
              <w:tc>
                <w:tcPr>
                  <w:tcW w:w="1300" w:type="dxa"/>
                  <w:shd w:val="clear" w:color="auto" w:fill="auto"/>
                  <w:noWrap w:val="0"/>
                  <w:vAlign w:val="center"/>
                </w:tcPr>
                <w:p w14:paraId="2AB8FE1D">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清运至市政主管部门指定地点进行处置</w:t>
                  </w:r>
                </w:p>
              </w:tc>
            </w:tr>
            <w:tr w14:paraId="2483B10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08" w:type="dxa"/>
                  <w:noWrap w:val="0"/>
                  <w:vAlign w:val="center"/>
                </w:tcPr>
                <w:p w14:paraId="46AE14E4">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精炼工段</w:t>
                  </w:r>
                </w:p>
              </w:tc>
              <w:tc>
                <w:tcPr>
                  <w:tcW w:w="885" w:type="dxa"/>
                  <w:noWrap w:val="0"/>
                  <w:vAlign w:val="center"/>
                </w:tcPr>
                <w:p w14:paraId="581AEAB7">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油角</w:t>
                  </w:r>
                </w:p>
              </w:tc>
              <w:tc>
                <w:tcPr>
                  <w:tcW w:w="690" w:type="dxa"/>
                  <w:noWrap w:val="0"/>
                  <w:vAlign w:val="center"/>
                </w:tcPr>
                <w:p w14:paraId="3EC06ADC">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一般固</w:t>
                  </w:r>
                  <w:r>
                    <w:rPr>
                      <w:rFonts w:hint="default" w:ascii="Times New Roman" w:hAnsi="Times New Roman" w:cs="Times New Roman"/>
                      <w:color w:val="auto"/>
                      <w:spacing w:val="0"/>
                      <w:position w:val="0"/>
                      <w:szCs w:val="21"/>
                      <w:highlight w:val="none"/>
                      <w:lang w:val="en-US" w:eastAsia="zh-CN"/>
                    </w:rPr>
                    <w:t>体废</w:t>
                  </w:r>
                  <w:r>
                    <w:rPr>
                      <w:rFonts w:hint="default" w:ascii="Times New Roman" w:hAnsi="Times New Roman" w:eastAsia="宋体" w:cs="Times New Roman"/>
                      <w:color w:val="auto"/>
                      <w:spacing w:val="0"/>
                      <w:position w:val="0"/>
                      <w:szCs w:val="21"/>
                      <w:highlight w:val="none"/>
                    </w:rPr>
                    <w:t>物</w:t>
                  </w:r>
                </w:p>
              </w:tc>
              <w:tc>
                <w:tcPr>
                  <w:tcW w:w="660" w:type="dxa"/>
                  <w:noWrap w:val="0"/>
                  <w:vAlign w:val="center"/>
                </w:tcPr>
                <w:p w14:paraId="5350334D">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eastAsia="宋体" w:cs="Times New Roman"/>
                      <w:color w:val="auto"/>
                      <w:spacing w:val="0"/>
                      <w:position w:val="0"/>
                      <w:szCs w:val="21"/>
                      <w:highlight w:val="none"/>
                      <w:lang w:val="en-US" w:eastAsia="zh-CN"/>
                    </w:rPr>
                    <w:t>133-002-S13</w:t>
                  </w:r>
                </w:p>
              </w:tc>
              <w:tc>
                <w:tcPr>
                  <w:tcW w:w="855" w:type="dxa"/>
                  <w:shd w:val="clear" w:color="auto" w:fill="auto"/>
                  <w:noWrap w:val="0"/>
                  <w:vAlign w:val="center"/>
                </w:tcPr>
                <w:p w14:paraId="50A8EDC6">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类比法</w:t>
                  </w:r>
                </w:p>
              </w:tc>
              <w:tc>
                <w:tcPr>
                  <w:tcW w:w="885" w:type="dxa"/>
                  <w:noWrap w:val="0"/>
                  <w:vAlign w:val="center"/>
                </w:tcPr>
                <w:p w14:paraId="676DCB7E">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72.18</w:t>
                  </w:r>
                </w:p>
              </w:tc>
              <w:tc>
                <w:tcPr>
                  <w:tcW w:w="885" w:type="dxa"/>
                  <w:shd w:val="clear" w:color="auto" w:fill="auto"/>
                  <w:noWrap w:val="0"/>
                  <w:vAlign w:val="center"/>
                </w:tcPr>
                <w:p w14:paraId="2CE6F850">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72.18</w:t>
                  </w:r>
                </w:p>
              </w:tc>
              <w:tc>
                <w:tcPr>
                  <w:tcW w:w="1275" w:type="dxa"/>
                  <w:noWrap w:val="0"/>
                  <w:vAlign w:val="center"/>
                </w:tcPr>
                <w:p w14:paraId="110D8C6F">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外售综合利用</w:t>
                  </w:r>
                </w:p>
              </w:tc>
              <w:tc>
                <w:tcPr>
                  <w:tcW w:w="1300" w:type="dxa"/>
                  <w:noWrap w:val="0"/>
                  <w:vAlign w:val="center"/>
                </w:tcPr>
                <w:p w14:paraId="680C4B56">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cs="Times New Roman"/>
                      <w:color w:val="auto"/>
                      <w:spacing w:val="0"/>
                      <w:position w:val="0"/>
                      <w:szCs w:val="21"/>
                      <w:highlight w:val="none"/>
                      <w:lang w:val="en-US" w:eastAsia="zh-CN"/>
                    </w:rPr>
                    <w:t>外售综合利用</w:t>
                  </w:r>
                </w:p>
              </w:tc>
            </w:tr>
            <w:tr w14:paraId="7C830CE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08" w:type="dxa"/>
                  <w:noWrap w:val="0"/>
                  <w:vAlign w:val="center"/>
                </w:tcPr>
                <w:p w14:paraId="3BDE911A">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cs="Times New Roman"/>
                      <w:color w:val="auto"/>
                      <w:spacing w:val="0"/>
                      <w:position w:val="0"/>
                      <w:szCs w:val="21"/>
                      <w:highlight w:val="none"/>
                      <w:lang w:val="en-US" w:eastAsia="zh-CN"/>
                    </w:rPr>
                    <w:t>精炼工段</w:t>
                  </w:r>
                </w:p>
              </w:tc>
              <w:tc>
                <w:tcPr>
                  <w:tcW w:w="885" w:type="dxa"/>
                  <w:noWrap w:val="0"/>
                  <w:vAlign w:val="center"/>
                </w:tcPr>
                <w:p w14:paraId="01674097">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脂肪酸</w:t>
                  </w:r>
                </w:p>
              </w:tc>
              <w:tc>
                <w:tcPr>
                  <w:tcW w:w="690" w:type="dxa"/>
                  <w:noWrap w:val="0"/>
                  <w:vAlign w:val="center"/>
                </w:tcPr>
                <w:p w14:paraId="2CFAA0F7">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一般固</w:t>
                  </w:r>
                  <w:r>
                    <w:rPr>
                      <w:rFonts w:hint="default" w:ascii="Times New Roman" w:hAnsi="Times New Roman" w:cs="Times New Roman"/>
                      <w:color w:val="auto"/>
                      <w:spacing w:val="0"/>
                      <w:position w:val="0"/>
                      <w:szCs w:val="21"/>
                      <w:highlight w:val="none"/>
                      <w:lang w:val="en-US" w:eastAsia="zh-CN"/>
                    </w:rPr>
                    <w:t>体废</w:t>
                  </w:r>
                  <w:r>
                    <w:rPr>
                      <w:rFonts w:hint="default" w:ascii="Times New Roman" w:hAnsi="Times New Roman" w:eastAsia="宋体" w:cs="Times New Roman"/>
                      <w:color w:val="auto"/>
                      <w:spacing w:val="0"/>
                      <w:position w:val="0"/>
                      <w:szCs w:val="21"/>
                      <w:highlight w:val="none"/>
                    </w:rPr>
                    <w:t>物</w:t>
                  </w:r>
                </w:p>
              </w:tc>
              <w:tc>
                <w:tcPr>
                  <w:tcW w:w="660" w:type="dxa"/>
                  <w:noWrap w:val="0"/>
                  <w:vAlign w:val="center"/>
                </w:tcPr>
                <w:p w14:paraId="42456B3B">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eastAsia="宋体" w:cs="Times New Roman"/>
                      <w:color w:val="auto"/>
                      <w:spacing w:val="0"/>
                      <w:position w:val="0"/>
                      <w:szCs w:val="21"/>
                      <w:highlight w:val="none"/>
                      <w:lang w:val="en-US" w:eastAsia="zh-CN"/>
                    </w:rPr>
                    <w:t>900-099-S13</w:t>
                  </w:r>
                </w:p>
              </w:tc>
              <w:tc>
                <w:tcPr>
                  <w:tcW w:w="855" w:type="dxa"/>
                  <w:shd w:val="clear" w:color="auto" w:fill="auto"/>
                  <w:noWrap w:val="0"/>
                  <w:vAlign w:val="center"/>
                </w:tcPr>
                <w:p w14:paraId="2E4EEB41">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类比法</w:t>
                  </w:r>
                </w:p>
              </w:tc>
              <w:tc>
                <w:tcPr>
                  <w:tcW w:w="885" w:type="dxa"/>
                  <w:noWrap w:val="0"/>
                  <w:vAlign w:val="center"/>
                </w:tcPr>
                <w:p w14:paraId="5FAA24B0">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17.82</w:t>
                  </w:r>
                </w:p>
              </w:tc>
              <w:tc>
                <w:tcPr>
                  <w:tcW w:w="885" w:type="dxa"/>
                  <w:shd w:val="clear" w:color="auto" w:fill="auto"/>
                  <w:noWrap w:val="0"/>
                  <w:vAlign w:val="center"/>
                </w:tcPr>
                <w:p w14:paraId="79B4180C">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17.82</w:t>
                  </w:r>
                </w:p>
              </w:tc>
              <w:tc>
                <w:tcPr>
                  <w:tcW w:w="1275" w:type="dxa"/>
                  <w:noWrap w:val="0"/>
                  <w:vAlign w:val="center"/>
                </w:tcPr>
                <w:p w14:paraId="6ED8E4EF">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cs="Times New Roman"/>
                      <w:color w:val="auto"/>
                      <w:spacing w:val="0"/>
                      <w:position w:val="0"/>
                      <w:szCs w:val="21"/>
                      <w:highlight w:val="none"/>
                      <w:lang w:val="en-US" w:eastAsia="zh-CN"/>
                    </w:rPr>
                    <w:t>外售综合利用</w:t>
                  </w:r>
                </w:p>
              </w:tc>
              <w:tc>
                <w:tcPr>
                  <w:tcW w:w="1300" w:type="dxa"/>
                  <w:noWrap w:val="0"/>
                  <w:vAlign w:val="center"/>
                </w:tcPr>
                <w:p w14:paraId="0CF9FB8D">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cs="Times New Roman"/>
                      <w:color w:val="auto"/>
                      <w:spacing w:val="0"/>
                      <w:position w:val="0"/>
                      <w:szCs w:val="21"/>
                      <w:highlight w:val="none"/>
                      <w:lang w:val="en-US" w:eastAsia="zh-CN"/>
                    </w:rPr>
                    <w:t>外售综合利用</w:t>
                  </w:r>
                </w:p>
              </w:tc>
            </w:tr>
            <w:tr w14:paraId="7D914FF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08" w:type="dxa"/>
                  <w:noWrap w:val="0"/>
                  <w:vAlign w:val="center"/>
                </w:tcPr>
                <w:p w14:paraId="599270BD">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cs="Times New Roman"/>
                      <w:color w:val="auto"/>
                      <w:spacing w:val="0"/>
                      <w:position w:val="0"/>
                      <w:szCs w:val="21"/>
                      <w:highlight w:val="none"/>
                      <w:lang w:val="en-US" w:eastAsia="zh-CN"/>
                    </w:rPr>
                    <w:t>精炼工段</w:t>
                  </w:r>
                </w:p>
              </w:tc>
              <w:tc>
                <w:tcPr>
                  <w:tcW w:w="885" w:type="dxa"/>
                  <w:noWrap w:val="0"/>
                  <w:vAlign w:val="center"/>
                </w:tcPr>
                <w:p w14:paraId="34FEEB0B">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废白土</w:t>
                  </w:r>
                </w:p>
              </w:tc>
              <w:tc>
                <w:tcPr>
                  <w:tcW w:w="690" w:type="dxa"/>
                  <w:noWrap w:val="0"/>
                  <w:vAlign w:val="center"/>
                </w:tcPr>
                <w:p w14:paraId="57E02DCE">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一般固</w:t>
                  </w:r>
                  <w:r>
                    <w:rPr>
                      <w:rFonts w:hint="default" w:ascii="Times New Roman" w:hAnsi="Times New Roman" w:cs="Times New Roman"/>
                      <w:color w:val="auto"/>
                      <w:spacing w:val="0"/>
                      <w:position w:val="0"/>
                      <w:szCs w:val="21"/>
                      <w:highlight w:val="none"/>
                      <w:lang w:val="en-US" w:eastAsia="zh-CN"/>
                    </w:rPr>
                    <w:t>体废</w:t>
                  </w:r>
                  <w:r>
                    <w:rPr>
                      <w:rFonts w:hint="default" w:ascii="Times New Roman" w:hAnsi="Times New Roman" w:eastAsia="宋体" w:cs="Times New Roman"/>
                      <w:color w:val="auto"/>
                      <w:spacing w:val="0"/>
                      <w:position w:val="0"/>
                      <w:szCs w:val="21"/>
                      <w:highlight w:val="none"/>
                    </w:rPr>
                    <w:t>物</w:t>
                  </w:r>
                </w:p>
              </w:tc>
              <w:tc>
                <w:tcPr>
                  <w:tcW w:w="660" w:type="dxa"/>
                  <w:noWrap w:val="0"/>
                  <w:vAlign w:val="center"/>
                </w:tcPr>
                <w:p w14:paraId="74E70781">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eastAsia="宋体" w:cs="Times New Roman"/>
                      <w:color w:val="auto"/>
                      <w:spacing w:val="0"/>
                      <w:position w:val="0"/>
                      <w:szCs w:val="21"/>
                      <w:highlight w:val="none"/>
                      <w:lang w:val="en-US" w:eastAsia="zh-CN"/>
                    </w:rPr>
                    <w:t>133-001-S13</w:t>
                  </w:r>
                </w:p>
              </w:tc>
              <w:tc>
                <w:tcPr>
                  <w:tcW w:w="855" w:type="dxa"/>
                  <w:shd w:val="clear" w:color="auto" w:fill="auto"/>
                  <w:noWrap w:val="0"/>
                  <w:vAlign w:val="center"/>
                </w:tcPr>
                <w:p w14:paraId="5F0E4104">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类比法</w:t>
                  </w:r>
                </w:p>
              </w:tc>
              <w:tc>
                <w:tcPr>
                  <w:tcW w:w="885" w:type="dxa"/>
                  <w:noWrap w:val="0"/>
                  <w:vAlign w:val="center"/>
                </w:tcPr>
                <w:p w14:paraId="7065AA8C">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225</w:t>
                  </w:r>
                </w:p>
              </w:tc>
              <w:tc>
                <w:tcPr>
                  <w:tcW w:w="885" w:type="dxa"/>
                  <w:shd w:val="clear" w:color="auto" w:fill="auto"/>
                  <w:noWrap w:val="0"/>
                  <w:vAlign w:val="center"/>
                </w:tcPr>
                <w:p w14:paraId="61344D67">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225</w:t>
                  </w:r>
                </w:p>
              </w:tc>
              <w:tc>
                <w:tcPr>
                  <w:tcW w:w="1275" w:type="dxa"/>
                  <w:noWrap w:val="0"/>
                  <w:vAlign w:val="center"/>
                </w:tcPr>
                <w:p w14:paraId="4FDA2CDC">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交由厂家回收处理</w:t>
                  </w:r>
                </w:p>
              </w:tc>
              <w:tc>
                <w:tcPr>
                  <w:tcW w:w="1300" w:type="dxa"/>
                  <w:noWrap w:val="0"/>
                  <w:vAlign w:val="center"/>
                </w:tcPr>
                <w:p w14:paraId="7AABC96E">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cs="Times New Roman"/>
                      <w:color w:val="auto"/>
                      <w:spacing w:val="0"/>
                      <w:position w:val="0"/>
                      <w:szCs w:val="21"/>
                      <w:highlight w:val="none"/>
                      <w:lang w:val="en-US" w:eastAsia="zh-CN"/>
                    </w:rPr>
                    <w:t>交由厂家回收处理</w:t>
                  </w:r>
                </w:p>
              </w:tc>
            </w:tr>
            <w:tr w14:paraId="27F42A9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08" w:type="dxa"/>
                  <w:noWrap w:val="0"/>
                  <w:vAlign w:val="center"/>
                </w:tcPr>
                <w:p w14:paraId="6055886B">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锅炉</w:t>
                  </w:r>
                </w:p>
              </w:tc>
              <w:tc>
                <w:tcPr>
                  <w:tcW w:w="885" w:type="dxa"/>
                  <w:shd w:val="clear" w:color="auto" w:fill="auto"/>
                  <w:noWrap w:val="0"/>
                  <w:vAlign w:val="center"/>
                </w:tcPr>
                <w:p w14:paraId="0BB7E83E">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锅炉</w:t>
                  </w:r>
                  <w:r>
                    <w:rPr>
                      <w:rFonts w:hint="default" w:ascii="Times New Roman" w:hAnsi="Times New Roman" w:eastAsia="宋体" w:cs="Times New Roman"/>
                      <w:color w:val="auto"/>
                      <w:spacing w:val="0"/>
                      <w:position w:val="0"/>
                      <w:szCs w:val="21"/>
                      <w:highlight w:val="none"/>
                      <w:lang w:val="en-US" w:eastAsia="zh-CN"/>
                    </w:rPr>
                    <w:t>炉渣</w:t>
                  </w:r>
                </w:p>
              </w:tc>
              <w:tc>
                <w:tcPr>
                  <w:tcW w:w="690" w:type="dxa"/>
                  <w:noWrap w:val="0"/>
                  <w:vAlign w:val="center"/>
                </w:tcPr>
                <w:p w14:paraId="70D6C8EA">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一般固</w:t>
                  </w:r>
                  <w:r>
                    <w:rPr>
                      <w:rFonts w:hint="default" w:ascii="Times New Roman" w:hAnsi="Times New Roman" w:cs="Times New Roman"/>
                      <w:color w:val="auto"/>
                      <w:spacing w:val="0"/>
                      <w:position w:val="0"/>
                      <w:szCs w:val="21"/>
                      <w:highlight w:val="none"/>
                      <w:lang w:val="en-US" w:eastAsia="zh-CN"/>
                    </w:rPr>
                    <w:t>体废</w:t>
                  </w:r>
                  <w:r>
                    <w:rPr>
                      <w:rFonts w:hint="default" w:ascii="Times New Roman" w:hAnsi="Times New Roman" w:eastAsia="宋体" w:cs="Times New Roman"/>
                      <w:color w:val="auto"/>
                      <w:spacing w:val="0"/>
                      <w:position w:val="0"/>
                      <w:szCs w:val="21"/>
                      <w:highlight w:val="none"/>
                    </w:rPr>
                    <w:t>物</w:t>
                  </w:r>
                </w:p>
              </w:tc>
              <w:tc>
                <w:tcPr>
                  <w:tcW w:w="660" w:type="dxa"/>
                  <w:noWrap w:val="0"/>
                  <w:vAlign w:val="center"/>
                </w:tcPr>
                <w:p w14:paraId="0E0FEED4">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900-099-S03</w:t>
                  </w:r>
                </w:p>
              </w:tc>
              <w:tc>
                <w:tcPr>
                  <w:tcW w:w="855" w:type="dxa"/>
                  <w:shd w:val="clear" w:color="auto" w:fill="auto"/>
                  <w:noWrap w:val="0"/>
                  <w:vAlign w:val="center"/>
                </w:tcPr>
                <w:p w14:paraId="7A169488">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物料衡算法</w:t>
                  </w:r>
                </w:p>
              </w:tc>
              <w:tc>
                <w:tcPr>
                  <w:tcW w:w="885" w:type="dxa"/>
                  <w:noWrap w:val="0"/>
                  <w:vAlign w:val="center"/>
                </w:tcPr>
                <w:p w14:paraId="44308A0B">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3845.516</w:t>
                  </w:r>
                </w:p>
              </w:tc>
              <w:tc>
                <w:tcPr>
                  <w:tcW w:w="885" w:type="dxa"/>
                  <w:shd w:val="clear" w:color="auto" w:fill="auto"/>
                  <w:noWrap w:val="0"/>
                  <w:vAlign w:val="center"/>
                </w:tcPr>
                <w:p w14:paraId="52502F01">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3845.516</w:t>
                  </w:r>
                </w:p>
              </w:tc>
              <w:tc>
                <w:tcPr>
                  <w:tcW w:w="1275" w:type="dxa"/>
                  <w:shd w:val="clear" w:color="auto" w:fill="auto"/>
                  <w:noWrap w:val="0"/>
                  <w:vAlign w:val="center"/>
                </w:tcPr>
                <w:p w14:paraId="59267B0F">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外售综合利用</w:t>
                  </w:r>
                </w:p>
              </w:tc>
              <w:tc>
                <w:tcPr>
                  <w:tcW w:w="1300" w:type="dxa"/>
                  <w:shd w:val="clear" w:color="auto" w:fill="auto"/>
                  <w:noWrap w:val="0"/>
                  <w:vAlign w:val="center"/>
                </w:tcPr>
                <w:p w14:paraId="40F7726B">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外售综合利用</w:t>
                  </w:r>
                </w:p>
              </w:tc>
            </w:tr>
            <w:tr w14:paraId="09E9E21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08" w:type="dxa"/>
                  <w:noWrap w:val="0"/>
                  <w:vAlign w:val="center"/>
                </w:tcPr>
                <w:p w14:paraId="475FECE3">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cs="Times New Roman"/>
                      <w:color w:val="auto"/>
                      <w:spacing w:val="0"/>
                      <w:position w:val="0"/>
                      <w:szCs w:val="21"/>
                      <w:highlight w:val="none"/>
                      <w:lang w:val="en-US" w:eastAsia="zh-CN"/>
                    </w:rPr>
                    <w:t>锅炉</w:t>
                  </w:r>
                </w:p>
              </w:tc>
              <w:tc>
                <w:tcPr>
                  <w:tcW w:w="885" w:type="dxa"/>
                  <w:shd w:val="clear" w:color="auto" w:fill="auto"/>
                  <w:noWrap w:val="0"/>
                  <w:vAlign w:val="center"/>
                </w:tcPr>
                <w:p w14:paraId="75C11E37">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除尘器</w:t>
                  </w:r>
                  <w:r>
                    <w:rPr>
                      <w:rFonts w:hint="default" w:ascii="Times New Roman" w:hAnsi="Times New Roman" w:eastAsia="宋体" w:cs="Times New Roman"/>
                      <w:color w:val="auto"/>
                      <w:spacing w:val="0"/>
                      <w:position w:val="0"/>
                      <w:szCs w:val="21"/>
                      <w:highlight w:val="none"/>
                      <w:lang w:val="en-US" w:eastAsia="zh-CN"/>
                    </w:rPr>
                    <w:t>收集粉尘</w:t>
                  </w:r>
                </w:p>
              </w:tc>
              <w:tc>
                <w:tcPr>
                  <w:tcW w:w="690" w:type="dxa"/>
                  <w:noWrap w:val="0"/>
                  <w:vAlign w:val="center"/>
                </w:tcPr>
                <w:p w14:paraId="3247BDE3">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一般固</w:t>
                  </w:r>
                  <w:r>
                    <w:rPr>
                      <w:rFonts w:hint="default" w:ascii="Times New Roman" w:hAnsi="Times New Roman" w:cs="Times New Roman"/>
                      <w:color w:val="auto"/>
                      <w:spacing w:val="0"/>
                      <w:position w:val="0"/>
                      <w:szCs w:val="21"/>
                      <w:highlight w:val="none"/>
                      <w:lang w:val="en-US" w:eastAsia="zh-CN"/>
                    </w:rPr>
                    <w:t>体废</w:t>
                  </w:r>
                  <w:r>
                    <w:rPr>
                      <w:rFonts w:hint="default" w:ascii="Times New Roman" w:hAnsi="Times New Roman" w:eastAsia="宋体" w:cs="Times New Roman"/>
                      <w:color w:val="auto"/>
                      <w:spacing w:val="0"/>
                      <w:position w:val="0"/>
                      <w:szCs w:val="21"/>
                      <w:highlight w:val="none"/>
                    </w:rPr>
                    <w:t>物</w:t>
                  </w:r>
                </w:p>
              </w:tc>
              <w:tc>
                <w:tcPr>
                  <w:tcW w:w="660" w:type="dxa"/>
                  <w:noWrap w:val="0"/>
                  <w:vAlign w:val="center"/>
                </w:tcPr>
                <w:p w14:paraId="207E8294">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900-099-S59</w:t>
                  </w:r>
                </w:p>
              </w:tc>
              <w:tc>
                <w:tcPr>
                  <w:tcW w:w="855" w:type="dxa"/>
                  <w:shd w:val="clear" w:color="auto" w:fill="auto"/>
                  <w:noWrap w:val="0"/>
                  <w:vAlign w:val="center"/>
                </w:tcPr>
                <w:p w14:paraId="55B70B53">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物料衡算法</w:t>
                  </w:r>
                </w:p>
              </w:tc>
              <w:tc>
                <w:tcPr>
                  <w:tcW w:w="885" w:type="dxa"/>
                  <w:noWrap w:val="0"/>
                  <w:vAlign w:val="center"/>
                </w:tcPr>
                <w:p w14:paraId="0691FAB6">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1922.814</w:t>
                  </w:r>
                </w:p>
              </w:tc>
              <w:tc>
                <w:tcPr>
                  <w:tcW w:w="885" w:type="dxa"/>
                  <w:shd w:val="clear" w:color="auto" w:fill="auto"/>
                  <w:noWrap w:val="0"/>
                  <w:vAlign w:val="center"/>
                </w:tcPr>
                <w:p w14:paraId="0083E45F">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1922.814</w:t>
                  </w:r>
                </w:p>
              </w:tc>
              <w:tc>
                <w:tcPr>
                  <w:tcW w:w="1275" w:type="dxa"/>
                  <w:shd w:val="clear" w:color="auto" w:fill="auto"/>
                  <w:noWrap w:val="0"/>
                  <w:vAlign w:val="center"/>
                </w:tcPr>
                <w:p w14:paraId="3FA5DCBE">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外售综合利用</w:t>
                  </w:r>
                </w:p>
              </w:tc>
              <w:tc>
                <w:tcPr>
                  <w:tcW w:w="1300" w:type="dxa"/>
                  <w:shd w:val="clear" w:color="auto" w:fill="auto"/>
                  <w:noWrap w:val="0"/>
                  <w:vAlign w:val="center"/>
                </w:tcPr>
                <w:p w14:paraId="46596836">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外售综合利用</w:t>
                  </w:r>
                </w:p>
              </w:tc>
            </w:tr>
            <w:tr w14:paraId="2C76642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08" w:type="dxa"/>
                  <w:shd w:val="clear" w:color="auto" w:fill="auto"/>
                  <w:noWrap w:val="0"/>
                  <w:vAlign w:val="center"/>
                </w:tcPr>
                <w:p w14:paraId="29FA6297">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锅炉</w:t>
                  </w:r>
                </w:p>
              </w:tc>
              <w:tc>
                <w:tcPr>
                  <w:tcW w:w="885" w:type="dxa"/>
                  <w:shd w:val="clear" w:color="auto" w:fill="auto"/>
                  <w:noWrap w:val="0"/>
                  <w:vAlign w:val="center"/>
                </w:tcPr>
                <w:p w14:paraId="78693B87">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废离子交换树脂</w:t>
                  </w:r>
                </w:p>
              </w:tc>
              <w:tc>
                <w:tcPr>
                  <w:tcW w:w="690" w:type="dxa"/>
                  <w:shd w:val="clear" w:color="auto" w:fill="auto"/>
                  <w:noWrap w:val="0"/>
                  <w:vAlign w:val="center"/>
                </w:tcPr>
                <w:p w14:paraId="5B906077">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一般固</w:t>
                  </w:r>
                  <w:r>
                    <w:rPr>
                      <w:rFonts w:hint="default" w:ascii="Times New Roman" w:hAnsi="Times New Roman" w:cs="Times New Roman"/>
                      <w:color w:val="auto"/>
                      <w:spacing w:val="0"/>
                      <w:position w:val="0"/>
                      <w:szCs w:val="21"/>
                      <w:highlight w:val="none"/>
                      <w:lang w:val="en-US" w:eastAsia="zh-CN"/>
                    </w:rPr>
                    <w:t>体废</w:t>
                  </w:r>
                  <w:r>
                    <w:rPr>
                      <w:rFonts w:hint="default" w:ascii="Times New Roman" w:hAnsi="Times New Roman" w:eastAsia="宋体" w:cs="Times New Roman"/>
                      <w:color w:val="auto"/>
                      <w:spacing w:val="0"/>
                      <w:position w:val="0"/>
                      <w:szCs w:val="21"/>
                      <w:highlight w:val="none"/>
                    </w:rPr>
                    <w:t>物</w:t>
                  </w:r>
                </w:p>
              </w:tc>
              <w:tc>
                <w:tcPr>
                  <w:tcW w:w="660" w:type="dxa"/>
                  <w:shd w:val="clear" w:color="auto" w:fill="auto"/>
                  <w:noWrap w:val="0"/>
                  <w:vAlign w:val="center"/>
                </w:tcPr>
                <w:p w14:paraId="3C9C9021">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SA"/>
                    </w:rPr>
                    <w:t>900-009-S59</w:t>
                  </w:r>
                </w:p>
              </w:tc>
              <w:tc>
                <w:tcPr>
                  <w:tcW w:w="855" w:type="dxa"/>
                  <w:shd w:val="clear" w:color="auto" w:fill="auto"/>
                  <w:noWrap w:val="0"/>
                  <w:vAlign w:val="center"/>
                </w:tcPr>
                <w:p w14:paraId="6CA23C14">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lang w:val="en-US" w:eastAsia="zh-CN"/>
                    </w:rPr>
                    <w:t>类比法</w:t>
                  </w:r>
                </w:p>
              </w:tc>
              <w:tc>
                <w:tcPr>
                  <w:tcW w:w="885" w:type="dxa"/>
                  <w:shd w:val="clear" w:color="auto" w:fill="auto"/>
                  <w:noWrap w:val="0"/>
                  <w:vAlign w:val="center"/>
                </w:tcPr>
                <w:p w14:paraId="16BC37A7">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kern w:val="2"/>
                      <w:position w:val="0"/>
                      <w:sz w:val="21"/>
                      <w:szCs w:val="21"/>
                      <w:highlight w:val="none"/>
                      <w:lang w:val="en-US" w:eastAsia="zh-CN" w:bidi="ar-SA"/>
                    </w:rPr>
                    <w:t>0.3</w:t>
                  </w:r>
                </w:p>
              </w:tc>
              <w:tc>
                <w:tcPr>
                  <w:tcW w:w="885" w:type="dxa"/>
                  <w:shd w:val="clear" w:color="auto" w:fill="auto"/>
                  <w:noWrap w:val="0"/>
                  <w:vAlign w:val="center"/>
                </w:tcPr>
                <w:p w14:paraId="416D7CF6">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kern w:val="2"/>
                      <w:position w:val="0"/>
                      <w:sz w:val="21"/>
                      <w:szCs w:val="21"/>
                      <w:highlight w:val="none"/>
                      <w:lang w:val="en-US" w:eastAsia="zh-CN" w:bidi="ar-SA"/>
                    </w:rPr>
                    <w:t>0.3</w:t>
                  </w:r>
                </w:p>
              </w:tc>
              <w:tc>
                <w:tcPr>
                  <w:tcW w:w="1275" w:type="dxa"/>
                  <w:shd w:val="clear" w:color="auto" w:fill="auto"/>
                  <w:noWrap w:val="0"/>
                  <w:vAlign w:val="center"/>
                </w:tcPr>
                <w:p w14:paraId="30077D87">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交由厂家回收处理</w:t>
                  </w:r>
                </w:p>
              </w:tc>
              <w:tc>
                <w:tcPr>
                  <w:tcW w:w="1300" w:type="dxa"/>
                  <w:shd w:val="clear" w:color="auto" w:fill="auto"/>
                  <w:noWrap w:val="0"/>
                  <w:vAlign w:val="center"/>
                </w:tcPr>
                <w:p w14:paraId="2A6525DF">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交由厂家回收处理</w:t>
                  </w:r>
                </w:p>
              </w:tc>
            </w:tr>
            <w:tr w14:paraId="15D64F7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08" w:type="dxa"/>
                  <w:shd w:val="clear" w:color="auto" w:fill="auto"/>
                  <w:noWrap w:val="0"/>
                  <w:vAlign w:val="center"/>
                </w:tcPr>
                <w:p w14:paraId="04A9961C">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锅炉</w:t>
                  </w:r>
                </w:p>
              </w:tc>
              <w:tc>
                <w:tcPr>
                  <w:tcW w:w="885" w:type="dxa"/>
                  <w:shd w:val="clear" w:color="auto" w:fill="auto"/>
                  <w:noWrap w:val="0"/>
                  <w:vAlign w:val="center"/>
                </w:tcPr>
                <w:p w14:paraId="72F48E14">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废布袋</w:t>
                  </w:r>
                </w:p>
              </w:tc>
              <w:tc>
                <w:tcPr>
                  <w:tcW w:w="690" w:type="dxa"/>
                  <w:shd w:val="clear" w:color="auto" w:fill="auto"/>
                  <w:noWrap w:val="0"/>
                  <w:vAlign w:val="center"/>
                </w:tcPr>
                <w:p w14:paraId="59366368">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一般固</w:t>
                  </w:r>
                  <w:r>
                    <w:rPr>
                      <w:rFonts w:hint="default" w:ascii="Times New Roman" w:hAnsi="Times New Roman" w:cs="Times New Roman"/>
                      <w:color w:val="auto"/>
                      <w:spacing w:val="0"/>
                      <w:position w:val="0"/>
                      <w:szCs w:val="21"/>
                      <w:highlight w:val="none"/>
                      <w:lang w:val="en-US" w:eastAsia="zh-CN"/>
                    </w:rPr>
                    <w:t>体废</w:t>
                  </w:r>
                  <w:r>
                    <w:rPr>
                      <w:rFonts w:hint="default" w:ascii="Times New Roman" w:hAnsi="Times New Roman" w:eastAsia="宋体" w:cs="Times New Roman"/>
                      <w:color w:val="auto"/>
                      <w:spacing w:val="0"/>
                      <w:position w:val="0"/>
                      <w:szCs w:val="21"/>
                      <w:highlight w:val="none"/>
                    </w:rPr>
                    <w:t>物</w:t>
                  </w:r>
                </w:p>
              </w:tc>
              <w:tc>
                <w:tcPr>
                  <w:tcW w:w="660" w:type="dxa"/>
                  <w:shd w:val="clear" w:color="auto" w:fill="auto"/>
                  <w:noWrap w:val="0"/>
                  <w:vAlign w:val="center"/>
                </w:tcPr>
                <w:p w14:paraId="700AF5BC">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SA"/>
                    </w:rPr>
                    <w:t>900-009-S59</w:t>
                  </w:r>
                </w:p>
              </w:tc>
              <w:tc>
                <w:tcPr>
                  <w:tcW w:w="855" w:type="dxa"/>
                  <w:shd w:val="clear" w:color="auto" w:fill="auto"/>
                  <w:noWrap w:val="0"/>
                  <w:vAlign w:val="center"/>
                </w:tcPr>
                <w:p w14:paraId="4CBB9037">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SA"/>
                    </w:rPr>
                    <w:t>类比法</w:t>
                  </w:r>
                </w:p>
              </w:tc>
              <w:tc>
                <w:tcPr>
                  <w:tcW w:w="885" w:type="dxa"/>
                  <w:shd w:val="clear" w:color="auto" w:fill="auto"/>
                  <w:noWrap w:val="0"/>
                  <w:vAlign w:val="center"/>
                </w:tcPr>
                <w:p w14:paraId="36C1BBAC">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kern w:val="2"/>
                      <w:position w:val="0"/>
                      <w:sz w:val="21"/>
                      <w:szCs w:val="21"/>
                      <w:highlight w:val="none"/>
                      <w:lang w:val="en-US" w:eastAsia="zh-CN" w:bidi="ar-SA"/>
                    </w:rPr>
                    <w:t>0.2</w:t>
                  </w:r>
                </w:p>
              </w:tc>
              <w:tc>
                <w:tcPr>
                  <w:tcW w:w="885" w:type="dxa"/>
                  <w:shd w:val="clear" w:color="auto" w:fill="auto"/>
                  <w:noWrap w:val="0"/>
                  <w:vAlign w:val="center"/>
                </w:tcPr>
                <w:p w14:paraId="73932D39">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kern w:val="2"/>
                      <w:position w:val="0"/>
                      <w:sz w:val="21"/>
                      <w:szCs w:val="21"/>
                      <w:highlight w:val="none"/>
                      <w:lang w:val="en-US" w:eastAsia="zh-CN" w:bidi="ar-SA"/>
                    </w:rPr>
                    <w:t>0.2</w:t>
                  </w:r>
                </w:p>
              </w:tc>
              <w:tc>
                <w:tcPr>
                  <w:tcW w:w="1275" w:type="dxa"/>
                  <w:shd w:val="clear" w:color="auto" w:fill="auto"/>
                  <w:noWrap w:val="0"/>
                  <w:vAlign w:val="center"/>
                </w:tcPr>
                <w:p w14:paraId="2E5FE8CA">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交由厂家回收处理</w:t>
                  </w:r>
                </w:p>
              </w:tc>
              <w:tc>
                <w:tcPr>
                  <w:tcW w:w="1300" w:type="dxa"/>
                  <w:shd w:val="clear" w:color="auto" w:fill="auto"/>
                  <w:noWrap w:val="0"/>
                  <w:vAlign w:val="center"/>
                </w:tcPr>
                <w:p w14:paraId="658BABD6">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交由厂家回收处理</w:t>
                  </w:r>
                </w:p>
              </w:tc>
            </w:tr>
            <w:tr w14:paraId="622A282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08" w:type="dxa"/>
                  <w:shd w:val="clear" w:color="auto" w:fill="auto"/>
                  <w:noWrap w:val="0"/>
                  <w:vAlign w:val="center"/>
                </w:tcPr>
                <w:p w14:paraId="43907A94">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SA"/>
                    </w:rPr>
                    <w:t>污水处理</w:t>
                  </w:r>
                </w:p>
              </w:tc>
              <w:tc>
                <w:tcPr>
                  <w:tcW w:w="885" w:type="dxa"/>
                  <w:shd w:val="clear" w:color="auto" w:fill="auto"/>
                  <w:noWrap w:val="0"/>
                  <w:vAlign w:val="center"/>
                </w:tcPr>
                <w:p w14:paraId="320241D3">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SA"/>
                    </w:rPr>
                    <w:t>污泥</w:t>
                  </w:r>
                </w:p>
              </w:tc>
              <w:tc>
                <w:tcPr>
                  <w:tcW w:w="690" w:type="dxa"/>
                  <w:shd w:val="clear" w:color="auto" w:fill="auto"/>
                  <w:noWrap w:val="0"/>
                  <w:vAlign w:val="center"/>
                </w:tcPr>
                <w:p w14:paraId="5CF087E7">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一般固</w:t>
                  </w:r>
                  <w:r>
                    <w:rPr>
                      <w:rFonts w:hint="default" w:ascii="Times New Roman" w:hAnsi="Times New Roman" w:cs="Times New Roman"/>
                      <w:color w:val="auto"/>
                      <w:spacing w:val="0"/>
                      <w:position w:val="0"/>
                      <w:szCs w:val="21"/>
                      <w:highlight w:val="none"/>
                      <w:lang w:val="en-US" w:eastAsia="zh-CN"/>
                    </w:rPr>
                    <w:t>体废</w:t>
                  </w:r>
                  <w:r>
                    <w:rPr>
                      <w:rFonts w:hint="default" w:ascii="Times New Roman" w:hAnsi="Times New Roman" w:eastAsia="宋体" w:cs="Times New Roman"/>
                      <w:color w:val="auto"/>
                      <w:spacing w:val="0"/>
                      <w:position w:val="0"/>
                      <w:szCs w:val="21"/>
                      <w:highlight w:val="none"/>
                    </w:rPr>
                    <w:t>物</w:t>
                  </w:r>
                </w:p>
              </w:tc>
              <w:tc>
                <w:tcPr>
                  <w:tcW w:w="660" w:type="dxa"/>
                  <w:shd w:val="clear" w:color="auto" w:fill="auto"/>
                  <w:noWrap w:val="0"/>
                  <w:vAlign w:val="center"/>
                </w:tcPr>
                <w:p w14:paraId="17FB52A2">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SA"/>
                    </w:rPr>
                    <w:t>900-099-S07</w:t>
                  </w:r>
                </w:p>
              </w:tc>
              <w:tc>
                <w:tcPr>
                  <w:tcW w:w="855" w:type="dxa"/>
                  <w:shd w:val="clear" w:color="auto" w:fill="auto"/>
                  <w:noWrap w:val="0"/>
                  <w:vAlign w:val="center"/>
                </w:tcPr>
                <w:p w14:paraId="27C45194">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产污系数法</w:t>
                  </w:r>
                </w:p>
              </w:tc>
              <w:tc>
                <w:tcPr>
                  <w:tcW w:w="885" w:type="dxa"/>
                  <w:shd w:val="clear" w:color="auto" w:fill="auto"/>
                  <w:noWrap w:val="0"/>
                  <w:vAlign w:val="center"/>
                </w:tcPr>
                <w:p w14:paraId="38E4BBAF">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SA"/>
                    </w:rPr>
                    <w:t>13.681</w:t>
                  </w:r>
                </w:p>
              </w:tc>
              <w:tc>
                <w:tcPr>
                  <w:tcW w:w="885" w:type="dxa"/>
                  <w:shd w:val="clear" w:color="auto" w:fill="auto"/>
                  <w:noWrap w:val="0"/>
                  <w:vAlign w:val="center"/>
                </w:tcPr>
                <w:p w14:paraId="71B636CB">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SA"/>
                    </w:rPr>
                    <w:t>13.681</w:t>
                  </w:r>
                </w:p>
              </w:tc>
              <w:tc>
                <w:tcPr>
                  <w:tcW w:w="1275" w:type="dxa"/>
                  <w:shd w:val="clear" w:color="auto" w:fill="auto"/>
                  <w:noWrap w:val="0"/>
                  <w:vAlign w:val="center"/>
                </w:tcPr>
                <w:p w14:paraId="526DAD7E">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清运至市政主管部门指定地点进行处置</w:t>
                  </w:r>
                </w:p>
              </w:tc>
              <w:tc>
                <w:tcPr>
                  <w:tcW w:w="1300" w:type="dxa"/>
                  <w:shd w:val="clear" w:color="auto" w:fill="auto"/>
                  <w:noWrap w:val="0"/>
                  <w:vAlign w:val="center"/>
                </w:tcPr>
                <w:p w14:paraId="0DF3DA44">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清运至市政主管部门指定地点进行处置</w:t>
                  </w:r>
                </w:p>
              </w:tc>
            </w:tr>
            <w:tr w14:paraId="3C69859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08" w:type="dxa"/>
                  <w:noWrap w:val="0"/>
                  <w:vAlign w:val="center"/>
                </w:tcPr>
                <w:p w14:paraId="22F179F3">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污水处理</w:t>
                  </w:r>
                </w:p>
              </w:tc>
              <w:tc>
                <w:tcPr>
                  <w:tcW w:w="885" w:type="dxa"/>
                  <w:noWrap w:val="0"/>
                  <w:vAlign w:val="center"/>
                </w:tcPr>
                <w:p w14:paraId="5344A844">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废活性炭</w:t>
                  </w:r>
                </w:p>
              </w:tc>
              <w:tc>
                <w:tcPr>
                  <w:tcW w:w="690" w:type="dxa"/>
                  <w:noWrap w:val="0"/>
                  <w:vAlign w:val="center"/>
                </w:tcPr>
                <w:p w14:paraId="0294BFC0">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一般固</w:t>
                  </w:r>
                  <w:r>
                    <w:rPr>
                      <w:rFonts w:hint="default" w:ascii="Times New Roman" w:hAnsi="Times New Roman" w:cs="Times New Roman"/>
                      <w:color w:val="auto"/>
                      <w:spacing w:val="0"/>
                      <w:position w:val="0"/>
                      <w:szCs w:val="21"/>
                      <w:highlight w:val="none"/>
                      <w:lang w:val="en-US" w:eastAsia="zh-CN"/>
                    </w:rPr>
                    <w:t>体废</w:t>
                  </w:r>
                  <w:r>
                    <w:rPr>
                      <w:rFonts w:hint="default" w:ascii="Times New Roman" w:hAnsi="Times New Roman" w:eastAsia="宋体" w:cs="Times New Roman"/>
                      <w:color w:val="auto"/>
                      <w:spacing w:val="0"/>
                      <w:position w:val="0"/>
                      <w:szCs w:val="21"/>
                      <w:highlight w:val="none"/>
                    </w:rPr>
                    <w:t>物</w:t>
                  </w:r>
                </w:p>
              </w:tc>
              <w:tc>
                <w:tcPr>
                  <w:tcW w:w="660" w:type="dxa"/>
                  <w:noWrap w:val="0"/>
                  <w:vAlign w:val="center"/>
                </w:tcPr>
                <w:p w14:paraId="51515F01">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900-008-S59</w:t>
                  </w:r>
                </w:p>
              </w:tc>
              <w:tc>
                <w:tcPr>
                  <w:tcW w:w="855" w:type="dxa"/>
                  <w:shd w:val="clear" w:color="auto" w:fill="auto"/>
                  <w:noWrap w:val="0"/>
                  <w:vAlign w:val="center"/>
                </w:tcPr>
                <w:p w14:paraId="694BB67F">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物料衡算法</w:t>
                  </w:r>
                </w:p>
              </w:tc>
              <w:tc>
                <w:tcPr>
                  <w:tcW w:w="885" w:type="dxa"/>
                  <w:noWrap w:val="0"/>
                  <w:vAlign w:val="center"/>
                </w:tcPr>
                <w:p w14:paraId="3A9ADD87">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0.147</w:t>
                  </w:r>
                </w:p>
              </w:tc>
              <w:tc>
                <w:tcPr>
                  <w:tcW w:w="885" w:type="dxa"/>
                  <w:shd w:val="clear" w:color="auto" w:fill="auto"/>
                  <w:noWrap w:val="0"/>
                  <w:vAlign w:val="center"/>
                </w:tcPr>
                <w:p w14:paraId="69BFCFC0">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0.147</w:t>
                  </w:r>
                </w:p>
              </w:tc>
              <w:tc>
                <w:tcPr>
                  <w:tcW w:w="1275" w:type="dxa"/>
                  <w:shd w:val="clear" w:color="auto" w:fill="auto"/>
                  <w:noWrap w:val="0"/>
                  <w:vAlign w:val="center"/>
                </w:tcPr>
                <w:p w14:paraId="709D9050">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清运至市政主管部门指定地点进行处置</w:t>
                  </w:r>
                </w:p>
              </w:tc>
              <w:tc>
                <w:tcPr>
                  <w:tcW w:w="1300" w:type="dxa"/>
                  <w:shd w:val="clear" w:color="auto" w:fill="auto"/>
                  <w:noWrap w:val="0"/>
                  <w:vAlign w:val="center"/>
                </w:tcPr>
                <w:p w14:paraId="61CE8821">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Cs w:val="21"/>
                      <w:highlight w:val="none"/>
                    </w:rPr>
                    <w:t>清运至市政主管部门指定地点进行处置</w:t>
                  </w:r>
                </w:p>
              </w:tc>
            </w:tr>
          </w:tbl>
          <w:p w14:paraId="5717DF2A">
            <w:pPr>
              <w:pStyle w:val="83"/>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32"/>
                <w:highlight w:val="none"/>
                <w:lang w:val="en-US" w:eastAsia="zh-CN"/>
              </w:rPr>
              <w:t>表4-16 危险废物汇总表</w:t>
            </w:r>
          </w:p>
          <w:tbl>
            <w:tblPr>
              <w:tblStyle w:val="29"/>
              <w:tblW w:w="4995"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6" w:space="0"/>
              </w:tblBorders>
              <w:tblLayout w:type="fixed"/>
              <w:tblCellMar>
                <w:top w:w="0" w:type="dxa"/>
                <w:left w:w="0" w:type="dxa"/>
                <w:bottom w:w="0" w:type="dxa"/>
                <w:right w:w="0" w:type="dxa"/>
              </w:tblCellMar>
            </w:tblPr>
            <w:tblGrid>
              <w:gridCol w:w="601"/>
              <w:gridCol w:w="584"/>
              <w:gridCol w:w="943"/>
              <w:gridCol w:w="713"/>
              <w:gridCol w:w="760"/>
              <w:gridCol w:w="748"/>
              <w:gridCol w:w="701"/>
              <w:gridCol w:w="701"/>
              <w:gridCol w:w="654"/>
              <w:gridCol w:w="598"/>
              <w:gridCol w:w="553"/>
              <w:gridCol w:w="784"/>
            </w:tblGrid>
            <w:tr w14:paraId="7C09DE88">
              <w:tblPrEx>
                <w:tblBorders>
                  <w:top w:val="single" w:color="000000" w:sz="12" w:space="0"/>
                  <w:left w:val="none" w:color="auto" w:sz="0" w:space="0"/>
                  <w:bottom w:val="single" w:color="000000" w:sz="1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23" w:hRule="atLeast"/>
                <w:jc w:val="center"/>
              </w:trPr>
              <w:tc>
                <w:tcPr>
                  <w:tcW w:w="710" w:type="pct"/>
                  <w:gridSpan w:val="2"/>
                  <w:tcBorders>
                    <w:tl2br w:val="nil"/>
                    <w:tr2bl w:val="nil"/>
                  </w:tcBorders>
                  <w:noWrap w:val="0"/>
                  <w:vAlign w:val="center"/>
                </w:tcPr>
                <w:p w14:paraId="7C3EEF16">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危险废物名称</w:t>
                  </w:r>
                </w:p>
              </w:tc>
              <w:tc>
                <w:tcPr>
                  <w:tcW w:w="565" w:type="pct"/>
                  <w:tcBorders>
                    <w:tl2br w:val="nil"/>
                    <w:tr2bl w:val="nil"/>
                  </w:tcBorders>
                  <w:noWrap w:val="0"/>
                  <w:vAlign w:val="center"/>
                </w:tcPr>
                <w:p w14:paraId="390FEDCF">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危险废物类别</w:t>
                  </w:r>
                </w:p>
              </w:tc>
              <w:tc>
                <w:tcPr>
                  <w:tcW w:w="427" w:type="pct"/>
                  <w:tcBorders>
                    <w:tl2br w:val="nil"/>
                    <w:tr2bl w:val="nil"/>
                  </w:tcBorders>
                  <w:noWrap w:val="0"/>
                  <w:vAlign w:val="center"/>
                </w:tcPr>
                <w:p w14:paraId="10E042EC">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危险废物代码</w:t>
                  </w:r>
                </w:p>
              </w:tc>
              <w:tc>
                <w:tcPr>
                  <w:tcW w:w="455" w:type="pct"/>
                  <w:tcBorders>
                    <w:tl2br w:val="nil"/>
                    <w:tr2bl w:val="nil"/>
                  </w:tcBorders>
                  <w:noWrap w:val="0"/>
                  <w:vAlign w:val="center"/>
                </w:tcPr>
                <w:p w14:paraId="7B98041F">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产生量</w:t>
                  </w:r>
                </w:p>
                <w:p w14:paraId="41778098">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（t/a）</w:t>
                  </w:r>
                </w:p>
              </w:tc>
              <w:tc>
                <w:tcPr>
                  <w:tcW w:w="448" w:type="pct"/>
                  <w:tcBorders>
                    <w:tl2br w:val="nil"/>
                    <w:tr2bl w:val="nil"/>
                  </w:tcBorders>
                  <w:noWrap w:val="0"/>
                  <w:vAlign w:val="center"/>
                </w:tcPr>
                <w:p w14:paraId="2C04C5AD">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产生工序及装置</w:t>
                  </w:r>
                </w:p>
              </w:tc>
              <w:tc>
                <w:tcPr>
                  <w:tcW w:w="420" w:type="pct"/>
                  <w:tcBorders>
                    <w:tl2br w:val="nil"/>
                    <w:tr2bl w:val="nil"/>
                  </w:tcBorders>
                  <w:noWrap w:val="0"/>
                  <w:vAlign w:val="center"/>
                </w:tcPr>
                <w:p w14:paraId="58EF62EC">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形态</w:t>
                  </w:r>
                </w:p>
              </w:tc>
              <w:tc>
                <w:tcPr>
                  <w:tcW w:w="420" w:type="pct"/>
                  <w:tcBorders>
                    <w:tl2br w:val="nil"/>
                    <w:tr2bl w:val="nil"/>
                  </w:tcBorders>
                  <w:noWrap w:val="0"/>
                  <w:vAlign w:val="center"/>
                </w:tcPr>
                <w:p w14:paraId="1D08D357">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主要成分</w:t>
                  </w:r>
                </w:p>
              </w:tc>
              <w:tc>
                <w:tcPr>
                  <w:tcW w:w="392" w:type="pct"/>
                  <w:tcBorders>
                    <w:tl2br w:val="nil"/>
                    <w:tr2bl w:val="nil"/>
                  </w:tcBorders>
                  <w:noWrap w:val="0"/>
                  <w:vAlign w:val="center"/>
                </w:tcPr>
                <w:p w14:paraId="250247B8">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有害成分</w:t>
                  </w:r>
                </w:p>
              </w:tc>
              <w:tc>
                <w:tcPr>
                  <w:tcW w:w="358" w:type="pct"/>
                  <w:tcBorders>
                    <w:tl2br w:val="nil"/>
                    <w:tr2bl w:val="nil"/>
                  </w:tcBorders>
                  <w:noWrap w:val="0"/>
                  <w:vAlign w:val="center"/>
                </w:tcPr>
                <w:p w14:paraId="3D400312">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产废周期</w:t>
                  </w:r>
                </w:p>
              </w:tc>
              <w:tc>
                <w:tcPr>
                  <w:tcW w:w="331" w:type="pct"/>
                  <w:tcBorders>
                    <w:tl2br w:val="nil"/>
                    <w:tr2bl w:val="nil"/>
                  </w:tcBorders>
                  <w:noWrap w:val="0"/>
                  <w:vAlign w:val="center"/>
                </w:tcPr>
                <w:p w14:paraId="1F6592D3">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危险特性</w:t>
                  </w:r>
                </w:p>
              </w:tc>
              <w:tc>
                <w:tcPr>
                  <w:tcW w:w="470" w:type="pct"/>
                  <w:tcBorders>
                    <w:tl2br w:val="nil"/>
                    <w:tr2bl w:val="nil"/>
                  </w:tcBorders>
                  <w:noWrap w:val="0"/>
                  <w:vAlign w:val="center"/>
                </w:tcPr>
                <w:p w14:paraId="5F17E0E8">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污染防治措施</w:t>
                  </w:r>
                </w:p>
              </w:tc>
            </w:tr>
            <w:tr w14:paraId="702D04E9">
              <w:tblPrEx>
                <w:tblBorders>
                  <w:top w:val="single" w:color="000000" w:sz="12" w:space="0"/>
                  <w:left w:val="none" w:color="auto" w:sz="0" w:space="0"/>
                  <w:bottom w:val="single" w:color="000000" w:sz="1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959" w:hRule="atLeast"/>
                <w:jc w:val="center"/>
              </w:trPr>
              <w:tc>
                <w:tcPr>
                  <w:tcW w:w="360" w:type="pct"/>
                  <w:tcBorders>
                    <w:tl2br w:val="nil"/>
                    <w:tr2bl w:val="nil"/>
                  </w:tcBorders>
                  <w:noWrap w:val="0"/>
                  <w:vAlign w:val="center"/>
                </w:tcPr>
                <w:p w14:paraId="10F1B53F">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精炼车间</w:t>
                  </w:r>
                </w:p>
              </w:tc>
              <w:tc>
                <w:tcPr>
                  <w:tcW w:w="350" w:type="pct"/>
                  <w:tcBorders>
                    <w:tl2br w:val="nil"/>
                    <w:tr2bl w:val="nil"/>
                  </w:tcBorders>
                  <w:noWrap w:val="0"/>
                  <w:vAlign w:val="center"/>
                </w:tcPr>
                <w:p w14:paraId="7A60183D">
                  <w:pPr>
                    <w:pStyle w:val="9"/>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rPr>
                      <w:rFonts w:hint="default" w:ascii="Times New Roman" w:hAnsi="Times New Roman" w:eastAsia="宋体" w:cs="Times New Roman"/>
                      <w:color w:val="auto"/>
                      <w:spacing w:val="0"/>
                      <w:kern w:val="0"/>
                      <w:position w:val="0"/>
                      <w:sz w:val="21"/>
                      <w:szCs w:val="20"/>
                      <w:highlight w:val="none"/>
                      <w:lang w:val="en-US" w:eastAsia="zh-CN" w:bidi="ar-SA"/>
                    </w:rPr>
                  </w:pPr>
                  <w:r>
                    <w:rPr>
                      <w:rFonts w:hint="default" w:ascii="Times New Roman" w:hAnsi="Times New Roman" w:cs="Times New Roman"/>
                      <w:color w:val="auto"/>
                      <w:spacing w:val="0"/>
                      <w:kern w:val="0"/>
                      <w:position w:val="0"/>
                      <w:sz w:val="21"/>
                      <w:szCs w:val="20"/>
                      <w:highlight w:val="none"/>
                      <w:lang w:val="en-US" w:eastAsia="zh-CN" w:bidi="ar-SA"/>
                    </w:rPr>
                    <w:t>废活性炭</w:t>
                  </w:r>
                </w:p>
              </w:tc>
              <w:tc>
                <w:tcPr>
                  <w:tcW w:w="565" w:type="pct"/>
                  <w:tcBorders>
                    <w:tl2br w:val="nil"/>
                    <w:tr2bl w:val="nil"/>
                  </w:tcBorders>
                  <w:noWrap w:val="0"/>
                  <w:vAlign w:val="center"/>
                </w:tcPr>
                <w:p w14:paraId="4F69BABA">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HW49</w:t>
                  </w:r>
                </w:p>
                <w:p w14:paraId="62132D66">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其他废物</w:t>
                  </w:r>
                </w:p>
              </w:tc>
              <w:tc>
                <w:tcPr>
                  <w:tcW w:w="427" w:type="pct"/>
                  <w:tcBorders>
                    <w:tl2br w:val="nil"/>
                    <w:tr2bl w:val="nil"/>
                  </w:tcBorders>
                  <w:noWrap w:val="0"/>
                  <w:vAlign w:val="center"/>
                </w:tcPr>
                <w:p w14:paraId="0C9C2198">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kern w:val="2"/>
                      <w:position w:val="0"/>
                      <w:sz w:val="21"/>
                      <w:szCs w:val="24"/>
                      <w:highlight w:val="none"/>
                      <w:lang w:val="en-US" w:eastAsia="zh-CN" w:bidi="ar-SA"/>
                    </w:rPr>
                  </w:pPr>
                  <w:r>
                    <w:rPr>
                      <w:rFonts w:hint="default" w:ascii="Times New Roman" w:hAnsi="Times New Roman" w:eastAsia="宋体" w:cs="Times New Roman"/>
                      <w:color w:val="auto"/>
                      <w:spacing w:val="0"/>
                      <w:kern w:val="2"/>
                      <w:position w:val="0"/>
                      <w:szCs w:val="24"/>
                      <w:highlight w:val="none"/>
                      <w:lang w:val="en-US" w:eastAsia="zh-CN"/>
                    </w:rPr>
                    <w:t>900-0</w:t>
                  </w:r>
                  <w:r>
                    <w:rPr>
                      <w:rFonts w:hint="default" w:ascii="Times New Roman" w:hAnsi="Times New Roman" w:cs="Times New Roman"/>
                      <w:color w:val="auto"/>
                      <w:spacing w:val="0"/>
                      <w:kern w:val="2"/>
                      <w:position w:val="0"/>
                      <w:szCs w:val="24"/>
                      <w:highlight w:val="none"/>
                      <w:lang w:val="en-US" w:eastAsia="zh-CN"/>
                    </w:rPr>
                    <w:t>39</w:t>
                  </w:r>
                  <w:r>
                    <w:rPr>
                      <w:rFonts w:hint="default" w:ascii="Times New Roman" w:hAnsi="Times New Roman" w:eastAsia="宋体" w:cs="Times New Roman"/>
                      <w:color w:val="auto"/>
                      <w:spacing w:val="0"/>
                      <w:kern w:val="2"/>
                      <w:position w:val="0"/>
                      <w:szCs w:val="24"/>
                      <w:highlight w:val="none"/>
                      <w:lang w:val="en-US" w:eastAsia="zh-CN"/>
                    </w:rPr>
                    <w:t>-49</w:t>
                  </w:r>
                </w:p>
              </w:tc>
              <w:tc>
                <w:tcPr>
                  <w:tcW w:w="455" w:type="pct"/>
                  <w:tcBorders>
                    <w:tl2br w:val="nil"/>
                    <w:tr2bl w:val="nil"/>
                  </w:tcBorders>
                  <w:noWrap w:val="0"/>
                  <w:vAlign w:val="center"/>
                </w:tcPr>
                <w:p w14:paraId="1E1A57C8">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eastAsia="宋体" w:cs="Times New Roman"/>
                      <w:color w:val="auto"/>
                      <w:spacing w:val="0"/>
                      <w:position w:val="0"/>
                      <w:highlight w:val="none"/>
                    </w:rPr>
                    <w:t>0.</w:t>
                  </w:r>
                  <w:r>
                    <w:rPr>
                      <w:rFonts w:hint="default" w:ascii="Times New Roman" w:hAnsi="Times New Roman" w:cs="Times New Roman"/>
                      <w:color w:val="auto"/>
                      <w:spacing w:val="0"/>
                      <w:position w:val="0"/>
                      <w:highlight w:val="none"/>
                      <w:lang w:val="en-US" w:eastAsia="zh-CN"/>
                    </w:rPr>
                    <w:t>418</w:t>
                  </w:r>
                </w:p>
              </w:tc>
              <w:tc>
                <w:tcPr>
                  <w:tcW w:w="748" w:type="dxa"/>
                  <w:tcBorders>
                    <w:tl2br w:val="nil"/>
                    <w:tr2bl w:val="nil"/>
                  </w:tcBorders>
                  <w:noWrap w:val="0"/>
                  <w:vAlign w:val="center"/>
                </w:tcPr>
                <w:p w14:paraId="56E1C94F">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lang w:eastAsia="zh-CN"/>
                    </w:rPr>
                  </w:pPr>
                  <w:r>
                    <w:rPr>
                      <w:rFonts w:hint="default" w:ascii="Times New Roman" w:hAnsi="Times New Roman" w:cs="Times New Roman"/>
                      <w:color w:val="auto"/>
                      <w:spacing w:val="0"/>
                      <w:position w:val="0"/>
                      <w:highlight w:val="none"/>
                      <w:lang w:val="en-US" w:eastAsia="zh-CN"/>
                    </w:rPr>
                    <w:t>精炼车间</w:t>
                  </w:r>
                </w:p>
              </w:tc>
              <w:tc>
                <w:tcPr>
                  <w:tcW w:w="420" w:type="pct"/>
                  <w:tcBorders>
                    <w:tl2br w:val="nil"/>
                    <w:tr2bl w:val="nil"/>
                  </w:tcBorders>
                  <w:noWrap w:val="0"/>
                  <w:vAlign w:val="center"/>
                </w:tcPr>
                <w:p w14:paraId="1AE33E50">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固体</w:t>
                  </w:r>
                </w:p>
              </w:tc>
              <w:tc>
                <w:tcPr>
                  <w:tcW w:w="420" w:type="pct"/>
                  <w:tcBorders>
                    <w:tl2br w:val="nil"/>
                    <w:tr2bl w:val="nil"/>
                  </w:tcBorders>
                  <w:noWrap w:val="0"/>
                  <w:vAlign w:val="center"/>
                </w:tcPr>
                <w:p w14:paraId="376F407F">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eastAsia="宋体" w:cs="Times New Roman"/>
                      <w:color w:val="auto"/>
                      <w:spacing w:val="0"/>
                      <w:kern w:val="2"/>
                      <w:position w:val="0"/>
                      <w:szCs w:val="24"/>
                      <w:highlight w:val="none"/>
                      <w:lang w:val="en-US" w:eastAsia="zh-CN"/>
                    </w:rPr>
                    <w:t>有机溶剂</w:t>
                  </w:r>
                </w:p>
              </w:tc>
              <w:tc>
                <w:tcPr>
                  <w:tcW w:w="392" w:type="pct"/>
                  <w:tcBorders>
                    <w:tl2br w:val="nil"/>
                    <w:tr2bl w:val="nil"/>
                  </w:tcBorders>
                  <w:noWrap w:val="0"/>
                  <w:vAlign w:val="center"/>
                </w:tcPr>
                <w:p w14:paraId="5407C190">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kern w:val="2"/>
                      <w:position w:val="0"/>
                      <w:szCs w:val="24"/>
                      <w:highlight w:val="none"/>
                      <w:lang w:val="en-US" w:eastAsia="zh-CN"/>
                    </w:rPr>
                    <w:t>有机溶剂</w:t>
                  </w:r>
                </w:p>
              </w:tc>
              <w:tc>
                <w:tcPr>
                  <w:tcW w:w="358" w:type="pct"/>
                  <w:tcBorders>
                    <w:tl2br w:val="nil"/>
                    <w:tr2bl w:val="nil"/>
                  </w:tcBorders>
                  <w:noWrap w:val="0"/>
                  <w:vAlign w:val="center"/>
                </w:tcPr>
                <w:p w14:paraId="7F1CCFDF">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lang w:val="en-US"/>
                    </w:rPr>
                  </w:pPr>
                  <w:r>
                    <w:rPr>
                      <w:rFonts w:hint="default" w:ascii="Times New Roman" w:hAnsi="Times New Roman" w:cs="Times New Roman"/>
                      <w:color w:val="auto"/>
                      <w:spacing w:val="0"/>
                      <w:position w:val="0"/>
                      <w:highlight w:val="none"/>
                      <w:lang w:val="en-US" w:eastAsia="zh-CN"/>
                    </w:rPr>
                    <w:t>3个月</w:t>
                  </w:r>
                </w:p>
              </w:tc>
              <w:tc>
                <w:tcPr>
                  <w:tcW w:w="331" w:type="pct"/>
                  <w:tcBorders>
                    <w:tl2br w:val="nil"/>
                    <w:tr2bl w:val="nil"/>
                  </w:tcBorders>
                  <w:noWrap w:val="0"/>
                  <w:vAlign w:val="center"/>
                </w:tcPr>
                <w:p w14:paraId="36E74CF2">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kern w:val="2"/>
                      <w:position w:val="0"/>
                      <w:szCs w:val="24"/>
                      <w:highlight w:val="none"/>
                      <w:lang w:val="en-US" w:eastAsia="zh-CN"/>
                    </w:rPr>
                    <w:t>T</w:t>
                  </w:r>
                </w:p>
              </w:tc>
              <w:tc>
                <w:tcPr>
                  <w:tcW w:w="470" w:type="pct"/>
                  <w:vMerge w:val="restart"/>
                  <w:tcBorders>
                    <w:tl2br w:val="nil"/>
                    <w:tr2bl w:val="nil"/>
                  </w:tcBorders>
                  <w:noWrap w:val="0"/>
                  <w:vAlign w:val="center"/>
                </w:tcPr>
                <w:p w14:paraId="7838C0C7">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暂存</w:t>
                  </w:r>
                  <w:r>
                    <w:rPr>
                      <w:rFonts w:hint="default" w:ascii="Times New Roman" w:hAnsi="Times New Roman" w:cs="Times New Roman"/>
                      <w:color w:val="auto"/>
                      <w:spacing w:val="0"/>
                      <w:position w:val="0"/>
                      <w:highlight w:val="none"/>
                      <w:lang w:eastAsia="zh-CN"/>
                    </w:rPr>
                    <w:t>危险废物贮存库</w:t>
                  </w:r>
                  <w:r>
                    <w:rPr>
                      <w:rFonts w:hint="default" w:ascii="Times New Roman" w:hAnsi="Times New Roman" w:eastAsia="宋体" w:cs="Times New Roman"/>
                      <w:color w:val="auto"/>
                      <w:spacing w:val="0"/>
                      <w:position w:val="0"/>
                      <w:highlight w:val="none"/>
                    </w:rPr>
                    <w:t>，定期由具有资质单位处理。</w:t>
                  </w:r>
                </w:p>
              </w:tc>
            </w:tr>
            <w:tr w14:paraId="06748FA9">
              <w:tblPrEx>
                <w:tblBorders>
                  <w:top w:val="single" w:color="000000" w:sz="12" w:space="0"/>
                  <w:left w:val="none" w:color="auto" w:sz="0" w:space="0"/>
                  <w:bottom w:val="single" w:color="000000" w:sz="1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465" w:hRule="atLeast"/>
                <w:jc w:val="center"/>
              </w:trPr>
              <w:tc>
                <w:tcPr>
                  <w:tcW w:w="360" w:type="pct"/>
                  <w:tcBorders>
                    <w:tl2br w:val="nil"/>
                    <w:tr2bl w:val="nil"/>
                  </w:tcBorders>
                  <w:noWrap w:val="0"/>
                  <w:vAlign w:val="center"/>
                </w:tcPr>
                <w:p w14:paraId="71AD84FD">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维修保养</w:t>
                  </w:r>
                </w:p>
              </w:tc>
              <w:tc>
                <w:tcPr>
                  <w:tcW w:w="350" w:type="pct"/>
                  <w:tcBorders>
                    <w:tl2br w:val="nil"/>
                    <w:tr2bl w:val="nil"/>
                  </w:tcBorders>
                  <w:noWrap w:val="0"/>
                  <w:vAlign w:val="center"/>
                </w:tcPr>
                <w:p w14:paraId="56127156">
                  <w:pPr>
                    <w:pStyle w:val="9"/>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废机油</w:t>
                  </w:r>
                </w:p>
              </w:tc>
              <w:tc>
                <w:tcPr>
                  <w:tcW w:w="565" w:type="pct"/>
                  <w:tcBorders>
                    <w:tl2br w:val="nil"/>
                    <w:tr2bl w:val="nil"/>
                  </w:tcBorders>
                  <w:noWrap w:val="0"/>
                  <w:vAlign w:val="center"/>
                </w:tcPr>
                <w:p w14:paraId="56B05014">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HW08废矿物油与含矿物油废物</w:t>
                  </w:r>
                </w:p>
              </w:tc>
              <w:tc>
                <w:tcPr>
                  <w:tcW w:w="427" w:type="pct"/>
                  <w:tcBorders>
                    <w:tl2br w:val="nil"/>
                    <w:tr2bl w:val="nil"/>
                  </w:tcBorders>
                  <w:noWrap w:val="0"/>
                  <w:vAlign w:val="center"/>
                </w:tcPr>
                <w:p w14:paraId="6053CDC9">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kern w:val="2"/>
                      <w:position w:val="0"/>
                      <w:szCs w:val="24"/>
                      <w:highlight w:val="none"/>
                      <w:lang w:val="en-US" w:eastAsia="zh-CN"/>
                    </w:rPr>
                  </w:pPr>
                  <w:r>
                    <w:rPr>
                      <w:rFonts w:hint="default" w:ascii="Times New Roman" w:hAnsi="Times New Roman" w:cs="Times New Roman"/>
                      <w:color w:val="auto"/>
                      <w:spacing w:val="0"/>
                      <w:kern w:val="2"/>
                      <w:position w:val="0"/>
                      <w:szCs w:val="24"/>
                      <w:highlight w:val="none"/>
                      <w:lang w:val="en-US" w:eastAsia="zh-CN"/>
                    </w:rPr>
                    <w:t>900-249-08</w:t>
                  </w:r>
                </w:p>
              </w:tc>
              <w:tc>
                <w:tcPr>
                  <w:tcW w:w="455" w:type="pct"/>
                  <w:tcBorders>
                    <w:tl2br w:val="nil"/>
                    <w:tr2bl w:val="nil"/>
                  </w:tcBorders>
                  <w:noWrap w:val="0"/>
                  <w:vAlign w:val="center"/>
                </w:tcPr>
                <w:p w14:paraId="023A58CE">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0.1</w:t>
                  </w:r>
                </w:p>
              </w:tc>
              <w:tc>
                <w:tcPr>
                  <w:tcW w:w="748" w:type="dxa"/>
                  <w:tcBorders>
                    <w:tl2br w:val="nil"/>
                    <w:tr2bl w:val="nil"/>
                  </w:tcBorders>
                  <w:noWrap w:val="0"/>
                  <w:vAlign w:val="center"/>
                </w:tcPr>
                <w:p w14:paraId="32DA8F77">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lang w:eastAsia="zh-CN"/>
                    </w:rPr>
                  </w:pPr>
                  <w:r>
                    <w:rPr>
                      <w:rFonts w:hint="default" w:ascii="Times New Roman" w:hAnsi="Times New Roman" w:cs="Times New Roman"/>
                      <w:color w:val="auto"/>
                      <w:spacing w:val="0"/>
                      <w:position w:val="0"/>
                      <w:highlight w:val="none"/>
                      <w:lang w:val="en-US" w:eastAsia="zh-CN"/>
                    </w:rPr>
                    <w:t>维修保养</w:t>
                  </w:r>
                </w:p>
              </w:tc>
              <w:tc>
                <w:tcPr>
                  <w:tcW w:w="420" w:type="pct"/>
                  <w:tcBorders>
                    <w:tl2br w:val="nil"/>
                    <w:tr2bl w:val="nil"/>
                  </w:tcBorders>
                  <w:noWrap w:val="0"/>
                  <w:vAlign w:val="center"/>
                </w:tcPr>
                <w:p w14:paraId="6433E167">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液体</w:t>
                  </w:r>
                </w:p>
              </w:tc>
              <w:tc>
                <w:tcPr>
                  <w:tcW w:w="420" w:type="pct"/>
                  <w:tcBorders>
                    <w:tl2br w:val="nil"/>
                    <w:tr2bl w:val="nil"/>
                  </w:tcBorders>
                  <w:noWrap w:val="0"/>
                  <w:vAlign w:val="center"/>
                </w:tcPr>
                <w:p w14:paraId="156F5EC5">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kern w:val="2"/>
                      <w:position w:val="0"/>
                      <w:szCs w:val="24"/>
                      <w:highlight w:val="none"/>
                      <w:lang w:val="en-US" w:eastAsia="zh-CN"/>
                    </w:rPr>
                  </w:pPr>
                  <w:r>
                    <w:rPr>
                      <w:rFonts w:hint="default" w:ascii="Times New Roman" w:hAnsi="Times New Roman" w:eastAsia="宋体" w:cs="Times New Roman"/>
                      <w:color w:val="auto"/>
                      <w:spacing w:val="0"/>
                      <w:kern w:val="2"/>
                      <w:position w:val="0"/>
                      <w:szCs w:val="24"/>
                      <w:highlight w:val="none"/>
                      <w:lang w:val="en-US" w:eastAsia="zh-CN"/>
                    </w:rPr>
                    <w:t>有机溶剂</w:t>
                  </w:r>
                </w:p>
              </w:tc>
              <w:tc>
                <w:tcPr>
                  <w:tcW w:w="392" w:type="pct"/>
                  <w:tcBorders>
                    <w:tl2br w:val="nil"/>
                    <w:tr2bl w:val="nil"/>
                  </w:tcBorders>
                  <w:noWrap w:val="0"/>
                  <w:vAlign w:val="center"/>
                </w:tcPr>
                <w:p w14:paraId="57B99E84">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kern w:val="2"/>
                      <w:position w:val="0"/>
                      <w:szCs w:val="24"/>
                      <w:highlight w:val="none"/>
                      <w:lang w:val="en-US" w:eastAsia="zh-CN"/>
                    </w:rPr>
                  </w:pPr>
                  <w:r>
                    <w:rPr>
                      <w:rFonts w:hint="default" w:ascii="Times New Roman" w:hAnsi="Times New Roman" w:eastAsia="宋体" w:cs="Times New Roman"/>
                      <w:color w:val="auto"/>
                      <w:spacing w:val="0"/>
                      <w:kern w:val="2"/>
                      <w:position w:val="0"/>
                      <w:szCs w:val="24"/>
                      <w:highlight w:val="none"/>
                      <w:lang w:val="en-US" w:eastAsia="zh-CN"/>
                    </w:rPr>
                    <w:t>有机溶剂</w:t>
                  </w:r>
                </w:p>
              </w:tc>
              <w:tc>
                <w:tcPr>
                  <w:tcW w:w="358" w:type="pct"/>
                  <w:tcBorders>
                    <w:tl2br w:val="nil"/>
                    <w:tr2bl w:val="nil"/>
                  </w:tcBorders>
                  <w:noWrap w:val="0"/>
                  <w:vAlign w:val="center"/>
                </w:tcPr>
                <w:p w14:paraId="214940F1">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cs="Times New Roman"/>
                      <w:color w:val="auto"/>
                      <w:spacing w:val="0"/>
                      <w:position w:val="0"/>
                      <w:highlight w:val="none"/>
                      <w:lang w:val="en-US" w:eastAsia="zh-CN"/>
                    </w:rPr>
                    <w:t>3个月</w:t>
                  </w:r>
                </w:p>
              </w:tc>
              <w:tc>
                <w:tcPr>
                  <w:tcW w:w="331" w:type="pct"/>
                  <w:tcBorders>
                    <w:tl2br w:val="nil"/>
                    <w:tr2bl w:val="nil"/>
                  </w:tcBorders>
                  <w:noWrap w:val="0"/>
                  <w:vAlign w:val="center"/>
                </w:tcPr>
                <w:p w14:paraId="1DE02949">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kern w:val="2"/>
                      <w:position w:val="0"/>
                      <w:szCs w:val="24"/>
                      <w:highlight w:val="none"/>
                      <w:lang w:val="en-US" w:eastAsia="zh-CN"/>
                    </w:rPr>
                  </w:pPr>
                  <w:r>
                    <w:rPr>
                      <w:rFonts w:hint="default" w:ascii="Times New Roman" w:hAnsi="Times New Roman" w:cs="Times New Roman"/>
                      <w:color w:val="auto"/>
                      <w:spacing w:val="0"/>
                      <w:kern w:val="2"/>
                      <w:position w:val="0"/>
                      <w:szCs w:val="24"/>
                      <w:highlight w:val="none"/>
                      <w:lang w:val="en-US" w:eastAsia="zh-CN"/>
                    </w:rPr>
                    <w:t>T，I</w:t>
                  </w:r>
                </w:p>
              </w:tc>
              <w:tc>
                <w:tcPr>
                  <w:tcW w:w="470" w:type="pct"/>
                  <w:vMerge w:val="continue"/>
                  <w:tcBorders>
                    <w:tl2br w:val="nil"/>
                    <w:tr2bl w:val="nil"/>
                  </w:tcBorders>
                  <w:noWrap w:val="0"/>
                  <w:vAlign w:val="center"/>
                </w:tcPr>
                <w:p w14:paraId="23ED2D0C">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position w:val="0"/>
                      <w:highlight w:val="none"/>
                    </w:rPr>
                  </w:pPr>
                </w:p>
              </w:tc>
            </w:tr>
          </w:tbl>
          <w:p w14:paraId="3201C0C2">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lang w:val="en-US" w:eastAsia="zh-CN"/>
              </w:rPr>
              <w:t>2、环境要求</w:t>
            </w:r>
          </w:p>
          <w:p w14:paraId="37441DB1">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lang w:val="en-US" w:eastAsia="zh-CN"/>
              </w:rPr>
              <w:t>（1）一般工业固体废物</w:t>
            </w:r>
          </w:p>
          <w:p w14:paraId="6B5FEF0D">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lang w:val="en-US" w:eastAsia="zh-CN"/>
              </w:rPr>
              <w:t>①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w:t>
            </w:r>
          </w:p>
          <w:p w14:paraId="4481C0F2">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lang w:val="en-US" w:eastAsia="zh-CN"/>
              </w:rPr>
              <w:t>②禁止向生活垃圾收集设施中投放工业固体废物。</w:t>
            </w:r>
          </w:p>
          <w:p w14:paraId="07C8552D">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lang w:val="en-US" w:eastAsia="zh-CN"/>
              </w:rPr>
              <w:t>③产生工业固体废物的单位委托他人运输、利用、处置工业固体废物的，应当对受托方的主体资格和技术能力进行核实，依法签订书面合同，在合同中约定污染防治要求。受托方运输、利用、处置工业固体废物，应当依照有关法律法规的规定和合同约定履行污染防治要求，并将运输、利用、处置情况告知产生工业固体废物的单位。</w:t>
            </w:r>
          </w:p>
          <w:p w14:paraId="57D17373">
            <w:pPr>
              <w:pStyle w:val="10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outlineLvl w:val="9"/>
              <w:rPr>
                <w:rFonts w:hint="default" w:ascii="Times New Roman" w:hAnsi="Times New Roman" w:eastAsia="宋体" w:cs="Times New Roman"/>
                <w:color w:val="auto"/>
                <w:spacing w:val="0"/>
                <w:kern w:val="21"/>
                <w:position w:val="0"/>
                <w:sz w:val="24"/>
                <w:szCs w:val="24"/>
                <w:highlight w:val="none"/>
                <w:lang w:val="en-US" w:eastAsia="zh-CN"/>
              </w:rPr>
            </w:pPr>
            <w:r>
              <w:rPr>
                <w:rFonts w:hint="default" w:ascii="Times New Roman" w:hAnsi="Times New Roman" w:eastAsia="宋体" w:cs="Times New Roman"/>
                <w:color w:val="auto"/>
                <w:spacing w:val="0"/>
                <w:kern w:val="21"/>
                <w:position w:val="0"/>
                <w:sz w:val="24"/>
                <w:szCs w:val="24"/>
                <w:highlight w:val="none"/>
                <w:lang w:eastAsia="zh-CN"/>
              </w:rPr>
              <w:t>（</w:t>
            </w:r>
            <w:r>
              <w:rPr>
                <w:rFonts w:hint="default" w:ascii="Times New Roman" w:hAnsi="Times New Roman" w:eastAsia="宋体" w:cs="Times New Roman"/>
                <w:color w:val="auto"/>
                <w:spacing w:val="0"/>
                <w:kern w:val="21"/>
                <w:position w:val="0"/>
                <w:sz w:val="24"/>
                <w:szCs w:val="24"/>
                <w:highlight w:val="none"/>
                <w:lang w:val="en-US" w:eastAsia="zh-CN"/>
              </w:rPr>
              <w:t>2</w:t>
            </w:r>
            <w:r>
              <w:rPr>
                <w:rFonts w:hint="default" w:ascii="Times New Roman" w:hAnsi="Times New Roman" w:eastAsia="宋体" w:cs="Times New Roman"/>
                <w:color w:val="auto"/>
                <w:spacing w:val="0"/>
                <w:kern w:val="21"/>
                <w:position w:val="0"/>
                <w:sz w:val="24"/>
                <w:szCs w:val="24"/>
                <w:highlight w:val="none"/>
                <w:lang w:eastAsia="zh-CN"/>
              </w:rPr>
              <w:t>）</w:t>
            </w:r>
            <w:r>
              <w:rPr>
                <w:rFonts w:hint="default" w:ascii="Times New Roman" w:hAnsi="Times New Roman" w:eastAsia="宋体" w:cs="Times New Roman"/>
                <w:color w:val="auto"/>
                <w:spacing w:val="0"/>
                <w:kern w:val="21"/>
                <w:position w:val="0"/>
                <w:sz w:val="24"/>
                <w:szCs w:val="24"/>
                <w:highlight w:val="none"/>
                <w:lang w:val="en-US" w:eastAsia="zh-CN"/>
              </w:rPr>
              <w:t>危险废物</w:t>
            </w:r>
          </w:p>
          <w:p w14:paraId="6E48FF03">
            <w:pPr>
              <w:pStyle w:val="107"/>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outlineLvl w:val="9"/>
              <w:rPr>
                <w:rFonts w:hint="default" w:ascii="Times New Roman" w:hAnsi="Times New Roman" w:eastAsia="宋体" w:cs="Times New Roman"/>
                <w:color w:val="auto"/>
                <w:spacing w:val="0"/>
                <w:kern w:val="21"/>
                <w:position w:val="0"/>
                <w:sz w:val="24"/>
                <w:szCs w:val="24"/>
                <w:highlight w:val="none"/>
              </w:rPr>
            </w:pPr>
            <w:r>
              <w:rPr>
                <w:rFonts w:hint="default" w:ascii="Times New Roman" w:hAnsi="Times New Roman" w:eastAsia="宋体" w:cs="Times New Roman"/>
                <w:color w:val="auto"/>
                <w:spacing w:val="0"/>
                <w:kern w:val="21"/>
                <w:position w:val="0"/>
                <w:sz w:val="24"/>
                <w:szCs w:val="24"/>
                <w:highlight w:val="none"/>
                <w:lang w:eastAsia="zh-CN"/>
              </w:rPr>
              <w:t>危险废物贮存库</w:t>
            </w:r>
            <w:r>
              <w:rPr>
                <w:rFonts w:hint="default" w:ascii="Times New Roman" w:hAnsi="Times New Roman" w:eastAsia="宋体" w:cs="Times New Roman"/>
                <w:color w:val="auto"/>
                <w:spacing w:val="0"/>
                <w:kern w:val="21"/>
                <w:position w:val="0"/>
                <w:sz w:val="24"/>
                <w:szCs w:val="24"/>
                <w:highlight w:val="none"/>
              </w:rPr>
              <w:t>应根据《中华人民共和国固体废物污染环境防治法》、《危险废物贮存污染控制标准》（GB18597-2023）、《危险废物收集贮存运输技术规范》（HJ2025-2012）</w:t>
            </w:r>
            <w:r>
              <w:rPr>
                <w:rFonts w:hint="default" w:ascii="Times New Roman" w:hAnsi="Times New Roman" w:eastAsia="宋体" w:cs="Times New Roman"/>
                <w:color w:val="auto"/>
                <w:spacing w:val="0"/>
                <w:kern w:val="21"/>
                <w:position w:val="0"/>
                <w:sz w:val="24"/>
                <w:szCs w:val="24"/>
                <w:highlight w:val="none"/>
                <w:lang w:eastAsia="zh-CN"/>
              </w:rPr>
              <w:t>等</w:t>
            </w:r>
            <w:r>
              <w:rPr>
                <w:rFonts w:hint="default" w:ascii="Times New Roman" w:hAnsi="Times New Roman" w:eastAsia="宋体" w:cs="Times New Roman"/>
                <w:color w:val="auto"/>
                <w:spacing w:val="0"/>
                <w:kern w:val="21"/>
                <w:position w:val="0"/>
                <w:sz w:val="24"/>
                <w:szCs w:val="24"/>
                <w:highlight w:val="none"/>
              </w:rPr>
              <w:t>相关要求执行，具体如下：</w:t>
            </w:r>
          </w:p>
          <w:p w14:paraId="0DC087A9">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lang w:val="en-US" w:eastAsia="zh-CN"/>
              </w:rPr>
              <w:t>1</w:t>
            </w:r>
            <w:r>
              <w:rPr>
                <w:rFonts w:hint="default" w:ascii="Times New Roman" w:hAnsi="Times New Roman" w:eastAsia="宋体" w:cs="Times New Roman"/>
                <w:bCs/>
                <w:color w:val="auto"/>
                <w:spacing w:val="0"/>
                <w:kern w:val="21"/>
                <w:position w:val="0"/>
                <w:sz w:val="24"/>
                <w:szCs w:val="24"/>
                <w:highlight w:val="none"/>
              </w:rPr>
              <w:t>）安全贮存技术要求</w:t>
            </w:r>
          </w:p>
          <w:p w14:paraId="36206B26">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lang w:val="en-US" w:eastAsia="zh-CN"/>
              </w:rPr>
              <w:t>①</w:t>
            </w:r>
            <w:r>
              <w:rPr>
                <w:rFonts w:hint="default" w:ascii="Times New Roman" w:hAnsi="Times New Roman" w:eastAsia="宋体" w:cs="Times New Roman"/>
                <w:bCs/>
                <w:color w:val="auto"/>
                <w:spacing w:val="0"/>
                <w:kern w:val="21"/>
                <w:position w:val="0"/>
                <w:sz w:val="24"/>
                <w:szCs w:val="24"/>
                <w:highlight w:val="none"/>
              </w:rPr>
              <w:t>危险废物产生、收集</w:t>
            </w:r>
          </w:p>
          <w:p w14:paraId="6FCE1C0F">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rPr>
              <w:t>危险废物在收集时，按《关于加强危险废物交换和转移管理工作的通知》要求，根据危险废物的性质和形态，采用相应材质、容器进行安全包装，并在包装的明显位置附上危险废物标签。通过严格检查，严防在装载、搬迁或运输中出现渗漏、溢出、抛洒或挥发等不利情况。</w:t>
            </w:r>
          </w:p>
          <w:p w14:paraId="258F96C5">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lang w:val="en-US" w:eastAsia="zh-CN"/>
              </w:rPr>
              <w:t>②</w:t>
            </w:r>
            <w:r>
              <w:rPr>
                <w:rFonts w:hint="default" w:ascii="Times New Roman" w:hAnsi="Times New Roman" w:eastAsia="宋体" w:cs="Times New Roman"/>
                <w:bCs/>
                <w:color w:val="auto"/>
                <w:spacing w:val="0"/>
                <w:kern w:val="21"/>
                <w:position w:val="0"/>
                <w:sz w:val="24"/>
                <w:szCs w:val="24"/>
                <w:highlight w:val="none"/>
              </w:rPr>
              <w:t>贮存</w:t>
            </w:r>
          </w:p>
          <w:p w14:paraId="24AC3043">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rPr>
              <w:t>项目</w:t>
            </w:r>
            <w:r>
              <w:rPr>
                <w:rFonts w:hint="default" w:ascii="Times New Roman" w:hAnsi="Times New Roman" w:eastAsia="宋体" w:cs="Times New Roman"/>
                <w:bCs/>
                <w:color w:val="auto"/>
                <w:spacing w:val="0"/>
                <w:kern w:val="21"/>
                <w:position w:val="0"/>
                <w:sz w:val="24"/>
                <w:szCs w:val="24"/>
                <w:highlight w:val="none"/>
                <w:lang w:eastAsia="zh-CN"/>
              </w:rPr>
              <w:t>危险废物贮存库</w:t>
            </w:r>
            <w:r>
              <w:rPr>
                <w:rFonts w:hint="default" w:ascii="Times New Roman" w:hAnsi="Times New Roman" w:eastAsia="宋体" w:cs="Times New Roman"/>
                <w:bCs/>
                <w:color w:val="auto"/>
                <w:spacing w:val="0"/>
                <w:kern w:val="21"/>
                <w:position w:val="0"/>
                <w:sz w:val="24"/>
                <w:szCs w:val="24"/>
                <w:highlight w:val="none"/>
              </w:rPr>
              <w:t>严格按《危险废物贮存污染控制标准》</w:t>
            </w:r>
            <w:r>
              <w:rPr>
                <w:rFonts w:hint="default" w:ascii="Times New Roman" w:hAnsi="Times New Roman" w:eastAsia="宋体" w:cs="Times New Roman"/>
                <w:bCs/>
                <w:color w:val="auto"/>
                <w:spacing w:val="0"/>
                <w:kern w:val="21"/>
                <w:position w:val="0"/>
                <w:sz w:val="24"/>
                <w:szCs w:val="24"/>
                <w:highlight w:val="none"/>
                <w:lang w:eastAsia="zh-CN"/>
              </w:rPr>
              <w:t>（</w:t>
            </w:r>
            <w:r>
              <w:rPr>
                <w:rFonts w:hint="default" w:ascii="Times New Roman" w:hAnsi="Times New Roman" w:eastAsia="宋体" w:cs="Times New Roman"/>
                <w:bCs/>
                <w:color w:val="auto"/>
                <w:spacing w:val="0"/>
                <w:kern w:val="21"/>
                <w:position w:val="0"/>
                <w:sz w:val="24"/>
                <w:szCs w:val="24"/>
                <w:highlight w:val="none"/>
              </w:rPr>
              <w:t>GB18597-2023</w:t>
            </w:r>
            <w:r>
              <w:rPr>
                <w:rFonts w:hint="default" w:ascii="Times New Roman" w:hAnsi="Times New Roman" w:eastAsia="宋体" w:cs="Times New Roman"/>
                <w:bCs/>
                <w:color w:val="auto"/>
                <w:spacing w:val="0"/>
                <w:kern w:val="21"/>
                <w:position w:val="0"/>
                <w:sz w:val="24"/>
                <w:szCs w:val="24"/>
                <w:highlight w:val="none"/>
                <w:lang w:eastAsia="zh-CN"/>
              </w:rPr>
              <w:t>）</w:t>
            </w:r>
            <w:r>
              <w:rPr>
                <w:rFonts w:hint="default" w:ascii="Times New Roman" w:hAnsi="Times New Roman" w:eastAsia="宋体" w:cs="Times New Roman"/>
                <w:bCs/>
                <w:color w:val="auto"/>
                <w:spacing w:val="0"/>
                <w:kern w:val="21"/>
                <w:position w:val="0"/>
                <w:sz w:val="24"/>
                <w:szCs w:val="24"/>
                <w:highlight w:val="none"/>
              </w:rPr>
              <w:t>、危险废物的其他相关规定进行设计建设，对地面防腐防渗，项目产生的危险废物对周边大气环境、水环境影响不大。</w:t>
            </w:r>
          </w:p>
          <w:p w14:paraId="474C61CA">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outlineLvl w:val="9"/>
              <w:rPr>
                <w:rFonts w:hint="default" w:ascii="Times New Roman" w:hAnsi="Times New Roman" w:eastAsia="宋体" w:cs="Times New Roman"/>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rPr>
              <w:t>按照《危险废物贮存污染控制标准》（GB18597-2023）</w:t>
            </w:r>
            <w:r>
              <w:rPr>
                <w:rFonts w:hint="default" w:ascii="Times New Roman" w:hAnsi="Times New Roman" w:eastAsia="宋体" w:cs="Times New Roman"/>
                <w:color w:val="auto"/>
                <w:spacing w:val="0"/>
                <w:kern w:val="21"/>
                <w:position w:val="0"/>
                <w:sz w:val="24"/>
                <w:szCs w:val="24"/>
                <w:highlight w:val="none"/>
              </w:rPr>
              <w:t>中</w:t>
            </w:r>
            <w:r>
              <w:rPr>
                <w:rFonts w:hint="default" w:ascii="Times New Roman" w:hAnsi="Times New Roman" w:eastAsia="宋体" w:cs="Times New Roman"/>
                <w:bCs/>
                <w:color w:val="auto"/>
                <w:spacing w:val="0"/>
                <w:kern w:val="21"/>
                <w:position w:val="0"/>
                <w:sz w:val="24"/>
                <w:szCs w:val="24"/>
                <w:highlight w:val="none"/>
              </w:rPr>
              <w:t>要求：</w:t>
            </w:r>
            <w:r>
              <w:rPr>
                <w:rFonts w:hint="default" w:ascii="Times New Roman" w:hAnsi="Times New Roman" w:eastAsia="宋体" w:cs="Times New Roman"/>
                <w:bCs/>
                <w:color w:val="auto"/>
                <w:spacing w:val="0"/>
                <w:kern w:val="21"/>
                <w:position w:val="0"/>
                <w:sz w:val="24"/>
                <w:szCs w:val="24"/>
                <w:highlight w:val="none"/>
                <w:lang w:eastAsia="zh-CN"/>
              </w:rPr>
              <w:t>贮存库</w:t>
            </w:r>
            <w:r>
              <w:rPr>
                <w:rFonts w:hint="default" w:ascii="Times New Roman" w:hAnsi="Times New Roman" w:eastAsia="宋体" w:cs="Times New Roman"/>
                <w:bCs/>
                <w:color w:val="auto"/>
                <w:spacing w:val="0"/>
                <w:kern w:val="21"/>
                <w:position w:val="0"/>
                <w:sz w:val="24"/>
                <w:szCs w:val="24"/>
                <w:highlight w:val="none"/>
              </w:rPr>
              <w:t>应具有固定的区域边界，并应采取与其他区域进行隔离的措施。</w:t>
            </w:r>
            <w:r>
              <w:rPr>
                <w:rFonts w:hint="default" w:ascii="Times New Roman" w:hAnsi="Times New Roman" w:eastAsia="宋体" w:cs="Times New Roman"/>
                <w:bCs/>
                <w:color w:val="auto"/>
                <w:spacing w:val="0"/>
                <w:kern w:val="21"/>
                <w:position w:val="0"/>
                <w:sz w:val="24"/>
                <w:szCs w:val="24"/>
                <w:highlight w:val="none"/>
                <w:lang w:eastAsia="zh-CN"/>
              </w:rPr>
              <w:t>贮存库</w:t>
            </w:r>
            <w:r>
              <w:rPr>
                <w:rFonts w:hint="default" w:ascii="Times New Roman" w:hAnsi="Times New Roman" w:eastAsia="宋体" w:cs="Times New Roman"/>
                <w:bCs/>
                <w:color w:val="auto"/>
                <w:spacing w:val="0"/>
                <w:kern w:val="21"/>
                <w:position w:val="0"/>
                <w:sz w:val="24"/>
                <w:szCs w:val="24"/>
                <w:highlight w:val="none"/>
              </w:rPr>
              <w:t>应采取防风、防雨、防晒和防止危险废物流失、扬散等措施。</w:t>
            </w:r>
            <w:r>
              <w:rPr>
                <w:rFonts w:hint="default" w:ascii="Times New Roman" w:hAnsi="Times New Roman" w:eastAsia="宋体" w:cs="Times New Roman"/>
                <w:bCs/>
                <w:color w:val="auto"/>
                <w:spacing w:val="0"/>
                <w:kern w:val="21"/>
                <w:position w:val="0"/>
                <w:sz w:val="24"/>
                <w:szCs w:val="24"/>
                <w:highlight w:val="none"/>
                <w:lang w:eastAsia="zh-CN"/>
              </w:rPr>
              <w:t>贮存库</w:t>
            </w:r>
            <w:r>
              <w:rPr>
                <w:rFonts w:hint="default" w:ascii="Times New Roman" w:hAnsi="Times New Roman" w:eastAsia="宋体" w:cs="Times New Roman"/>
                <w:bCs/>
                <w:color w:val="auto"/>
                <w:spacing w:val="0"/>
                <w:kern w:val="21"/>
                <w:position w:val="0"/>
                <w:sz w:val="24"/>
                <w:szCs w:val="24"/>
                <w:highlight w:val="none"/>
              </w:rPr>
              <w:t>贮存的危险废物应置于容器或包装物中，不应直接散堆。</w:t>
            </w:r>
            <w:r>
              <w:rPr>
                <w:rFonts w:hint="default" w:ascii="Times New Roman" w:hAnsi="Times New Roman" w:eastAsia="宋体" w:cs="Times New Roman"/>
                <w:bCs/>
                <w:color w:val="auto"/>
                <w:spacing w:val="0"/>
                <w:kern w:val="21"/>
                <w:position w:val="0"/>
                <w:sz w:val="24"/>
                <w:szCs w:val="24"/>
                <w:highlight w:val="none"/>
                <w:lang w:eastAsia="zh-CN"/>
              </w:rPr>
              <w:t>贮存库</w:t>
            </w:r>
            <w:r>
              <w:rPr>
                <w:rFonts w:hint="default" w:ascii="Times New Roman" w:hAnsi="Times New Roman" w:eastAsia="宋体" w:cs="Times New Roman"/>
                <w:bCs/>
                <w:color w:val="auto"/>
                <w:spacing w:val="0"/>
                <w:kern w:val="21"/>
                <w:position w:val="0"/>
                <w:sz w:val="24"/>
                <w:szCs w:val="24"/>
                <w:highlight w:val="none"/>
              </w:rPr>
              <w:t>应根据危险废物的形态、物理化学性质、包装形式等，采取防渗、防漏等污染防治措施或采用具有相应功能的装置。</w:t>
            </w:r>
            <w:r>
              <w:rPr>
                <w:rFonts w:hint="default" w:ascii="Times New Roman" w:hAnsi="Times New Roman" w:eastAsia="宋体" w:cs="Times New Roman"/>
                <w:bCs/>
                <w:color w:val="auto"/>
                <w:spacing w:val="0"/>
                <w:kern w:val="21"/>
                <w:position w:val="0"/>
                <w:sz w:val="24"/>
                <w:szCs w:val="24"/>
                <w:highlight w:val="none"/>
                <w:lang w:eastAsia="zh-CN"/>
              </w:rPr>
              <w:t>贮存库</w:t>
            </w:r>
            <w:r>
              <w:rPr>
                <w:rFonts w:hint="default" w:ascii="Times New Roman" w:hAnsi="Times New Roman" w:eastAsia="宋体" w:cs="Times New Roman"/>
                <w:bCs/>
                <w:color w:val="auto"/>
                <w:spacing w:val="0"/>
                <w:kern w:val="21"/>
                <w:position w:val="0"/>
                <w:sz w:val="24"/>
                <w:szCs w:val="24"/>
                <w:highlight w:val="none"/>
              </w:rPr>
              <w:t>应及时清运贮存的危险废物，实时贮存量不应超过</w:t>
            </w:r>
            <w:r>
              <w:rPr>
                <w:rFonts w:hint="default" w:ascii="Times New Roman" w:hAnsi="Times New Roman" w:eastAsia="宋体" w:cs="Times New Roman"/>
                <w:bCs/>
                <w:color w:val="auto"/>
                <w:spacing w:val="0"/>
                <w:kern w:val="21"/>
                <w:position w:val="0"/>
                <w:sz w:val="24"/>
                <w:szCs w:val="24"/>
                <w:highlight w:val="none"/>
                <w:lang w:val="en-US" w:eastAsia="zh-CN"/>
              </w:rPr>
              <w:t>最大贮存量</w:t>
            </w:r>
            <w:r>
              <w:rPr>
                <w:rFonts w:hint="default" w:ascii="Times New Roman" w:hAnsi="Times New Roman" w:eastAsia="宋体" w:cs="Times New Roman"/>
                <w:bCs/>
                <w:color w:val="auto"/>
                <w:spacing w:val="0"/>
                <w:kern w:val="21"/>
                <w:position w:val="0"/>
                <w:sz w:val="24"/>
                <w:szCs w:val="24"/>
                <w:highlight w:val="none"/>
              </w:rPr>
              <w:t>。</w:t>
            </w:r>
          </w:p>
          <w:p w14:paraId="18A13A55">
            <w:pPr>
              <w:pStyle w:val="102"/>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jc w:val="center"/>
              <w:textAlignment w:val="auto"/>
              <w:outlineLvl w:val="9"/>
              <w:rPr>
                <w:rFonts w:hint="default" w:ascii="Times New Roman" w:hAnsi="Times New Roman" w:eastAsia="宋体" w:cs="Times New Roman"/>
                <w:b/>
                <w:bCs/>
                <w:color w:val="auto"/>
                <w:spacing w:val="0"/>
                <w:kern w:val="21"/>
                <w:position w:val="0"/>
                <w:sz w:val="24"/>
                <w:szCs w:val="24"/>
                <w:highlight w:val="none"/>
                <w:lang w:val="en-US" w:eastAsia="zh-CN"/>
              </w:rPr>
            </w:pPr>
            <w:r>
              <w:rPr>
                <w:rFonts w:hint="default" w:ascii="Times New Roman" w:hAnsi="Times New Roman" w:eastAsia="宋体" w:cs="Times New Roman"/>
                <w:b/>
                <w:bCs/>
                <w:color w:val="auto"/>
                <w:spacing w:val="0"/>
                <w:kern w:val="21"/>
                <w:position w:val="0"/>
                <w:sz w:val="24"/>
                <w:szCs w:val="24"/>
                <w:highlight w:val="none"/>
                <w:lang w:val="en-US" w:eastAsia="zh-CN"/>
              </w:rPr>
              <w:t>表4-17 建设项目危险废物贮存场所基本情况表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456"/>
              <w:gridCol w:w="848"/>
              <w:gridCol w:w="1131"/>
              <w:gridCol w:w="1051"/>
              <w:gridCol w:w="1242"/>
              <w:gridCol w:w="602"/>
              <w:gridCol w:w="691"/>
              <w:gridCol w:w="1034"/>
              <w:gridCol w:w="751"/>
              <w:gridCol w:w="541"/>
            </w:tblGrid>
            <w:tr w14:paraId="31919F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273" w:type="pct"/>
                  <w:noWrap w:val="0"/>
                  <w:vAlign w:val="center"/>
                </w:tcPr>
                <w:p w14:paraId="5D5E64B8">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序号</w:t>
                  </w:r>
                </w:p>
              </w:tc>
              <w:tc>
                <w:tcPr>
                  <w:tcW w:w="507" w:type="pct"/>
                  <w:noWrap w:val="0"/>
                  <w:vAlign w:val="center"/>
                </w:tcPr>
                <w:p w14:paraId="747489FF">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贮存场所名称</w:t>
                  </w:r>
                </w:p>
              </w:tc>
              <w:tc>
                <w:tcPr>
                  <w:tcW w:w="677" w:type="pct"/>
                  <w:noWrap w:val="0"/>
                  <w:vAlign w:val="center"/>
                </w:tcPr>
                <w:p w14:paraId="3CC954B8">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危险废物名称</w:t>
                  </w:r>
                </w:p>
              </w:tc>
              <w:tc>
                <w:tcPr>
                  <w:tcW w:w="629" w:type="pct"/>
                  <w:noWrap w:val="0"/>
                  <w:vAlign w:val="center"/>
                </w:tcPr>
                <w:p w14:paraId="08D47976">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危险废物类别</w:t>
                  </w:r>
                </w:p>
              </w:tc>
              <w:tc>
                <w:tcPr>
                  <w:tcW w:w="743" w:type="pct"/>
                  <w:noWrap w:val="0"/>
                  <w:vAlign w:val="center"/>
                </w:tcPr>
                <w:p w14:paraId="6B568A1A">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危险废物代码</w:t>
                  </w:r>
                </w:p>
              </w:tc>
              <w:tc>
                <w:tcPr>
                  <w:tcW w:w="360" w:type="pct"/>
                  <w:noWrap w:val="0"/>
                  <w:vAlign w:val="center"/>
                </w:tcPr>
                <w:p w14:paraId="27562AF3">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位置</w:t>
                  </w:r>
                </w:p>
              </w:tc>
              <w:tc>
                <w:tcPr>
                  <w:tcW w:w="413" w:type="pct"/>
                  <w:noWrap w:val="0"/>
                  <w:vAlign w:val="center"/>
                </w:tcPr>
                <w:p w14:paraId="16D8097B">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建筑面积</w:t>
                  </w:r>
                </w:p>
              </w:tc>
              <w:tc>
                <w:tcPr>
                  <w:tcW w:w="619" w:type="pct"/>
                  <w:noWrap w:val="0"/>
                  <w:vAlign w:val="center"/>
                </w:tcPr>
                <w:p w14:paraId="226FF6ED">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贮存方式</w:t>
                  </w:r>
                </w:p>
              </w:tc>
              <w:tc>
                <w:tcPr>
                  <w:tcW w:w="449" w:type="pct"/>
                  <w:noWrap w:val="0"/>
                  <w:vAlign w:val="center"/>
                </w:tcPr>
                <w:p w14:paraId="3D3CDC52">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贮存能力</w:t>
                  </w:r>
                </w:p>
              </w:tc>
              <w:tc>
                <w:tcPr>
                  <w:tcW w:w="324" w:type="pct"/>
                  <w:noWrap w:val="0"/>
                  <w:vAlign w:val="center"/>
                </w:tcPr>
                <w:p w14:paraId="0063B36C">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贮存周期</w:t>
                  </w:r>
                </w:p>
              </w:tc>
            </w:tr>
            <w:tr w14:paraId="1FBA17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32" w:hRule="atLeast"/>
                <w:jc w:val="center"/>
              </w:trPr>
              <w:tc>
                <w:tcPr>
                  <w:tcW w:w="273" w:type="pct"/>
                  <w:vMerge w:val="restart"/>
                  <w:noWrap w:val="0"/>
                  <w:vAlign w:val="center"/>
                </w:tcPr>
                <w:p w14:paraId="346E306D">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1</w:t>
                  </w:r>
                </w:p>
              </w:tc>
              <w:tc>
                <w:tcPr>
                  <w:tcW w:w="507" w:type="pct"/>
                  <w:vMerge w:val="restart"/>
                  <w:noWrap w:val="0"/>
                  <w:vAlign w:val="center"/>
                </w:tcPr>
                <w:p w14:paraId="46C7E720">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lang w:eastAsia="zh-CN"/>
                    </w:rPr>
                  </w:pPr>
                  <w:r>
                    <w:rPr>
                      <w:rFonts w:hint="default" w:ascii="Times New Roman" w:hAnsi="Times New Roman" w:eastAsia="宋体" w:cs="Times New Roman"/>
                      <w:color w:val="auto"/>
                      <w:spacing w:val="0"/>
                      <w:kern w:val="21"/>
                      <w:position w:val="0"/>
                      <w:sz w:val="21"/>
                      <w:szCs w:val="21"/>
                      <w:highlight w:val="none"/>
                      <w:lang w:eastAsia="zh-CN"/>
                    </w:rPr>
                    <w:t>危险废物贮存库</w:t>
                  </w:r>
                </w:p>
              </w:tc>
              <w:tc>
                <w:tcPr>
                  <w:tcW w:w="677" w:type="pct"/>
                  <w:noWrap w:val="0"/>
                  <w:vAlign w:val="center"/>
                </w:tcPr>
                <w:p w14:paraId="3047DC0D">
                  <w:pPr>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color w:val="auto"/>
                      <w:spacing w:val="0"/>
                      <w:kern w:val="21"/>
                      <w:position w:val="0"/>
                      <w:sz w:val="21"/>
                      <w:szCs w:val="21"/>
                      <w:highlight w:val="none"/>
                      <w:lang w:val="en-US" w:eastAsia="zh-CN"/>
                    </w:rPr>
                  </w:pPr>
                  <w:r>
                    <w:rPr>
                      <w:rFonts w:hint="default" w:ascii="Times New Roman" w:hAnsi="Times New Roman" w:eastAsia="宋体" w:cs="Times New Roman"/>
                      <w:color w:val="auto"/>
                      <w:spacing w:val="0"/>
                      <w:kern w:val="21"/>
                      <w:position w:val="0"/>
                      <w:sz w:val="21"/>
                      <w:szCs w:val="21"/>
                      <w:highlight w:val="none"/>
                      <w:lang w:val="en-US" w:eastAsia="zh-CN"/>
                    </w:rPr>
                    <w:t>废活性炭</w:t>
                  </w:r>
                </w:p>
              </w:tc>
              <w:tc>
                <w:tcPr>
                  <w:tcW w:w="629" w:type="pct"/>
                  <w:noWrap w:val="0"/>
                  <w:vAlign w:val="center"/>
                </w:tcPr>
                <w:p w14:paraId="2EA0F8DC">
                  <w:pPr>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color w:val="auto"/>
                      <w:spacing w:val="0"/>
                      <w:kern w:val="21"/>
                      <w:position w:val="0"/>
                      <w:sz w:val="21"/>
                      <w:szCs w:val="21"/>
                      <w:highlight w:val="none"/>
                      <w:lang w:val="en-US" w:eastAsia="zh-CN"/>
                    </w:rPr>
                  </w:pPr>
                  <w:r>
                    <w:rPr>
                      <w:rFonts w:hint="default" w:ascii="Times New Roman" w:hAnsi="Times New Roman" w:eastAsia="宋体" w:cs="Times New Roman"/>
                      <w:color w:val="auto"/>
                      <w:spacing w:val="0"/>
                      <w:kern w:val="21"/>
                      <w:position w:val="0"/>
                      <w:sz w:val="21"/>
                      <w:szCs w:val="21"/>
                      <w:highlight w:val="none"/>
                    </w:rPr>
                    <w:t>HW</w:t>
                  </w:r>
                  <w:r>
                    <w:rPr>
                      <w:rFonts w:hint="default" w:ascii="Times New Roman" w:hAnsi="Times New Roman" w:eastAsia="宋体" w:cs="Times New Roman"/>
                      <w:color w:val="auto"/>
                      <w:spacing w:val="0"/>
                      <w:kern w:val="21"/>
                      <w:position w:val="0"/>
                      <w:sz w:val="21"/>
                      <w:szCs w:val="21"/>
                      <w:highlight w:val="none"/>
                      <w:lang w:val="en-US" w:eastAsia="zh-CN"/>
                    </w:rPr>
                    <w:t>49</w:t>
                  </w:r>
                </w:p>
              </w:tc>
              <w:tc>
                <w:tcPr>
                  <w:tcW w:w="1242" w:type="dxa"/>
                  <w:noWrap w:val="0"/>
                  <w:vAlign w:val="center"/>
                </w:tcPr>
                <w:p w14:paraId="6D0F3D4A">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
                      <w:position w:val="0"/>
                      <w:szCs w:val="24"/>
                      <w:highlight w:val="none"/>
                      <w:lang w:val="en-US" w:eastAsia="zh-CN"/>
                    </w:rPr>
                    <w:t>900-0</w:t>
                  </w:r>
                  <w:r>
                    <w:rPr>
                      <w:rFonts w:hint="default" w:ascii="Times New Roman" w:hAnsi="Times New Roman" w:cs="Times New Roman"/>
                      <w:color w:val="auto"/>
                      <w:spacing w:val="0"/>
                      <w:kern w:val="2"/>
                      <w:position w:val="0"/>
                      <w:szCs w:val="24"/>
                      <w:highlight w:val="none"/>
                      <w:lang w:val="en-US" w:eastAsia="zh-CN"/>
                    </w:rPr>
                    <w:t>39</w:t>
                  </w:r>
                  <w:r>
                    <w:rPr>
                      <w:rFonts w:hint="default" w:ascii="Times New Roman" w:hAnsi="Times New Roman" w:eastAsia="宋体" w:cs="Times New Roman"/>
                      <w:color w:val="auto"/>
                      <w:spacing w:val="0"/>
                      <w:kern w:val="2"/>
                      <w:position w:val="0"/>
                      <w:szCs w:val="24"/>
                      <w:highlight w:val="none"/>
                      <w:lang w:val="en-US" w:eastAsia="zh-CN"/>
                    </w:rPr>
                    <w:t>-49</w:t>
                  </w:r>
                </w:p>
              </w:tc>
              <w:tc>
                <w:tcPr>
                  <w:tcW w:w="360" w:type="pct"/>
                  <w:vMerge w:val="restart"/>
                  <w:noWrap w:val="0"/>
                  <w:vAlign w:val="center"/>
                </w:tcPr>
                <w:p w14:paraId="3B3286FC">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位于</w:t>
                  </w:r>
                  <w:r>
                    <w:rPr>
                      <w:rFonts w:hint="default" w:ascii="Times New Roman" w:hAnsi="Times New Roman" w:eastAsia="宋体" w:cs="Times New Roman"/>
                      <w:color w:val="auto"/>
                      <w:spacing w:val="0"/>
                      <w:kern w:val="21"/>
                      <w:position w:val="0"/>
                      <w:sz w:val="21"/>
                      <w:szCs w:val="21"/>
                      <w:highlight w:val="none"/>
                      <w:lang w:val="en-US" w:eastAsia="zh-CN"/>
                    </w:rPr>
                    <w:t>设备房东</w:t>
                  </w:r>
                  <w:r>
                    <w:rPr>
                      <w:rFonts w:hint="default" w:ascii="Times New Roman" w:hAnsi="Times New Roman" w:eastAsia="宋体" w:cs="Times New Roman"/>
                      <w:color w:val="auto"/>
                      <w:spacing w:val="0"/>
                      <w:kern w:val="21"/>
                      <w:position w:val="0"/>
                      <w:sz w:val="21"/>
                      <w:szCs w:val="21"/>
                      <w:highlight w:val="none"/>
                    </w:rPr>
                    <w:t>侧</w:t>
                  </w:r>
                </w:p>
              </w:tc>
              <w:tc>
                <w:tcPr>
                  <w:tcW w:w="413" w:type="pct"/>
                  <w:vMerge w:val="restart"/>
                  <w:noWrap w:val="0"/>
                  <w:vAlign w:val="center"/>
                </w:tcPr>
                <w:p w14:paraId="7A0E1C79">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lang w:val="en-US" w:eastAsia="zh-CN"/>
                    </w:rPr>
                    <w:t>10</w:t>
                  </w:r>
                  <w:r>
                    <w:rPr>
                      <w:rFonts w:hint="default" w:ascii="Times New Roman" w:hAnsi="Times New Roman" w:eastAsia="宋体" w:cs="Times New Roman"/>
                      <w:color w:val="auto"/>
                      <w:spacing w:val="0"/>
                      <w:kern w:val="21"/>
                      <w:position w:val="0"/>
                      <w:sz w:val="21"/>
                      <w:szCs w:val="21"/>
                      <w:highlight w:val="none"/>
                    </w:rPr>
                    <w:t>m</w:t>
                  </w:r>
                  <w:r>
                    <w:rPr>
                      <w:rFonts w:hint="default" w:ascii="Times New Roman" w:hAnsi="Times New Roman" w:eastAsia="宋体" w:cs="Times New Roman"/>
                      <w:color w:val="auto"/>
                      <w:spacing w:val="0"/>
                      <w:kern w:val="21"/>
                      <w:position w:val="0"/>
                      <w:sz w:val="21"/>
                      <w:szCs w:val="21"/>
                      <w:highlight w:val="none"/>
                      <w:vertAlign w:val="superscript"/>
                    </w:rPr>
                    <w:t>2</w:t>
                  </w:r>
                </w:p>
              </w:tc>
              <w:tc>
                <w:tcPr>
                  <w:tcW w:w="619" w:type="pct"/>
                  <w:vMerge w:val="restart"/>
                  <w:noWrap w:val="0"/>
                  <w:vAlign w:val="center"/>
                </w:tcPr>
                <w:p w14:paraId="5DEC6F4B">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采用专用桶装或袋装分类收集、暂存</w:t>
                  </w:r>
                </w:p>
              </w:tc>
              <w:tc>
                <w:tcPr>
                  <w:tcW w:w="449" w:type="pct"/>
                  <w:vMerge w:val="restart"/>
                  <w:noWrap w:val="0"/>
                  <w:vAlign w:val="center"/>
                </w:tcPr>
                <w:p w14:paraId="2F4163AF">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lang w:val="en-US" w:eastAsia="zh-CN"/>
                    </w:rPr>
                    <w:t>6</w:t>
                  </w:r>
                  <w:r>
                    <w:rPr>
                      <w:rFonts w:hint="default" w:ascii="Times New Roman" w:hAnsi="Times New Roman" w:eastAsia="宋体" w:cs="Times New Roman"/>
                      <w:color w:val="auto"/>
                      <w:spacing w:val="0"/>
                      <w:kern w:val="21"/>
                      <w:position w:val="0"/>
                      <w:sz w:val="21"/>
                      <w:szCs w:val="21"/>
                      <w:highlight w:val="none"/>
                    </w:rPr>
                    <w:t>t</w:t>
                  </w:r>
                </w:p>
              </w:tc>
              <w:tc>
                <w:tcPr>
                  <w:tcW w:w="324" w:type="pct"/>
                  <w:vMerge w:val="restart"/>
                  <w:noWrap w:val="0"/>
                  <w:vAlign w:val="center"/>
                </w:tcPr>
                <w:p w14:paraId="61A28B7C">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lang w:val="en-US" w:eastAsia="zh-CN"/>
                    </w:rPr>
                    <w:t>3</w:t>
                  </w:r>
                  <w:r>
                    <w:rPr>
                      <w:rFonts w:hint="default" w:ascii="Times New Roman" w:hAnsi="Times New Roman" w:eastAsia="宋体" w:cs="Times New Roman"/>
                      <w:color w:val="auto"/>
                      <w:spacing w:val="0"/>
                      <w:kern w:val="21"/>
                      <w:position w:val="0"/>
                      <w:sz w:val="21"/>
                      <w:szCs w:val="21"/>
                      <w:highlight w:val="none"/>
                    </w:rPr>
                    <w:t>0d</w:t>
                  </w:r>
                </w:p>
              </w:tc>
            </w:tr>
            <w:tr w14:paraId="2D3168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273" w:type="pct"/>
                  <w:vMerge w:val="continue"/>
                  <w:noWrap w:val="0"/>
                  <w:vAlign w:val="center"/>
                </w:tcPr>
                <w:p w14:paraId="1A087555">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p>
              </w:tc>
              <w:tc>
                <w:tcPr>
                  <w:tcW w:w="507" w:type="pct"/>
                  <w:vMerge w:val="continue"/>
                  <w:noWrap w:val="0"/>
                  <w:vAlign w:val="center"/>
                </w:tcPr>
                <w:p w14:paraId="421C3084">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p>
              </w:tc>
              <w:tc>
                <w:tcPr>
                  <w:tcW w:w="677" w:type="pct"/>
                  <w:noWrap w:val="0"/>
                  <w:vAlign w:val="center"/>
                </w:tcPr>
                <w:p w14:paraId="21969973">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废机油</w:t>
                  </w:r>
                </w:p>
              </w:tc>
              <w:tc>
                <w:tcPr>
                  <w:tcW w:w="629" w:type="pct"/>
                  <w:noWrap w:val="0"/>
                  <w:vAlign w:val="center"/>
                </w:tcPr>
                <w:p w14:paraId="5189E87B">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HW08</w:t>
                  </w:r>
                </w:p>
              </w:tc>
              <w:tc>
                <w:tcPr>
                  <w:tcW w:w="1242" w:type="dxa"/>
                  <w:noWrap w:val="0"/>
                  <w:vAlign w:val="center"/>
                </w:tcPr>
                <w:p w14:paraId="6D3525FD">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cs="Times New Roman"/>
                      <w:color w:val="auto"/>
                      <w:spacing w:val="0"/>
                      <w:kern w:val="2"/>
                      <w:position w:val="0"/>
                      <w:szCs w:val="24"/>
                      <w:highlight w:val="none"/>
                      <w:lang w:val="en-US" w:eastAsia="zh-CN"/>
                    </w:rPr>
                    <w:t>900-249-08</w:t>
                  </w:r>
                </w:p>
              </w:tc>
              <w:tc>
                <w:tcPr>
                  <w:tcW w:w="360" w:type="pct"/>
                  <w:vMerge w:val="continue"/>
                  <w:noWrap w:val="0"/>
                  <w:vAlign w:val="center"/>
                </w:tcPr>
                <w:p w14:paraId="1750AA67">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p>
              </w:tc>
              <w:tc>
                <w:tcPr>
                  <w:tcW w:w="413" w:type="pct"/>
                  <w:vMerge w:val="continue"/>
                  <w:noWrap w:val="0"/>
                  <w:vAlign w:val="center"/>
                </w:tcPr>
                <w:p w14:paraId="28CA5767">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p>
              </w:tc>
              <w:tc>
                <w:tcPr>
                  <w:tcW w:w="619" w:type="pct"/>
                  <w:vMerge w:val="continue"/>
                  <w:noWrap w:val="0"/>
                  <w:vAlign w:val="center"/>
                </w:tcPr>
                <w:p w14:paraId="1E9EB792">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p>
              </w:tc>
              <w:tc>
                <w:tcPr>
                  <w:tcW w:w="449" w:type="pct"/>
                  <w:vMerge w:val="continue"/>
                  <w:noWrap w:val="0"/>
                  <w:vAlign w:val="center"/>
                </w:tcPr>
                <w:p w14:paraId="3D21EAF5">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p>
              </w:tc>
              <w:tc>
                <w:tcPr>
                  <w:tcW w:w="324" w:type="pct"/>
                  <w:vMerge w:val="continue"/>
                  <w:noWrap w:val="0"/>
                  <w:vAlign w:val="center"/>
                </w:tcPr>
                <w:p w14:paraId="6C0D8D97">
                  <w:pPr>
                    <w:pStyle w:val="73"/>
                    <w:keepNext w:val="0"/>
                    <w:keepLines w:val="0"/>
                    <w:pageBreakBefore w:val="0"/>
                    <w:suppressLineNumbers w:val="0"/>
                    <w:kinsoku/>
                    <w:wordWrap/>
                    <w:overflowPunct/>
                    <w:autoSpaceDE/>
                    <w:autoSpaceDN/>
                    <w:bidi w:val="0"/>
                    <w:adjustRightInd w:val="0"/>
                    <w:snapToGrid w:val="0"/>
                    <w:spacing w:beforeAutospacing="0" w:afterAutospacing="0" w:line="240" w:lineRule="auto"/>
                    <w:ind w:left="0" w:leftChars="0" w:right="0" w:firstLine="0" w:firstLineChars="0"/>
                    <w:textAlignment w:val="auto"/>
                    <w:outlineLvl w:val="9"/>
                    <w:rPr>
                      <w:rFonts w:hint="default" w:ascii="Times New Roman" w:hAnsi="Times New Roman" w:eastAsia="宋体" w:cs="Times New Roman"/>
                      <w:color w:val="auto"/>
                      <w:spacing w:val="0"/>
                      <w:kern w:val="21"/>
                      <w:position w:val="0"/>
                      <w:sz w:val="21"/>
                      <w:szCs w:val="21"/>
                      <w:highlight w:val="none"/>
                    </w:rPr>
                  </w:pPr>
                </w:p>
              </w:tc>
            </w:tr>
          </w:tbl>
          <w:p w14:paraId="224381AA">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textAlignment w:val="auto"/>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lang w:val="en-US" w:eastAsia="zh-CN"/>
              </w:rPr>
              <w:t>③</w:t>
            </w:r>
            <w:r>
              <w:rPr>
                <w:rFonts w:hint="default" w:ascii="Times New Roman" w:hAnsi="Times New Roman" w:eastAsia="宋体" w:cs="Times New Roman"/>
                <w:bCs/>
                <w:color w:val="auto"/>
                <w:spacing w:val="0"/>
                <w:kern w:val="21"/>
                <w:position w:val="0"/>
                <w:sz w:val="24"/>
                <w:szCs w:val="24"/>
                <w:highlight w:val="none"/>
              </w:rPr>
              <w:t>运输、转移</w:t>
            </w:r>
          </w:p>
          <w:p w14:paraId="40A1C1B3">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textAlignment w:val="auto"/>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rPr>
              <w:t>厂内转移均在</w:t>
            </w:r>
            <w:r>
              <w:rPr>
                <w:rFonts w:hint="default" w:ascii="Times New Roman" w:hAnsi="Times New Roman" w:eastAsia="宋体" w:cs="Times New Roman"/>
                <w:bCs/>
                <w:color w:val="auto"/>
                <w:spacing w:val="0"/>
                <w:kern w:val="21"/>
                <w:position w:val="0"/>
                <w:sz w:val="24"/>
                <w:szCs w:val="24"/>
                <w:highlight w:val="none"/>
                <w:lang w:eastAsia="zh-CN"/>
              </w:rPr>
              <w:t>贮存库</w:t>
            </w:r>
            <w:r>
              <w:rPr>
                <w:rFonts w:hint="default" w:ascii="Times New Roman" w:hAnsi="Times New Roman" w:eastAsia="宋体" w:cs="Times New Roman"/>
                <w:bCs/>
                <w:color w:val="auto"/>
                <w:spacing w:val="0"/>
                <w:kern w:val="21"/>
                <w:position w:val="0"/>
                <w:sz w:val="24"/>
                <w:szCs w:val="24"/>
                <w:highlight w:val="none"/>
              </w:rPr>
              <w:t>内部进行，且</w:t>
            </w:r>
            <w:r>
              <w:rPr>
                <w:rFonts w:hint="default" w:ascii="Times New Roman" w:hAnsi="Times New Roman" w:eastAsia="宋体" w:cs="Times New Roman"/>
                <w:bCs/>
                <w:color w:val="auto"/>
                <w:spacing w:val="0"/>
                <w:kern w:val="21"/>
                <w:position w:val="0"/>
                <w:sz w:val="24"/>
                <w:szCs w:val="24"/>
                <w:highlight w:val="none"/>
                <w:lang w:eastAsia="zh-CN"/>
              </w:rPr>
              <w:t>贮存库</w:t>
            </w:r>
            <w:r>
              <w:rPr>
                <w:rFonts w:hint="default" w:ascii="Times New Roman" w:hAnsi="Times New Roman" w:eastAsia="宋体" w:cs="Times New Roman"/>
                <w:bCs/>
                <w:color w:val="auto"/>
                <w:spacing w:val="0"/>
                <w:kern w:val="21"/>
                <w:position w:val="0"/>
                <w:sz w:val="24"/>
                <w:szCs w:val="24"/>
                <w:highlight w:val="none"/>
              </w:rPr>
              <w:t>地面防腐防渗，</w:t>
            </w:r>
            <w:r>
              <w:rPr>
                <w:rFonts w:hint="default" w:ascii="Times New Roman" w:hAnsi="Times New Roman" w:eastAsia="宋体" w:cs="Times New Roman"/>
                <w:bCs/>
                <w:color w:val="auto"/>
                <w:spacing w:val="0"/>
                <w:kern w:val="21"/>
                <w:position w:val="0"/>
                <w:sz w:val="24"/>
                <w:szCs w:val="24"/>
                <w:highlight w:val="none"/>
                <w:lang w:eastAsia="zh-CN"/>
              </w:rPr>
              <w:t>厂</w:t>
            </w:r>
            <w:r>
              <w:rPr>
                <w:rFonts w:hint="default" w:ascii="Times New Roman" w:hAnsi="Times New Roman" w:eastAsia="宋体" w:cs="Times New Roman"/>
                <w:bCs/>
                <w:color w:val="auto"/>
                <w:spacing w:val="0"/>
                <w:kern w:val="21"/>
                <w:position w:val="0"/>
                <w:sz w:val="24"/>
                <w:szCs w:val="24"/>
                <w:highlight w:val="none"/>
              </w:rPr>
              <w:t>内转移运输过程对环境影响不大，危险废物自</w:t>
            </w:r>
            <w:r>
              <w:rPr>
                <w:rFonts w:hint="default" w:ascii="Times New Roman" w:hAnsi="Times New Roman" w:eastAsia="宋体" w:cs="Times New Roman"/>
                <w:bCs/>
                <w:color w:val="auto"/>
                <w:spacing w:val="0"/>
                <w:kern w:val="21"/>
                <w:position w:val="0"/>
                <w:sz w:val="24"/>
                <w:szCs w:val="24"/>
                <w:highlight w:val="none"/>
                <w:lang w:eastAsia="zh-CN"/>
              </w:rPr>
              <w:t>贮存库</w:t>
            </w:r>
            <w:r>
              <w:rPr>
                <w:rFonts w:hint="default" w:ascii="Times New Roman" w:hAnsi="Times New Roman" w:eastAsia="宋体" w:cs="Times New Roman"/>
                <w:bCs/>
                <w:color w:val="auto"/>
                <w:spacing w:val="0"/>
                <w:kern w:val="21"/>
                <w:position w:val="0"/>
                <w:sz w:val="24"/>
                <w:szCs w:val="24"/>
                <w:highlight w:val="none"/>
              </w:rPr>
              <w:t>外运至处置单位的运输过程，由有资质危废处置单位处置，危废处置单位使用专用车辆，至厂内收集、转移本项目暂存的危险废物，运输过程对环境影响不大。危险废物转移严格按照《危险废物转移管理办法》（部令第23号）执行，危险废物移出人、危险废物承运人、危险废物</w:t>
            </w:r>
            <w:r>
              <w:rPr>
                <w:rFonts w:hint="default" w:ascii="Times New Roman" w:hAnsi="Times New Roman" w:eastAsia="宋体" w:cs="Times New Roman"/>
                <w:bCs/>
                <w:color w:val="auto"/>
                <w:spacing w:val="0"/>
                <w:kern w:val="21"/>
                <w:position w:val="0"/>
                <w:sz w:val="24"/>
                <w:szCs w:val="24"/>
                <w:highlight w:val="none"/>
                <w:lang w:eastAsia="zh-CN"/>
              </w:rPr>
              <w:t>接收</w:t>
            </w:r>
            <w:r>
              <w:rPr>
                <w:rFonts w:hint="default" w:ascii="Times New Roman" w:hAnsi="Times New Roman" w:eastAsia="宋体" w:cs="Times New Roman"/>
                <w:bCs/>
                <w:color w:val="auto"/>
                <w:spacing w:val="0"/>
                <w:kern w:val="21"/>
                <w:position w:val="0"/>
                <w:sz w:val="24"/>
                <w:szCs w:val="24"/>
                <w:highlight w:val="none"/>
              </w:rPr>
              <w:t>人在危险废物转移过程中应当采取防扬散、防流失、防渗漏或者其他防止污染环境的措施，不得擅自倾倒、堆放、丢弃、遗撒危险废物，并对所造成的环境污染及生态破坏依法承担责任。</w:t>
            </w:r>
          </w:p>
          <w:p w14:paraId="49E91D79">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textAlignment w:val="auto"/>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rPr>
              <w:t>按照《危险废物转移管理办法》（部令第23号）接收转运单位应当履行以下义务：</w:t>
            </w:r>
          </w:p>
          <w:p w14:paraId="76F0CE9E">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textAlignment w:val="auto"/>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lang w:val="en-US" w:eastAsia="zh-CN"/>
              </w:rPr>
              <w:t>a</w:t>
            </w:r>
            <w:r>
              <w:rPr>
                <w:rFonts w:hint="default" w:ascii="Times New Roman" w:hAnsi="Times New Roman" w:eastAsia="宋体" w:cs="Times New Roman"/>
                <w:bCs/>
                <w:color w:val="auto"/>
                <w:spacing w:val="0"/>
                <w:kern w:val="21"/>
                <w:position w:val="0"/>
                <w:sz w:val="24"/>
                <w:szCs w:val="24"/>
                <w:highlight w:val="none"/>
              </w:rPr>
              <w:t>对承运人或者</w:t>
            </w:r>
            <w:r>
              <w:rPr>
                <w:rFonts w:hint="default" w:ascii="Times New Roman" w:hAnsi="Times New Roman" w:eastAsia="宋体" w:cs="Times New Roman"/>
                <w:bCs/>
                <w:color w:val="auto"/>
                <w:spacing w:val="0"/>
                <w:kern w:val="21"/>
                <w:position w:val="0"/>
                <w:sz w:val="24"/>
                <w:szCs w:val="24"/>
                <w:highlight w:val="none"/>
                <w:lang w:eastAsia="zh-CN"/>
              </w:rPr>
              <w:t>接收</w:t>
            </w:r>
            <w:r>
              <w:rPr>
                <w:rFonts w:hint="default" w:ascii="Times New Roman" w:hAnsi="Times New Roman" w:eastAsia="宋体" w:cs="Times New Roman"/>
                <w:bCs/>
                <w:color w:val="auto"/>
                <w:spacing w:val="0"/>
                <w:kern w:val="21"/>
                <w:position w:val="0"/>
                <w:sz w:val="24"/>
                <w:szCs w:val="24"/>
                <w:highlight w:val="none"/>
              </w:rPr>
              <w:t>人的主体资格和技术能力进行核实，依法签订书面合同，并在合同中约定运输、贮存、利用、处置危险废物的污染防治要求及相关责任；</w:t>
            </w:r>
          </w:p>
          <w:p w14:paraId="4CD9F651">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textAlignment w:val="auto"/>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lang w:val="en-US" w:eastAsia="zh-CN"/>
              </w:rPr>
              <w:t>b</w:t>
            </w:r>
            <w:r>
              <w:rPr>
                <w:rFonts w:hint="default" w:ascii="Times New Roman" w:hAnsi="Times New Roman" w:eastAsia="宋体" w:cs="Times New Roman"/>
                <w:bCs/>
                <w:color w:val="auto"/>
                <w:spacing w:val="0"/>
                <w:kern w:val="21"/>
                <w:position w:val="0"/>
                <w:sz w:val="24"/>
                <w:szCs w:val="24"/>
                <w:highlight w:val="none"/>
              </w:rPr>
              <w:t>制定危险废物管理计划，明确拟转移危险废物的种类、重量（数量）和流向等信息；</w:t>
            </w:r>
          </w:p>
          <w:p w14:paraId="791C7269">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textAlignment w:val="auto"/>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lang w:val="en-US" w:eastAsia="zh-CN"/>
              </w:rPr>
              <w:t>c</w:t>
            </w:r>
            <w:r>
              <w:rPr>
                <w:rFonts w:hint="default" w:ascii="Times New Roman" w:hAnsi="Times New Roman" w:eastAsia="宋体" w:cs="Times New Roman"/>
                <w:bCs/>
                <w:color w:val="auto"/>
                <w:spacing w:val="0"/>
                <w:kern w:val="21"/>
                <w:position w:val="0"/>
                <w:sz w:val="24"/>
                <w:szCs w:val="24"/>
                <w:highlight w:val="none"/>
              </w:rPr>
              <w:t>建立危险废物管理台账，对转移的危险废物进行计量称重，如实记录、妥善保管转移危险废物的种类、重量（数量）和接收人等相关信息；</w:t>
            </w:r>
          </w:p>
          <w:p w14:paraId="1783AA76">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textAlignment w:val="auto"/>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lang w:val="en-US" w:eastAsia="zh-CN"/>
              </w:rPr>
              <w:t>d</w:t>
            </w:r>
            <w:r>
              <w:rPr>
                <w:rFonts w:hint="default" w:ascii="Times New Roman" w:hAnsi="Times New Roman" w:eastAsia="宋体" w:cs="Times New Roman"/>
                <w:bCs/>
                <w:color w:val="auto"/>
                <w:spacing w:val="0"/>
                <w:kern w:val="21"/>
                <w:position w:val="0"/>
                <w:sz w:val="24"/>
                <w:szCs w:val="24"/>
                <w:highlight w:val="none"/>
              </w:rPr>
              <w:t>填写、运行危险废物转移联单，在危险废物转移联单中如实填写移出人、承运人、</w:t>
            </w:r>
            <w:r>
              <w:rPr>
                <w:rFonts w:hint="default" w:ascii="Times New Roman" w:hAnsi="Times New Roman" w:eastAsia="宋体" w:cs="Times New Roman"/>
                <w:bCs/>
                <w:color w:val="auto"/>
                <w:spacing w:val="0"/>
                <w:kern w:val="21"/>
                <w:position w:val="0"/>
                <w:sz w:val="24"/>
                <w:szCs w:val="24"/>
                <w:highlight w:val="none"/>
                <w:lang w:eastAsia="zh-CN"/>
              </w:rPr>
              <w:t>接收</w:t>
            </w:r>
            <w:r>
              <w:rPr>
                <w:rFonts w:hint="default" w:ascii="Times New Roman" w:hAnsi="Times New Roman" w:eastAsia="宋体" w:cs="Times New Roman"/>
                <w:bCs/>
                <w:color w:val="auto"/>
                <w:spacing w:val="0"/>
                <w:kern w:val="21"/>
                <w:position w:val="0"/>
                <w:sz w:val="24"/>
                <w:szCs w:val="24"/>
                <w:highlight w:val="none"/>
              </w:rPr>
              <w:t>人信息，转移危险废物的种类、重量（数量）、危险特性等信息，以及突发环境事件的防范措施等；</w:t>
            </w:r>
          </w:p>
          <w:p w14:paraId="6A8FEC83">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textAlignment w:val="auto"/>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lang w:val="en-US" w:eastAsia="zh-CN"/>
              </w:rPr>
              <w:t>e</w:t>
            </w:r>
            <w:r>
              <w:rPr>
                <w:rFonts w:hint="default" w:ascii="Times New Roman" w:hAnsi="Times New Roman" w:eastAsia="宋体" w:cs="Times New Roman"/>
                <w:bCs/>
                <w:color w:val="auto"/>
                <w:spacing w:val="0"/>
                <w:kern w:val="21"/>
                <w:position w:val="0"/>
                <w:sz w:val="24"/>
                <w:szCs w:val="24"/>
                <w:highlight w:val="none"/>
              </w:rPr>
              <w:t>及时核实接收人贮存、利用或者处置相关危险废物情况；</w:t>
            </w:r>
          </w:p>
          <w:p w14:paraId="798C246E">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textAlignment w:val="auto"/>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lang w:val="en-US" w:eastAsia="zh-CN"/>
              </w:rPr>
              <w:t>f</w:t>
            </w:r>
            <w:r>
              <w:rPr>
                <w:rFonts w:hint="default" w:ascii="Times New Roman" w:hAnsi="Times New Roman" w:eastAsia="宋体" w:cs="Times New Roman"/>
                <w:bCs/>
                <w:color w:val="auto"/>
                <w:spacing w:val="0"/>
                <w:kern w:val="21"/>
                <w:position w:val="0"/>
                <w:sz w:val="24"/>
                <w:szCs w:val="24"/>
                <w:highlight w:val="none"/>
              </w:rPr>
              <w:t>法律法规规定的其他义务。移出人应当按照国家有关要求开展危险废物鉴别。禁止将危险废物以副产品等名义提供或者委托给无危险废物经营许可证的单位或者其他生产经营者从事收集、贮存、利用、处置活动。</w:t>
            </w:r>
          </w:p>
          <w:p w14:paraId="5C6CF243">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textAlignment w:val="auto"/>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lang w:val="en-US" w:eastAsia="zh-CN"/>
              </w:rPr>
              <w:t>④</w:t>
            </w:r>
            <w:r>
              <w:rPr>
                <w:rFonts w:hint="default" w:ascii="Times New Roman" w:hAnsi="Times New Roman" w:eastAsia="宋体" w:cs="Times New Roman"/>
                <w:bCs/>
                <w:color w:val="auto"/>
                <w:spacing w:val="0"/>
                <w:kern w:val="21"/>
                <w:position w:val="0"/>
                <w:sz w:val="24"/>
                <w:szCs w:val="24"/>
                <w:highlight w:val="none"/>
              </w:rPr>
              <w:t>委托处置</w:t>
            </w:r>
          </w:p>
          <w:p w14:paraId="4382FEE9">
            <w:pPr>
              <w:pStyle w:val="21"/>
              <w:keepNext w:val="0"/>
              <w:keepLines w:val="0"/>
              <w:pageBreakBefore w:val="0"/>
              <w:widowControl w:val="0"/>
              <w:tabs>
                <w:tab w:val="right" w:leader="dot" w:pos="8190"/>
              </w:tabs>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rPr>
              <w:t>本项目</w:t>
            </w:r>
            <w:r>
              <w:rPr>
                <w:rFonts w:hint="default" w:ascii="Times New Roman" w:hAnsi="Times New Roman" w:eastAsia="宋体" w:cs="Times New Roman"/>
                <w:bCs/>
                <w:color w:val="auto"/>
                <w:spacing w:val="0"/>
                <w:kern w:val="21"/>
                <w:position w:val="0"/>
                <w:sz w:val="24"/>
                <w:szCs w:val="24"/>
                <w:highlight w:val="none"/>
                <w:lang w:eastAsia="zh-CN"/>
              </w:rPr>
              <w:t>贮存库</w:t>
            </w:r>
            <w:r>
              <w:rPr>
                <w:rFonts w:hint="default" w:ascii="Times New Roman" w:hAnsi="Times New Roman" w:eastAsia="宋体" w:cs="Times New Roman"/>
                <w:bCs/>
                <w:color w:val="auto"/>
                <w:spacing w:val="0"/>
                <w:kern w:val="21"/>
                <w:position w:val="0"/>
                <w:sz w:val="24"/>
                <w:szCs w:val="24"/>
                <w:highlight w:val="none"/>
              </w:rPr>
              <w:t>贮存的危险废物由有资质危废处置单位处置，危废处置单位使用专用车辆，至厂内收集、转移本项目危险废物，同时根据《危险废物转移管理办法》（部令第23号）危险废物接收单位应当履行以下义务：</w:t>
            </w:r>
          </w:p>
          <w:p w14:paraId="3630E88B">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textAlignment w:val="auto"/>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rPr>
              <w:t>核实拟接收的危险废物的种类、重量（数量）、包装、识别标志等相关信息；</w:t>
            </w:r>
          </w:p>
          <w:p w14:paraId="2464C85C">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textAlignment w:val="auto"/>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rPr>
              <w:t>填写、运行危险废物转移联单，在危险废物转移联单中如实填写是否接受的意见，以及利用、处置方式和接收量等信息；</w:t>
            </w:r>
          </w:p>
          <w:p w14:paraId="2A569BDF">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textAlignment w:val="auto"/>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rPr>
              <w:t>按照国家和地方有关规定和标准，对接收的危险废物进行贮存、利用或者处置；</w:t>
            </w:r>
          </w:p>
          <w:p w14:paraId="03191711">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textAlignment w:val="auto"/>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rPr>
              <w:t>将危险废物接收情况、利用或者处置结果及时告知移出人；</w:t>
            </w:r>
          </w:p>
          <w:p w14:paraId="4D45E323">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textAlignment w:val="auto"/>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rPr>
              <w:t>法律法规规定的其他义务。</w:t>
            </w:r>
          </w:p>
          <w:p w14:paraId="01F82081">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textAlignment w:val="auto"/>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rPr>
              <w:t>本项目建设单位</w:t>
            </w:r>
            <w:r>
              <w:rPr>
                <w:rFonts w:hint="default" w:ascii="Times New Roman" w:hAnsi="Times New Roman" w:eastAsia="宋体" w:cs="Times New Roman"/>
                <w:bCs/>
                <w:color w:val="auto"/>
                <w:spacing w:val="0"/>
                <w:kern w:val="21"/>
                <w:position w:val="0"/>
                <w:sz w:val="24"/>
                <w:szCs w:val="24"/>
                <w:highlight w:val="none"/>
                <w:lang w:val="en-US" w:eastAsia="zh-CN"/>
              </w:rPr>
              <w:t>已根据</w:t>
            </w:r>
            <w:r>
              <w:rPr>
                <w:rFonts w:hint="default" w:ascii="Times New Roman" w:hAnsi="Times New Roman" w:eastAsia="宋体" w:cs="Times New Roman"/>
                <w:bCs/>
                <w:color w:val="auto"/>
                <w:spacing w:val="0"/>
                <w:kern w:val="21"/>
                <w:position w:val="0"/>
                <w:sz w:val="24"/>
                <w:szCs w:val="24"/>
                <w:highlight w:val="none"/>
              </w:rPr>
              <w:t>《危险废物贮存污染控制标准》</w:t>
            </w:r>
            <w:r>
              <w:rPr>
                <w:rFonts w:hint="default" w:ascii="Times New Roman" w:hAnsi="Times New Roman" w:eastAsia="宋体" w:cs="Times New Roman"/>
                <w:bCs/>
                <w:color w:val="auto"/>
                <w:spacing w:val="0"/>
                <w:kern w:val="21"/>
                <w:position w:val="0"/>
                <w:sz w:val="24"/>
                <w:szCs w:val="24"/>
                <w:highlight w:val="none"/>
                <w:lang w:eastAsia="zh-CN"/>
              </w:rPr>
              <w:t>（</w:t>
            </w:r>
            <w:r>
              <w:rPr>
                <w:rFonts w:hint="default" w:ascii="Times New Roman" w:hAnsi="Times New Roman" w:eastAsia="宋体" w:cs="Times New Roman"/>
                <w:bCs/>
                <w:color w:val="auto"/>
                <w:spacing w:val="0"/>
                <w:kern w:val="21"/>
                <w:position w:val="0"/>
                <w:sz w:val="24"/>
                <w:szCs w:val="24"/>
                <w:highlight w:val="none"/>
              </w:rPr>
              <w:t>GB18597-2023</w:t>
            </w:r>
            <w:r>
              <w:rPr>
                <w:rFonts w:hint="default" w:ascii="Times New Roman" w:hAnsi="Times New Roman" w:eastAsia="宋体" w:cs="Times New Roman"/>
                <w:bCs/>
                <w:color w:val="auto"/>
                <w:spacing w:val="0"/>
                <w:kern w:val="21"/>
                <w:position w:val="0"/>
                <w:sz w:val="24"/>
                <w:szCs w:val="24"/>
                <w:highlight w:val="none"/>
                <w:lang w:eastAsia="zh-CN"/>
              </w:rPr>
              <w:t>）</w:t>
            </w:r>
            <w:r>
              <w:rPr>
                <w:rFonts w:hint="default" w:ascii="Times New Roman" w:hAnsi="Times New Roman" w:eastAsia="宋体" w:cs="Times New Roman"/>
                <w:bCs/>
                <w:color w:val="auto"/>
                <w:spacing w:val="0"/>
                <w:kern w:val="21"/>
                <w:position w:val="0"/>
                <w:sz w:val="24"/>
                <w:szCs w:val="24"/>
                <w:highlight w:val="none"/>
                <w:lang w:val="en-US" w:eastAsia="zh-CN"/>
              </w:rPr>
              <w:t>相关标准要求进行防渗、张贴标识等措施；与有资质单位签订危险废物处置意向协议书，</w:t>
            </w:r>
            <w:r>
              <w:rPr>
                <w:rFonts w:hint="default" w:ascii="Times New Roman" w:hAnsi="Times New Roman" w:eastAsia="宋体" w:cs="Times New Roman"/>
                <w:bCs/>
                <w:color w:val="auto"/>
                <w:spacing w:val="0"/>
                <w:kern w:val="21"/>
                <w:position w:val="0"/>
                <w:sz w:val="24"/>
                <w:szCs w:val="24"/>
                <w:highlight w:val="none"/>
              </w:rPr>
              <w:t>不自行外运、转移，危险废物委托处理后对环境影响不大。</w:t>
            </w:r>
          </w:p>
          <w:p w14:paraId="6E83F29D">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textAlignment w:val="auto"/>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lang w:val="en-US" w:eastAsia="zh-CN"/>
              </w:rPr>
              <w:t>2</w:t>
            </w:r>
            <w:r>
              <w:rPr>
                <w:rFonts w:hint="default" w:ascii="Times New Roman" w:hAnsi="Times New Roman" w:eastAsia="宋体" w:cs="Times New Roman"/>
                <w:bCs/>
                <w:color w:val="auto"/>
                <w:spacing w:val="0"/>
                <w:kern w:val="21"/>
                <w:position w:val="0"/>
                <w:sz w:val="24"/>
                <w:szCs w:val="24"/>
                <w:highlight w:val="none"/>
              </w:rPr>
              <w:t>）危险废物安全管理要求</w:t>
            </w:r>
          </w:p>
          <w:p w14:paraId="1D68C1D8">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textAlignment w:val="auto"/>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lang w:val="en-US" w:eastAsia="zh-CN"/>
              </w:rPr>
              <w:t>①</w:t>
            </w:r>
            <w:r>
              <w:rPr>
                <w:rFonts w:hint="default" w:ascii="Times New Roman" w:hAnsi="Times New Roman" w:eastAsia="宋体" w:cs="Times New Roman"/>
                <w:bCs/>
                <w:color w:val="auto"/>
                <w:spacing w:val="0"/>
                <w:kern w:val="21"/>
                <w:position w:val="0"/>
                <w:sz w:val="24"/>
                <w:szCs w:val="24"/>
                <w:highlight w:val="none"/>
              </w:rPr>
              <w:t>危险废物的产生与收集</w:t>
            </w:r>
          </w:p>
          <w:p w14:paraId="4191661A">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textAlignment w:val="auto"/>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rPr>
              <w:t>危险废物在收集时，按《危险废物收集贮存运输技术规范》（HJ2025-2012）要求，根据危险废物的性质和形态，采用相应材质、容器进行安全包装，并在包装的明显位置附上危险废物标签。通过严格检查，严防在装载、搬迁或运输中出现渗漏、溢出、抛洒或挥发等不利情况。危险废物的收集过程应该以无害化的方式运行，收集过</w:t>
            </w:r>
            <w:r>
              <w:rPr>
                <w:rFonts w:hint="default" w:ascii="Times New Roman" w:hAnsi="Times New Roman" w:eastAsia="宋体" w:cs="Times New Roman"/>
                <w:bCs/>
                <w:color w:val="auto"/>
                <w:spacing w:val="0"/>
                <w:kern w:val="21"/>
                <w:position w:val="0"/>
                <w:sz w:val="24"/>
                <w:szCs w:val="24"/>
                <w:highlight w:val="none"/>
                <w:lang w:eastAsia="zh-CN"/>
              </w:rPr>
              <w:t>程中</w:t>
            </w:r>
            <w:r>
              <w:rPr>
                <w:rFonts w:hint="default" w:ascii="Times New Roman" w:hAnsi="Times New Roman" w:eastAsia="宋体" w:cs="Times New Roman"/>
                <w:bCs/>
                <w:color w:val="auto"/>
                <w:spacing w:val="0"/>
                <w:kern w:val="21"/>
                <w:position w:val="0"/>
                <w:sz w:val="24"/>
                <w:szCs w:val="24"/>
                <w:highlight w:val="none"/>
              </w:rPr>
              <w:t>采取以下防治措施，避免可能引起人身和环境危害事故的发生：</w:t>
            </w:r>
          </w:p>
          <w:p w14:paraId="55406C2D">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textAlignment w:val="auto"/>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lang w:val="en-US" w:eastAsia="zh-CN"/>
              </w:rPr>
              <w:t>a</w:t>
            </w:r>
            <w:r>
              <w:rPr>
                <w:rFonts w:hint="default" w:ascii="Times New Roman" w:hAnsi="Times New Roman" w:eastAsia="宋体" w:cs="Times New Roman"/>
                <w:bCs/>
                <w:color w:val="auto"/>
                <w:spacing w:val="0"/>
                <w:kern w:val="21"/>
                <w:position w:val="0"/>
                <w:sz w:val="24"/>
                <w:szCs w:val="24"/>
                <w:highlight w:val="none"/>
              </w:rPr>
              <w:t>危险废物收集和运输人员应配备必要的个人防护装备，如手套、防护镜、防护服、防毒面具或口罩等，防止收集和运输过程对人体健康可能存在的潜在影响；</w:t>
            </w:r>
          </w:p>
          <w:p w14:paraId="49DF805D">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70" w:firstLineChars="196"/>
              <w:textAlignment w:val="auto"/>
              <w:outlineLvl w:val="9"/>
              <w:rPr>
                <w:rFonts w:hint="default" w:ascii="Times New Roman" w:hAnsi="Times New Roman" w:eastAsia="宋体" w:cs="Times New Roman"/>
                <w:bCs/>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lang w:val="en-US" w:eastAsia="zh-CN"/>
              </w:rPr>
              <w:t>b</w:t>
            </w:r>
            <w:r>
              <w:rPr>
                <w:rFonts w:hint="default" w:ascii="Times New Roman" w:hAnsi="Times New Roman" w:eastAsia="宋体" w:cs="Times New Roman"/>
                <w:bCs/>
                <w:color w:val="auto"/>
                <w:spacing w:val="0"/>
                <w:kern w:val="21"/>
                <w:position w:val="0"/>
                <w:sz w:val="24"/>
                <w:szCs w:val="24"/>
                <w:highlight w:val="none"/>
              </w:rPr>
              <w:t>危险废物运输前，应进行合理包装，防止运输过</w:t>
            </w:r>
            <w:r>
              <w:rPr>
                <w:rFonts w:hint="default" w:ascii="Times New Roman" w:hAnsi="Times New Roman" w:eastAsia="宋体" w:cs="Times New Roman"/>
                <w:bCs/>
                <w:color w:val="auto"/>
                <w:spacing w:val="0"/>
                <w:kern w:val="21"/>
                <w:position w:val="0"/>
                <w:sz w:val="24"/>
                <w:szCs w:val="24"/>
                <w:highlight w:val="none"/>
                <w:lang w:eastAsia="zh-CN"/>
              </w:rPr>
              <w:t>程中</w:t>
            </w:r>
            <w:r>
              <w:rPr>
                <w:rFonts w:hint="default" w:ascii="Times New Roman" w:hAnsi="Times New Roman" w:eastAsia="宋体" w:cs="Times New Roman"/>
                <w:bCs/>
                <w:color w:val="auto"/>
                <w:spacing w:val="0"/>
                <w:kern w:val="21"/>
                <w:position w:val="0"/>
                <w:sz w:val="24"/>
                <w:szCs w:val="24"/>
                <w:highlight w:val="none"/>
              </w:rPr>
              <w:t>出现泄漏；</w:t>
            </w:r>
          </w:p>
          <w:p w14:paraId="14B75985">
            <w:pPr>
              <w:pStyle w:val="21"/>
              <w:keepNext w:val="0"/>
              <w:keepLines w:val="0"/>
              <w:pageBreakBefore w:val="0"/>
              <w:widowControl w:val="0"/>
              <w:tabs>
                <w:tab w:val="right" w:leader="dot" w:pos="8190"/>
              </w:tabs>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lang w:val="en-US" w:eastAsia="zh-CN"/>
              </w:rPr>
              <w:t>c</w:t>
            </w:r>
            <w:r>
              <w:rPr>
                <w:rFonts w:hint="default" w:ascii="Times New Roman" w:hAnsi="Times New Roman" w:eastAsia="宋体" w:cs="Times New Roman"/>
                <w:bCs/>
                <w:color w:val="auto"/>
                <w:spacing w:val="0"/>
                <w:kern w:val="21"/>
                <w:position w:val="0"/>
                <w:sz w:val="24"/>
                <w:szCs w:val="24"/>
                <w:highlight w:val="none"/>
              </w:rPr>
              <w:t>危</w:t>
            </w:r>
            <w:r>
              <w:rPr>
                <w:rFonts w:hint="default" w:ascii="Times New Roman" w:hAnsi="Times New Roman" w:eastAsia="宋体" w:cs="Times New Roman"/>
                <w:bCs/>
                <w:color w:val="auto"/>
                <w:spacing w:val="0"/>
                <w:kern w:val="21"/>
                <w:position w:val="0"/>
                <w:sz w:val="24"/>
                <w:szCs w:val="24"/>
                <w:highlight w:val="none"/>
                <w:lang w:val="en-US" w:eastAsia="zh-CN"/>
              </w:rPr>
              <w:t>险</w:t>
            </w:r>
            <w:r>
              <w:rPr>
                <w:rFonts w:hint="default" w:ascii="Times New Roman" w:hAnsi="Times New Roman" w:eastAsia="宋体" w:cs="Times New Roman"/>
                <w:bCs/>
                <w:color w:val="auto"/>
                <w:spacing w:val="0"/>
                <w:kern w:val="21"/>
                <w:position w:val="0"/>
                <w:sz w:val="24"/>
                <w:szCs w:val="24"/>
                <w:highlight w:val="none"/>
              </w:rPr>
              <w:t>废</w:t>
            </w:r>
            <w:r>
              <w:rPr>
                <w:rFonts w:hint="default" w:ascii="Times New Roman" w:hAnsi="Times New Roman" w:eastAsia="宋体" w:cs="Times New Roman"/>
                <w:bCs/>
                <w:color w:val="auto"/>
                <w:spacing w:val="0"/>
                <w:kern w:val="21"/>
                <w:position w:val="0"/>
                <w:sz w:val="24"/>
                <w:szCs w:val="24"/>
                <w:highlight w:val="none"/>
                <w:lang w:val="en-US" w:eastAsia="zh-CN"/>
              </w:rPr>
              <w:t>物</w:t>
            </w:r>
            <w:r>
              <w:rPr>
                <w:rFonts w:hint="default" w:ascii="Times New Roman" w:hAnsi="Times New Roman" w:eastAsia="宋体" w:cs="Times New Roman"/>
                <w:bCs/>
                <w:color w:val="auto"/>
                <w:spacing w:val="0"/>
                <w:kern w:val="21"/>
                <w:position w:val="0"/>
                <w:sz w:val="24"/>
                <w:szCs w:val="24"/>
                <w:highlight w:val="none"/>
              </w:rPr>
              <w:t>在堆存期间必须严格按照《危险废物贮存污染控制标准》（GB18597-2023）有关规定执行，将危险废物通过专用容器分类收集，贴上危险废物的标签，于项目所设置的</w:t>
            </w:r>
            <w:r>
              <w:rPr>
                <w:rFonts w:hint="default" w:ascii="Times New Roman" w:hAnsi="Times New Roman" w:eastAsia="宋体" w:cs="Times New Roman"/>
                <w:bCs/>
                <w:color w:val="auto"/>
                <w:spacing w:val="0"/>
                <w:kern w:val="21"/>
                <w:position w:val="0"/>
                <w:sz w:val="24"/>
                <w:szCs w:val="24"/>
                <w:highlight w:val="none"/>
                <w:lang w:eastAsia="zh-CN"/>
              </w:rPr>
              <w:t>危险废物贮存库</w:t>
            </w:r>
            <w:r>
              <w:rPr>
                <w:rFonts w:hint="default" w:ascii="Times New Roman" w:hAnsi="Times New Roman" w:eastAsia="宋体" w:cs="Times New Roman"/>
                <w:bCs/>
                <w:color w:val="auto"/>
                <w:spacing w:val="0"/>
                <w:kern w:val="21"/>
                <w:position w:val="0"/>
                <w:sz w:val="24"/>
                <w:szCs w:val="24"/>
                <w:highlight w:val="none"/>
              </w:rPr>
              <w:t>内独立存放。危险废物收集容器材质和衬里必须与危险废物相容，</w:t>
            </w:r>
            <w:r>
              <w:rPr>
                <w:rFonts w:hint="default" w:ascii="Times New Roman" w:hAnsi="Times New Roman" w:eastAsia="宋体" w:cs="Times New Roman"/>
                <w:bCs/>
                <w:color w:val="auto"/>
                <w:spacing w:val="0"/>
                <w:kern w:val="21"/>
                <w:position w:val="0"/>
                <w:sz w:val="24"/>
                <w:szCs w:val="24"/>
                <w:highlight w:val="none"/>
                <w:lang w:eastAsia="zh-CN"/>
              </w:rPr>
              <w:t>危险废物贮存库</w:t>
            </w:r>
            <w:r>
              <w:rPr>
                <w:rFonts w:hint="default" w:ascii="Times New Roman" w:hAnsi="Times New Roman" w:eastAsia="宋体" w:cs="Times New Roman"/>
                <w:bCs/>
                <w:color w:val="auto"/>
                <w:spacing w:val="0"/>
                <w:kern w:val="21"/>
                <w:position w:val="0"/>
                <w:sz w:val="24"/>
                <w:szCs w:val="24"/>
                <w:highlight w:val="none"/>
              </w:rPr>
              <w:t>地面要求渗透系数应满足&lt;1×10</w:t>
            </w:r>
            <w:r>
              <w:rPr>
                <w:rFonts w:hint="default" w:ascii="Times New Roman" w:hAnsi="Times New Roman" w:eastAsia="宋体" w:cs="Times New Roman"/>
                <w:bCs/>
                <w:color w:val="auto"/>
                <w:spacing w:val="0"/>
                <w:kern w:val="21"/>
                <w:position w:val="0"/>
                <w:sz w:val="24"/>
                <w:szCs w:val="24"/>
                <w:highlight w:val="none"/>
                <w:vertAlign w:val="superscript"/>
              </w:rPr>
              <w:t>-10</w:t>
            </w:r>
            <w:r>
              <w:rPr>
                <w:rFonts w:hint="default" w:ascii="Times New Roman" w:hAnsi="Times New Roman" w:eastAsia="宋体" w:cs="Times New Roman"/>
                <w:bCs/>
                <w:color w:val="auto"/>
                <w:spacing w:val="0"/>
                <w:kern w:val="21"/>
                <w:position w:val="0"/>
                <w:sz w:val="24"/>
                <w:szCs w:val="24"/>
                <w:highlight w:val="none"/>
              </w:rPr>
              <w:t>cm/s。危废应填写《危险废弃物贮存环节记录表》。严格按照《危险废物贮存污染控制标准》（GB18597-2023）要求执行。按照危险废物特性分类进行收集，按种类分别存放，且不同废物间有明显间隔。</w:t>
            </w:r>
          </w:p>
          <w:p w14:paraId="72748D9A">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szCs w:val="24"/>
                <w:highlight w:val="none"/>
              </w:rPr>
            </w:pPr>
            <w:r>
              <w:rPr>
                <w:rFonts w:hint="default" w:ascii="Times New Roman" w:hAnsi="Times New Roman" w:eastAsia="宋体" w:cs="Times New Roman"/>
                <w:bCs/>
                <w:color w:val="auto"/>
                <w:spacing w:val="0"/>
                <w:kern w:val="21"/>
                <w:position w:val="0"/>
                <w:sz w:val="24"/>
                <w:szCs w:val="24"/>
                <w:highlight w:val="none"/>
                <w:lang w:val="en-US" w:eastAsia="zh-CN"/>
              </w:rPr>
              <w:t>②</w:t>
            </w:r>
            <w:r>
              <w:rPr>
                <w:rFonts w:hint="default" w:ascii="Times New Roman" w:hAnsi="Times New Roman" w:eastAsia="宋体" w:cs="Times New Roman"/>
                <w:color w:val="auto"/>
                <w:spacing w:val="0"/>
                <w:kern w:val="21"/>
                <w:position w:val="0"/>
                <w:sz w:val="24"/>
                <w:szCs w:val="24"/>
                <w:highlight w:val="none"/>
              </w:rPr>
              <w:t>危险废物的贮存</w:t>
            </w:r>
          </w:p>
          <w:p w14:paraId="4697ADD6">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szCs w:val="24"/>
                <w:highlight w:val="none"/>
              </w:rPr>
            </w:pPr>
            <w:r>
              <w:rPr>
                <w:rFonts w:hint="default" w:ascii="Times New Roman" w:hAnsi="Times New Roman" w:eastAsia="宋体" w:cs="Times New Roman"/>
                <w:color w:val="auto"/>
                <w:spacing w:val="0"/>
                <w:kern w:val="21"/>
                <w:position w:val="0"/>
                <w:sz w:val="24"/>
                <w:szCs w:val="24"/>
                <w:highlight w:val="none"/>
                <w:lang w:val="en-US" w:eastAsia="zh-CN"/>
              </w:rPr>
              <w:t>a</w:t>
            </w:r>
            <w:r>
              <w:rPr>
                <w:rFonts w:hint="default" w:ascii="Times New Roman" w:hAnsi="Times New Roman" w:eastAsia="宋体" w:cs="Times New Roman"/>
                <w:color w:val="auto"/>
                <w:spacing w:val="0"/>
                <w:kern w:val="21"/>
                <w:position w:val="0"/>
                <w:sz w:val="24"/>
                <w:szCs w:val="24"/>
                <w:highlight w:val="none"/>
              </w:rPr>
              <w:t>本项目</w:t>
            </w:r>
            <w:r>
              <w:rPr>
                <w:rFonts w:hint="default" w:ascii="Times New Roman" w:hAnsi="Times New Roman" w:eastAsia="宋体" w:cs="Times New Roman"/>
                <w:color w:val="auto"/>
                <w:spacing w:val="0"/>
                <w:kern w:val="21"/>
                <w:position w:val="0"/>
                <w:sz w:val="24"/>
                <w:szCs w:val="24"/>
                <w:highlight w:val="none"/>
                <w:lang w:eastAsia="zh-CN"/>
              </w:rPr>
              <w:t>危险废物贮存库</w:t>
            </w:r>
            <w:r>
              <w:rPr>
                <w:rFonts w:hint="default" w:ascii="Times New Roman" w:hAnsi="Times New Roman" w:eastAsia="宋体" w:cs="Times New Roman"/>
                <w:color w:val="auto"/>
                <w:spacing w:val="0"/>
                <w:kern w:val="21"/>
                <w:position w:val="0"/>
                <w:sz w:val="24"/>
                <w:szCs w:val="24"/>
                <w:highlight w:val="none"/>
              </w:rPr>
              <w:t>严格按《危险废物贮存污染控制标准》</w:t>
            </w:r>
            <w:r>
              <w:rPr>
                <w:rFonts w:hint="default" w:ascii="Times New Roman" w:hAnsi="Times New Roman" w:eastAsia="宋体" w:cs="Times New Roman"/>
                <w:color w:val="auto"/>
                <w:spacing w:val="0"/>
                <w:kern w:val="21"/>
                <w:position w:val="0"/>
                <w:sz w:val="24"/>
                <w:szCs w:val="24"/>
                <w:highlight w:val="none"/>
                <w:lang w:eastAsia="zh-CN"/>
              </w:rPr>
              <w:t>（</w:t>
            </w:r>
            <w:r>
              <w:rPr>
                <w:rFonts w:hint="default" w:ascii="Times New Roman" w:hAnsi="Times New Roman" w:eastAsia="宋体" w:cs="Times New Roman"/>
                <w:color w:val="auto"/>
                <w:spacing w:val="0"/>
                <w:kern w:val="21"/>
                <w:position w:val="0"/>
                <w:sz w:val="24"/>
                <w:szCs w:val="24"/>
                <w:highlight w:val="none"/>
              </w:rPr>
              <w:t>GB18597-2023</w:t>
            </w:r>
            <w:r>
              <w:rPr>
                <w:rFonts w:hint="default" w:ascii="Times New Roman" w:hAnsi="Times New Roman" w:eastAsia="宋体" w:cs="Times New Roman"/>
                <w:color w:val="auto"/>
                <w:spacing w:val="0"/>
                <w:kern w:val="21"/>
                <w:position w:val="0"/>
                <w:sz w:val="24"/>
                <w:szCs w:val="24"/>
                <w:highlight w:val="none"/>
                <w:lang w:eastAsia="zh-CN"/>
              </w:rPr>
              <w:t>）</w:t>
            </w:r>
            <w:r>
              <w:rPr>
                <w:rFonts w:hint="default" w:ascii="Times New Roman" w:hAnsi="Times New Roman" w:eastAsia="宋体" w:cs="Times New Roman"/>
                <w:color w:val="auto"/>
                <w:spacing w:val="0"/>
                <w:kern w:val="21"/>
                <w:position w:val="0"/>
                <w:sz w:val="24"/>
                <w:szCs w:val="24"/>
                <w:highlight w:val="none"/>
              </w:rPr>
              <w:t>、危险废物的其他相关规定进行设计建设，做到</w:t>
            </w:r>
            <w:r>
              <w:rPr>
                <w:rFonts w:hint="default" w:ascii="Times New Roman" w:hAnsi="Times New Roman" w:cs="Times New Roman"/>
                <w:color w:val="auto"/>
                <w:spacing w:val="0"/>
                <w:kern w:val="21"/>
                <w:position w:val="0"/>
                <w:sz w:val="24"/>
                <w:szCs w:val="24"/>
                <w:highlight w:val="none"/>
                <w:lang w:eastAsia="zh-CN"/>
              </w:rPr>
              <w:t>“</w:t>
            </w:r>
            <w:r>
              <w:rPr>
                <w:rFonts w:hint="default" w:ascii="Times New Roman" w:hAnsi="Times New Roman" w:eastAsia="宋体" w:cs="Times New Roman"/>
                <w:color w:val="auto"/>
                <w:spacing w:val="0"/>
                <w:kern w:val="21"/>
                <w:position w:val="0"/>
                <w:sz w:val="24"/>
                <w:szCs w:val="24"/>
                <w:highlight w:val="none"/>
              </w:rPr>
              <w:t>四防</w:t>
            </w:r>
            <w:r>
              <w:rPr>
                <w:rFonts w:hint="default" w:ascii="Times New Roman" w:hAnsi="Times New Roman" w:cs="Times New Roman"/>
                <w:color w:val="auto"/>
                <w:spacing w:val="0"/>
                <w:kern w:val="21"/>
                <w:position w:val="0"/>
                <w:sz w:val="24"/>
                <w:szCs w:val="24"/>
                <w:highlight w:val="none"/>
                <w:lang w:eastAsia="zh-CN"/>
              </w:rPr>
              <w:t>”</w:t>
            </w:r>
            <w:r>
              <w:rPr>
                <w:rFonts w:hint="default" w:ascii="Times New Roman" w:hAnsi="Times New Roman" w:eastAsia="宋体" w:cs="Times New Roman"/>
                <w:color w:val="auto"/>
                <w:spacing w:val="0"/>
                <w:kern w:val="21"/>
                <w:position w:val="0"/>
                <w:sz w:val="24"/>
                <w:szCs w:val="24"/>
                <w:highlight w:val="none"/>
              </w:rPr>
              <w:t>（防风、防雨、防晒、防渗漏），具备防渗措施和渗漏收集措施。</w:t>
            </w:r>
          </w:p>
          <w:p w14:paraId="3FD7D4EB">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szCs w:val="24"/>
                <w:highlight w:val="none"/>
              </w:rPr>
            </w:pPr>
            <w:r>
              <w:rPr>
                <w:rFonts w:hint="default" w:ascii="Times New Roman" w:hAnsi="Times New Roman" w:eastAsia="宋体" w:cs="Times New Roman"/>
                <w:color w:val="auto"/>
                <w:spacing w:val="0"/>
                <w:kern w:val="21"/>
                <w:position w:val="0"/>
                <w:sz w:val="24"/>
                <w:szCs w:val="24"/>
                <w:highlight w:val="none"/>
                <w:lang w:val="en-US" w:eastAsia="zh-CN"/>
              </w:rPr>
              <w:t>b</w:t>
            </w:r>
            <w:r>
              <w:rPr>
                <w:rFonts w:hint="default" w:ascii="Times New Roman" w:hAnsi="Times New Roman" w:eastAsia="宋体" w:cs="Times New Roman"/>
                <w:color w:val="auto"/>
                <w:spacing w:val="0"/>
                <w:kern w:val="21"/>
                <w:position w:val="0"/>
                <w:sz w:val="24"/>
                <w:szCs w:val="24"/>
                <w:highlight w:val="none"/>
              </w:rPr>
              <w:t>危险废物单独分类收集、存放管理。对危险废物的容器或包装物以及收集、贮存、运输危险废物的设施、场所，必须设置危险废物醒目的警示标志。危险废物盛装容器上粘贴清晰易辨的标签，并注明危险废物的来源、数量等；</w:t>
            </w:r>
          </w:p>
          <w:p w14:paraId="44E02324">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szCs w:val="24"/>
                <w:highlight w:val="none"/>
              </w:rPr>
            </w:pPr>
            <w:r>
              <w:rPr>
                <w:rFonts w:hint="default" w:ascii="Times New Roman" w:hAnsi="Times New Roman" w:eastAsia="宋体" w:cs="Times New Roman"/>
                <w:color w:val="auto"/>
                <w:spacing w:val="0"/>
                <w:kern w:val="21"/>
                <w:position w:val="0"/>
                <w:sz w:val="24"/>
                <w:szCs w:val="24"/>
                <w:highlight w:val="none"/>
                <w:lang w:val="en-US" w:eastAsia="zh-CN"/>
              </w:rPr>
              <w:t>c</w:t>
            </w:r>
            <w:r>
              <w:rPr>
                <w:rFonts w:hint="default" w:ascii="Times New Roman" w:hAnsi="Times New Roman" w:eastAsia="宋体" w:cs="Times New Roman"/>
                <w:color w:val="auto"/>
                <w:spacing w:val="0"/>
                <w:kern w:val="21"/>
                <w:position w:val="0"/>
                <w:sz w:val="24"/>
                <w:szCs w:val="24"/>
                <w:highlight w:val="none"/>
              </w:rPr>
              <w:t>对危险废物的出入流动做好记录；</w:t>
            </w:r>
          </w:p>
          <w:p w14:paraId="638CA043">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szCs w:val="24"/>
                <w:highlight w:val="none"/>
              </w:rPr>
            </w:pPr>
            <w:r>
              <w:rPr>
                <w:rFonts w:hint="default" w:ascii="Times New Roman" w:hAnsi="Times New Roman" w:eastAsia="宋体" w:cs="Times New Roman"/>
                <w:color w:val="auto"/>
                <w:spacing w:val="0"/>
                <w:kern w:val="21"/>
                <w:position w:val="0"/>
                <w:sz w:val="24"/>
                <w:szCs w:val="24"/>
                <w:highlight w:val="none"/>
                <w:lang w:val="en-US" w:eastAsia="zh-CN"/>
              </w:rPr>
              <w:t>d</w:t>
            </w:r>
            <w:r>
              <w:rPr>
                <w:rFonts w:hint="default" w:ascii="Times New Roman" w:hAnsi="Times New Roman" w:eastAsia="宋体" w:cs="Times New Roman"/>
                <w:color w:val="auto"/>
                <w:spacing w:val="0"/>
                <w:kern w:val="21"/>
                <w:position w:val="0"/>
                <w:sz w:val="24"/>
                <w:szCs w:val="24"/>
                <w:highlight w:val="none"/>
              </w:rPr>
              <w:t>不同类危险废物容器之间留有间隔和搬运通道；</w:t>
            </w:r>
          </w:p>
          <w:p w14:paraId="755BA76B">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szCs w:val="24"/>
                <w:highlight w:val="none"/>
              </w:rPr>
            </w:pPr>
            <w:r>
              <w:rPr>
                <w:rFonts w:hint="default" w:ascii="Times New Roman" w:hAnsi="Times New Roman" w:eastAsia="宋体" w:cs="Times New Roman"/>
                <w:color w:val="auto"/>
                <w:spacing w:val="0"/>
                <w:kern w:val="21"/>
                <w:position w:val="0"/>
                <w:sz w:val="24"/>
                <w:szCs w:val="24"/>
                <w:highlight w:val="none"/>
                <w:lang w:val="en-US" w:eastAsia="zh-CN"/>
              </w:rPr>
              <w:t>e</w:t>
            </w:r>
            <w:r>
              <w:rPr>
                <w:rFonts w:hint="default" w:ascii="Times New Roman" w:hAnsi="Times New Roman" w:eastAsia="宋体" w:cs="Times New Roman"/>
                <w:color w:val="auto"/>
                <w:spacing w:val="0"/>
                <w:kern w:val="21"/>
                <w:position w:val="0"/>
                <w:sz w:val="24"/>
                <w:szCs w:val="24"/>
                <w:highlight w:val="none"/>
              </w:rPr>
              <w:t>配备消防设备和报警装置。</w:t>
            </w:r>
          </w:p>
          <w:p w14:paraId="1CF2B390">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szCs w:val="24"/>
                <w:highlight w:val="none"/>
              </w:rPr>
            </w:pPr>
            <w:r>
              <w:rPr>
                <w:rFonts w:hint="default" w:ascii="Times New Roman" w:hAnsi="Times New Roman" w:eastAsia="宋体" w:cs="Times New Roman"/>
                <w:color w:val="auto"/>
                <w:spacing w:val="0"/>
                <w:kern w:val="21"/>
                <w:position w:val="0"/>
                <w:sz w:val="24"/>
                <w:szCs w:val="24"/>
                <w:highlight w:val="none"/>
                <w:lang w:val="en-US" w:eastAsia="zh-CN"/>
              </w:rPr>
              <w:t>③</w:t>
            </w:r>
            <w:r>
              <w:rPr>
                <w:rFonts w:hint="default" w:ascii="Times New Roman" w:hAnsi="Times New Roman" w:eastAsia="宋体" w:cs="Times New Roman"/>
                <w:color w:val="auto"/>
                <w:spacing w:val="0"/>
                <w:kern w:val="21"/>
                <w:position w:val="0"/>
                <w:sz w:val="24"/>
                <w:szCs w:val="24"/>
                <w:highlight w:val="none"/>
              </w:rPr>
              <w:t>危险废物识别标志设置</w:t>
            </w:r>
          </w:p>
          <w:p w14:paraId="1BDB022C">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szCs w:val="24"/>
                <w:highlight w:val="none"/>
              </w:rPr>
            </w:pPr>
            <w:r>
              <w:rPr>
                <w:rFonts w:hint="default" w:ascii="Times New Roman" w:hAnsi="Times New Roman" w:eastAsia="宋体" w:cs="Times New Roman"/>
                <w:color w:val="auto"/>
                <w:spacing w:val="0"/>
                <w:kern w:val="21"/>
                <w:position w:val="0"/>
                <w:sz w:val="24"/>
                <w:szCs w:val="24"/>
                <w:highlight w:val="none"/>
                <w:lang w:val="en-US" w:eastAsia="zh-CN"/>
              </w:rPr>
              <w:t>A</w:t>
            </w:r>
            <w:r>
              <w:rPr>
                <w:rFonts w:hint="default" w:ascii="Times New Roman" w:hAnsi="Times New Roman" w:eastAsia="宋体" w:cs="Times New Roman"/>
                <w:color w:val="auto"/>
                <w:spacing w:val="0"/>
                <w:kern w:val="21"/>
                <w:position w:val="0"/>
                <w:sz w:val="24"/>
                <w:szCs w:val="24"/>
                <w:highlight w:val="none"/>
              </w:rPr>
              <w:t>危险废物贮存设施</w:t>
            </w:r>
          </w:p>
          <w:p w14:paraId="266FF3F3">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szCs w:val="24"/>
                <w:highlight w:val="none"/>
              </w:rPr>
            </w:pPr>
            <w:r>
              <w:rPr>
                <w:rFonts w:hint="default" w:ascii="Times New Roman" w:hAnsi="Times New Roman" w:eastAsia="宋体" w:cs="Times New Roman"/>
                <w:color w:val="auto"/>
                <w:spacing w:val="0"/>
                <w:kern w:val="21"/>
                <w:position w:val="0"/>
                <w:sz w:val="24"/>
                <w:szCs w:val="24"/>
                <w:highlight w:val="none"/>
                <w:lang w:val="en-US" w:eastAsia="zh-CN"/>
              </w:rPr>
              <w:t>a</w:t>
            </w:r>
            <w:r>
              <w:rPr>
                <w:rFonts w:hint="default" w:ascii="Times New Roman" w:hAnsi="Times New Roman" w:eastAsia="宋体" w:cs="Times New Roman"/>
                <w:color w:val="auto"/>
                <w:spacing w:val="0"/>
                <w:kern w:val="21"/>
                <w:position w:val="0"/>
                <w:sz w:val="24"/>
                <w:szCs w:val="24"/>
                <w:highlight w:val="none"/>
              </w:rPr>
              <w:t>危险废物贮存设施标志的颜色</w:t>
            </w:r>
          </w:p>
          <w:p w14:paraId="41A95A11">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szCs w:val="24"/>
                <w:highlight w:val="none"/>
              </w:rPr>
            </w:pPr>
            <w:r>
              <w:rPr>
                <w:rFonts w:hint="default" w:ascii="Times New Roman" w:hAnsi="Times New Roman" w:eastAsia="宋体" w:cs="Times New Roman"/>
                <w:color w:val="auto"/>
                <w:spacing w:val="0"/>
                <w:kern w:val="21"/>
                <w:position w:val="0"/>
                <w:sz w:val="24"/>
                <w:szCs w:val="24"/>
                <w:highlight w:val="none"/>
              </w:rPr>
              <w:t>危险废物设施标志背景颜色为黄色，RGB颜色值为（255</w:t>
            </w:r>
            <w:r>
              <w:rPr>
                <w:rFonts w:hint="default" w:ascii="Times New Roman" w:hAnsi="Times New Roman" w:eastAsia="宋体" w:cs="Times New Roman"/>
                <w:color w:val="auto"/>
                <w:spacing w:val="0"/>
                <w:kern w:val="21"/>
                <w:position w:val="0"/>
                <w:sz w:val="24"/>
                <w:szCs w:val="24"/>
                <w:highlight w:val="none"/>
                <w:lang w:eastAsia="zh-CN"/>
              </w:rPr>
              <w:t>，</w:t>
            </w:r>
            <w:r>
              <w:rPr>
                <w:rFonts w:hint="default" w:ascii="Times New Roman" w:hAnsi="Times New Roman" w:eastAsia="宋体" w:cs="Times New Roman"/>
                <w:color w:val="auto"/>
                <w:spacing w:val="0"/>
                <w:kern w:val="21"/>
                <w:position w:val="0"/>
                <w:sz w:val="24"/>
                <w:szCs w:val="24"/>
                <w:highlight w:val="none"/>
              </w:rPr>
              <w:t>255</w:t>
            </w:r>
            <w:r>
              <w:rPr>
                <w:rFonts w:hint="default" w:ascii="Times New Roman" w:hAnsi="Times New Roman" w:eastAsia="宋体" w:cs="Times New Roman"/>
                <w:color w:val="auto"/>
                <w:spacing w:val="0"/>
                <w:kern w:val="21"/>
                <w:position w:val="0"/>
                <w:sz w:val="24"/>
                <w:szCs w:val="24"/>
                <w:highlight w:val="none"/>
                <w:lang w:eastAsia="zh-CN"/>
              </w:rPr>
              <w:t>，</w:t>
            </w:r>
            <w:r>
              <w:rPr>
                <w:rFonts w:hint="default" w:ascii="Times New Roman" w:hAnsi="Times New Roman" w:eastAsia="宋体" w:cs="Times New Roman"/>
                <w:color w:val="auto"/>
                <w:spacing w:val="0"/>
                <w:kern w:val="21"/>
                <w:position w:val="0"/>
                <w:sz w:val="24"/>
                <w:szCs w:val="24"/>
                <w:highlight w:val="none"/>
              </w:rPr>
              <w:t>0）。字体和边框颜色为黑色，RGB颜色值为（0</w:t>
            </w:r>
            <w:r>
              <w:rPr>
                <w:rFonts w:hint="default" w:ascii="Times New Roman" w:hAnsi="Times New Roman" w:eastAsia="宋体" w:cs="Times New Roman"/>
                <w:color w:val="auto"/>
                <w:spacing w:val="0"/>
                <w:kern w:val="21"/>
                <w:position w:val="0"/>
                <w:sz w:val="24"/>
                <w:szCs w:val="24"/>
                <w:highlight w:val="none"/>
                <w:lang w:eastAsia="zh-CN"/>
              </w:rPr>
              <w:t>，</w:t>
            </w:r>
            <w:r>
              <w:rPr>
                <w:rFonts w:hint="default" w:ascii="Times New Roman" w:hAnsi="Times New Roman" w:eastAsia="宋体" w:cs="Times New Roman"/>
                <w:color w:val="auto"/>
                <w:spacing w:val="0"/>
                <w:kern w:val="21"/>
                <w:position w:val="0"/>
                <w:sz w:val="24"/>
                <w:szCs w:val="24"/>
                <w:highlight w:val="none"/>
              </w:rPr>
              <w:t>0</w:t>
            </w:r>
            <w:r>
              <w:rPr>
                <w:rFonts w:hint="default" w:ascii="Times New Roman" w:hAnsi="Times New Roman" w:eastAsia="宋体" w:cs="Times New Roman"/>
                <w:color w:val="auto"/>
                <w:spacing w:val="0"/>
                <w:kern w:val="21"/>
                <w:position w:val="0"/>
                <w:sz w:val="24"/>
                <w:szCs w:val="24"/>
                <w:highlight w:val="none"/>
                <w:lang w:eastAsia="zh-CN"/>
              </w:rPr>
              <w:t>，</w:t>
            </w:r>
            <w:r>
              <w:rPr>
                <w:rFonts w:hint="default" w:ascii="Times New Roman" w:hAnsi="Times New Roman" w:eastAsia="宋体" w:cs="Times New Roman"/>
                <w:color w:val="auto"/>
                <w:spacing w:val="0"/>
                <w:kern w:val="21"/>
                <w:position w:val="0"/>
                <w:sz w:val="24"/>
                <w:szCs w:val="24"/>
                <w:highlight w:val="none"/>
              </w:rPr>
              <w:t>0）。</w:t>
            </w:r>
          </w:p>
          <w:p w14:paraId="4E7ECFB7">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szCs w:val="24"/>
                <w:highlight w:val="none"/>
              </w:rPr>
            </w:pPr>
            <w:r>
              <w:rPr>
                <w:rFonts w:hint="default" w:ascii="Times New Roman" w:hAnsi="Times New Roman" w:eastAsia="宋体" w:cs="Times New Roman"/>
                <w:color w:val="auto"/>
                <w:spacing w:val="0"/>
                <w:kern w:val="21"/>
                <w:position w:val="0"/>
                <w:sz w:val="24"/>
                <w:szCs w:val="24"/>
                <w:highlight w:val="none"/>
                <w:lang w:val="en-US" w:eastAsia="zh-CN"/>
              </w:rPr>
              <w:t>b</w:t>
            </w:r>
            <w:r>
              <w:rPr>
                <w:rFonts w:hint="default" w:ascii="Times New Roman" w:hAnsi="Times New Roman" w:eastAsia="宋体" w:cs="Times New Roman"/>
                <w:color w:val="auto"/>
                <w:spacing w:val="0"/>
                <w:kern w:val="21"/>
                <w:position w:val="0"/>
                <w:sz w:val="24"/>
                <w:szCs w:val="24"/>
                <w:highlight w:val="none"/>
              </w:rPr>
              <w:t>危险废物贮存设施标志的字体</w:t>
            </w:r>
          </w:p>
          <w:p w14:paraId="54C7A950">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szCs w:val="24"/>
                <w:highlight w:val="none"/>
              </w:rPr>
            </w:pPr>
            <w:r>
              <w:rPr>
                <w:rFonts w:hint="default" w:ascii="Times New Roman" w:hAnsi="Times New Roman" w:eastAsia="宋体" w:cs="Times New Roman"/>
                <w:color w:val="auto"/>
                <w:spacing w:val="0"/>
                <w:kern w:val="21"/>
                <w:position w:val="0"/>
                <w:sz w:val="24"/>
                <w:szCs w:val="24"/>
                <w:highlight w:val="none"/>
              </w:rPr>
              <w:t>危险废物设施标志字体应采用黑体字，其中危险废物设施类型的字样应加粗放大并居中显示。</w:t>
            </w:r>
          </w:p>
          <w:p w14:paraId="7ECACAA6">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szCs w:val="24"/>
                <w:highlight w:val="none"/>
              </w:rPr>
            </w:pPr>
            <w:r>
              <w:rPr>
                <w:rFonts w:hint="default" w:ascii="Times New Roman" w:hAnsi="Times New Roman" w:eastAsia="宋体" w:cs="Times New Roman"/>
                <w:color w:val="auto"/>
                <w:spacing w:val="0"/>
                <w:kern w:val="21"/>
                <w:position w:val="0"/>
                <w:sz w:val="24"/>
                <w:szCs w:val="24"/>
                <w:highlight w:val="none"/>
                <w:lang w:val="en-US" w:eastAsia="zh-CN"/>
              </w:rPr>
              <w:t>c</w:t>
            </w:r>
            <w:r>
              <w:rPr>
                <w:rFonts w:hint="default" w:ascii="Times New Roman" w:hAnsi="Times New Roman" w:eastAsia="宋体" w:cs="Times New Roman"/>
                <w:color w:val="auto"/>
                <w:spacing w:val="0"/>
                <w:kern w:val="21"/>
                <w:position w:val="0"/>
                <w:sz w:val="24"/>
                <w:szCs w:val="24"/>
                <w:highlight w:val="none"/>
              </w:rPr>
              <w:t>危险废物贮存设施标志的尺寸</w:t>
            </w:r>
          </w:p>
          <w:p w14:paraId="64D118E7">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b/>
                <w:bCs/>
                <w:color w:val="auto"/>
                <w:spacing w:val="0"/>
                <w:kern w:val="21"/>
                <w:position w:val="0"/>
                <w:sz w:val="24"/>
                <w:szCs w:val="24"/>
                <w:highlight w:val="none"/>
              </w:rPr>
            </w:pPr>
            <w:r>
              <w:rPr>
                <w:rFonts w:hint="default" w:ascii="Times New Roman" w:hAnsi="Times New Roman" w:eastAsia="宋体" w:cs="Times New Roman"/>
                <w:color w:val="auto"/>
                <w:spacing w:val="0"/>
                <w:kern w:val="21"/>
                <w:position w:val="0"/>
                <w:sz w:val="24"/>
                <w:szCs w:val="24"/>
                <w:highlight w:val="none"/>
              </w:rPr>
              <w:t>危险废物贮存设施标志的尺寸宜根据其设置位置和对应的观察距离按照表4-</w:t>
            </w:r>
            <w:r>
              <w:rPr>
                <w:rFonts w:hint="default" w:ascii="Times New Roman" w:hAnsi="Times New Roman" w:eastAsia="宋体" w:cs="Times New Roman"/>
                <w:color w:val="auto"/>
                <w:spacing w:val="0"/>
                <w:kern w:val="21"/>
                <w:position w:val="0"/>
                <w:sz w:val="24"/>
                <w:szCs w:val="24"/>
                <w:highlight w:val="none"/>
                <w:lang w:val="en-US" w:eastAsia="zh-CN"/>
              </w:rPr>
              <w:t>1</w:t>
            </w:r>
            <w:r>
              <w:rPr>
                <w:rFonts w:hint="default" w:ascii="Times New Roman" w:hAnsi="Times New Roman" w:cs="Times New Roman"/>
                <w:color w:val="auto"/>
                <w:spacing w:val="0"/>
                <w:kern w:val="21"/>
                <w:position w:val="0"/>
                <w:sz w:val="24"/>
                <w:szCs w:val="24"/>
                <w:highlight w:val="none"/>
                <w:lang w:val="en-US" w:eastAsia="zh-CN"/>
              </w:rPr>
              <w:t>8</w:t>
            </w:r>
            <w:r>
              <w:rPr>
                <w:rFonts w:hint="default" w:ascii="Times New Roman" w:hAnsi="Times New Roman" w:eastAsia="宋体" w:cs="Times New Roman"/>
                <w:color w:val="auto"/>
                <w:spacing w:val="0"/>
                <w:kern w:val="21"/>
                <w:position w:val="0"/>
                <w:sz w:val="24"/>
                <w:szCs w:val="24"/>
                <w:highlight w:val="none"/>
              </w:rPr>
              <w:t>中的要求设置。</w:t>
            </w:r>
          </w:p>
          <w:p w14:paraId="6B21A5A7">
            <w:pPr>
              <w:keepLines w:val="0"/>
              <w:pageBreakBefore w:val="0"/>
              <w:kinsoku/>
              <w:topLinePunct w:val="0"/>
              <w:bidi w:val="0"/>
              <w:adjustRightInd w:val="0"/>
              <w:snapToGrid w:val="0"/>
              <w:spacing w:beforeAutospacing="0" w:afterAutospacing="0"/>
              <w:ind w:left="0" w:leftChars="0" w:right="0" w:rightChars="0"/>
              <w:jc w:val="center"/>
              <w:outlineLvl w:val="9"/>
              <w:rPr>
                <w:rFonts w:hint="default" w:ascii="Times New Roman" w:hAnsi="Times New Roman" w:eastAsia="宋体" w:cs="Times New Roman"/>
                <w:color w:val="auto"/>
                <w:spacing w:val="0"/>
                <w:kern w:val="21"/>
                <w:position w:val="0"/>
                <w:sz w:val="24"/>
                <w:szCs w:val="24"/>
                <w:highlight w:val="none"/>
              </w:rPr>
            </w:pPr>
            <w:r>
              <w:rPr>
                <w:rFonts w:hint="default" w:ascii="Times New Roman" w:hAnsi="Times New Roman" w:eastAsia="宋体" w:cs="Times New Roman"/>
                <w:b/>
                <w:bCs/>
                <w:color w:val="auto"/>
                <w:spacing w:val="0"/>
                <w:kern w:val="21"/>
                <w:position w:val="0"/>
                <w:sz w:val="24"/>
                <w:szCs w:val="24"/>
                <w:highlight w:val="none"/>
              </w:rPr>
              <w:t>表4-</w:t>
            </w:r>
            <w:r>
              <w:rPr>
                <w:rFonts w:hint="default" w:ascii="Times New Roman" w:hAnsi="Times New Roman" w:eastAsia="宋体" w:cs="Times New Roman"/>
                <w:b/>
                <w:bCs/>
                <w:color w:val="auto"/>
                <w:spacing w:val="0"/>
                <w:kern w:val="21"/>
                <w:position w:val="0"/>
                <w:sz w:val="24"/>
                <w:szCs w:val="24"/>
                <w:highlight w:val="none"/>
                <w:lang w:val="en-US" w:eastAsia="zh-CN"/>
              </w:rPr>
              <w:t>1</w:t>
            </w:r>
            <w:r>
              <w:rPr>
                <w:rFonts w:hint="default" w:ascii="Times New Roman" w:hAnsi="Times New Roman" w:cs="Times New Roman"/>
                <w:b/>
                <w:bCs/>
                <w:color w:val="auto"/>
                <w:spacing w:val="0"/>
                <w:kern w:val="21"/>
                <w:position w:val="0"/>
                <w:sz w:val="24"/>
                <w:szCs w:val="24"/>
                <w:highlight w:val="none"/>
                <w:lang w:val="en-US" w:eastAsia="zh-CN"/>
              </w:rPr>
              <w:t>8</w:t>
            </w:r>
            <w:r>
              <w:rPr>
                <w:rFonts w:hint="default" w:ascii="Times New Roman" w:hAnsi="Times New Roman" w:eastAsia="宋体" w:cs="Times New Roman"/>
                <w:b/>
                <w:bCs/>
                <w:color w:val="auto"/>
                <w:spacing w:val="0"/>
                <w:kern w:val="21"/>
                <w:position w:val="0"/>
                <w:sz w:val="24"/>
                <w:szCs w:val="24"/>
                <w:highlight w:val="none"/>
                <w:lang w:val="en-US" w:eastAsia="zh-CN"/>
              </w:rPr>
              <w:t xml:space="preserve"> </w:t>
            </w:r>
            <w:r>
              <w:rPr>
                <w:rFonts w:hint="default" w:ascii="Times New Roman" w:hAnsi="Times New Roman" w:eastAsia="宋体" w:cs="Times New Roman"/>
                <w:b/>
                <w:bCs/>
                <w:color w:val="auto"/>
                <w:spacing w:val="0"/>
                <w:kern w:val="21"/>
                <w:position w:val="0"/>
                <w:sz w:val="24"/>
                <w:szCs w:val="24"/>
                <w:highlight w:val="none"/>
              </w:rPr>
              <w:t>不同观察距离时危险废物贮存设施标志的尺寸要求</w:t>
            </w:r>
          </w:p>
          <w:tbl>
            <w:tblPr>
              <w:tblStyle w:val="29"/>
              <w:tblW w:w="803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96"/>
              <w:gridCol w:w="1140"/>
              <w:gridCol w:w="1057"/>
              <w:gridCol w:w="948"/>
              <w:gridCol w:w="948"/>
              <w:gridCol w:w="951"/>
              <w:gridCol w:w="948"/>
              <w:gridCol w:w="950"/>
            </w:tblGrid>
            <w:tr w14:paraId="1F811C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4" w:hRule="exact"/>
                <w:jc w:val="center"/>
              </w:trPr>
              <w:tc>
                <w:tcPr>
                  <w:tcW w:w="1096" w:type="dxa"/>
                  <w:vMerge w:val="restart"/>
                  <w:noWrap w:val="0"/>
                  <w:vAlign w:val="center"/>
                </w:tcPr>
                <w:p w14:paraId="44CD54F2">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设置位置</w:t>
                  </w:r>
                </w:p>
                <w:p w14:paraId="75CEC096">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p>
              </w:tc>
              <w:tc>
                <w:tcPr>
                  <w:tcW w:w="1140" w:type="dxa"/>
                  <w:vMerge w:val="restart"/>
                  <w:noWrap w:val="0"/>
                  <w:vAlign w:val="center"/>
                </w:tcPr>
                <w:p w14:paraId="773EDB3B">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观察距离</w:t>
                  </w:r>
                </w:p>
                <w:p w14:paraId="50CE331C">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L（m）</w:t>
                  </w:r>
                </w:p>
              </w:tc>
              <w:tc>
                <w:tcPr>
                  <w:tcW w:w="1057" w:type="dxa"/>
                  <w:vMerge w:val="restart"/>
                  <w:noWrap w:val="0"/>
                  <w:vAlign w:val="center"/>
                </w:tcPr>
                <w:p w14:paraId="3DA7B013">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标志牌整体外</w:t>
                  </w:r>
                </w:p>
                <w:p w14:paraId="42A266A8">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形最小尺寸（mm）</w:t>
                  </w:r>
                </w:p>
              </w:tc>
              <w:tc>
                <w:tcPr>
                  <w:tcW w:w="2847" w:type="dxa"/>
                  <w:gridSpan w:val="3"/>
                  <w:noWrap w:val="0"/>
                  <w:vAlign w:val="center"/>
                </w:tcPr>
                <w:p w14:paraId="44B09E47">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三角形警告性标志</w:t>
                  </w:r>
                </w:p>
              </w:tc>
              <w:tc>
                <w:tcPr>
                  <w:tcW w:w="1898" w:type="dxa"/>
                  <w:gridSpan w:val="2"/>
                  <w:noWrap w:val="0"/>
                  <w:vAlign w:val="center"/>
                </w:tcPr>
                <w:p w14:paraId="08662D6F">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最低文字高度（mm）</w:t>
                  </w:r>
                </w:p>
              </w:tc>
            </w:tr>
            <w:tr w14:paraId="2018FC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4" w:hRule="exact"/>
                <w:jc w:val="center"/>
              </w:trPr>
              <w:tc>
                <w:tcPr>
                  <w:tcW w:w="1096" w:type="dxa"/>
                  <w:vMerge w:val="continue"/>
                  <w:noWrap w:val="0"/>
                  <w:vAlign w:val="center"/>
                </w:tcPr>
                <w:p w14:paraId="15CBBCC6">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p>
              </w:tc>
              <w:tc>
                <w:tcPr>
                  <w:tcW w:w="1140" w:type="dxa"/>
                  <w:vMerge w:val="continue"/>
                  <w:noWrap w:val="0"/>
                  <w:vAlign w:val="center"/>
                </w:tcPr>
                <w:p w14:paraId="0C87D269">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p>
              </w:tc>
              <w:tc>
                <w:tcPr>
                  <w:tcW w:w="1057" w:type="dxa"/>
                  <w:vMerge w:val="continue"/>
                  <w:noWrap w:val="0"/>
                  <w:vAlign w:val="center"/>
                </w:tcPr>
                <w:p w14:paraId="3231179A">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p>
              </w:tc>
              <w:tc>
                <w:tcPr>
                  <w:tcW w:w="948" w:type="dxa"/>
                  <w:noWrap w:val="0"/>
                  <w:vAlign w:val="center"/>
                </w:tcPr>
                <w:p w14:paraId="51609A34">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三角形</w:t>
                  </w:r>
                </w:p>
                <w:p w14:paraId="1E2AC457">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外边长a1（mm）</w:t>
                  </w:r>
                </w:p>
              </w:tc>
              <w:tc>
                <w:tcPr>
                  <w:tcW w:w="948" w:type="dxa"/>
                  <w:noWrap w:val="0"/>
                  <w:vAlign w:val="center"/>
                </w:tcPr>
                <w:p w14:paraId="313E443C">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三角形</w:t>
                  </w:r>
                </w:p>
                <w:p w14:paraId="7B0EAB3A">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内边长a2（mm）</w:t>
                  </w:r>
                </w:p>
              </w:tc>
              <w:tc>
                <w:tcPr>
                  <w:tcW w:w="951" w:type="dxa"/>
                  <w:noWrap w:val="0"/>
                  <w:vAlign w:val="center"/>
                </w:tcPr>
                <w:p w14:paraId="421A3D26">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边框外角圆弧半径（mm）</w:t>
                  </w:r>
                </w:p>
              </w:tc>
              <w:tc>
                <w:tcPr>
                  <w:tcW w:w="948" w:type="dxa"/>
                  <w:noWrap w:val="0"/>
                  <w:vAlign w:val="center"/>
                </w:tcPr>
                <w:p w14:paraId="1F1D2B19">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设施类型名称</w:t>
                  </w:r>
                </w:p>
              </w:tc>
              <w:tc>
                <w:tcPr>
                  <w:tcW w:w="950" w:type="dxa"/>
                  <w:noWrap w:val="0"/>
                  <w:vAlign w:val="center"/>
                </w:tcPr>
                <w:p w14:paraId="6A769FDF">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其他</w:t>
                  </w:r>
                </w:p>
                <w:p w14:paraId="6C5AEA61">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文字</w:t>
                  </w:r>
                </w:p>
              </w:tc>
            </w:tr>
            <w:tr w14:paraId="14701E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4" w:hRule="exact"/>
                <w:jc w:val="center"/>
              </w:trPr>
              <w:tc>
                <w:tcPr>
                  <w:tcW w:w="1096" w:type="dxa"/>
                  <w:noWrap w:val="0"/>
                  <w:vAlign w:val="center"/>
                </w:tcPr>
                <w:p w14:paraId="1525B9CF">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露天/室外入口</w:t>
                  </w:r>
                </w:p>
              </w:tc>
              <w:tc>
                <w:tcPr>
                  <w:tcW w:w="1140" w:type="dxa"/>
                  <w:noWrap w:val="0"/>
                  <w:vAlign w:val="center"/>
                </w:tcPr>
                <w:p w14:paraId="3DF12975">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lang w:eastAsia="zh-CN"/>
                    </w:rPr>
                    <w:t>&gt;</w:t>
                  </w:r>
                  <w:r>
                    <w:rPr>
                      <w:rFonts w:hint="default" w:ascii="Times New Roman" w:hAnsi="Times New Roman" w:eastAsia="宋体" w:cs="Times New Roman"/>
                      <w:color w:val="auto"/>
                      <w:spacing w:val="0"/>
                      <w:kern w:val="21"/>
                      <w:position w:val="0"/>
                      <w:highlight w:val="none"/>
                    </w:rPr>
                    <w:t>10</w:t>
                  </w:r>
                </w:p>
              </w:tc>
              <w:tc>
                <w:tcPr>
                  <w:tcW w:w="1057" w:type="dxa"/>
                  <w:noWrap w:val="0"/>
                  <w:vAlign w:val="center"/>
                </w:tcPr>
                <w:p w14:paraId="33250FDD">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900×558</w:t>
                  </w:r>
                </w:p>
              </w:tc>
              <w:tc>
                <w:tcPr>
                  <w:tcW w:w="948" w:type="dxa"/>
                  <w:noWrap w:val="0"/>
                  <w:vAlign w:val="center"/>
                </w:tcPr>
                <w:p w14:paraId="3429D9D9">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500</w:t>
                  </w:r>
                </w:p>
              </w:tc>
              <w:tc>
                <w:tcPr>
                  <w:tcW w:w="948" w:type="dxa"/>
                  <w:noWrap w:val="0"/>
                  <w:vAlign w:val="center"/>
                </w:tcPr>
                <w:p w14:paraId="77AC99BC">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375</w:t>
                  </w:r>
                </w:p>
              </w:tc>
              <w:tc>
                <w:tcPr>
                  <w:tcW w:w="951" w:type="dxa"/>
                  <w:noWrap w:val="0"/>
                  <w:vAlign w:val="center"/>
                </w:tcPr>
                <w:p w14:paraId="6CAFAA29">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30</w:t>
                  </w:r>
                </w:p>
              </w:tc>
              <w:tc>
                <w:tcPr>
                  <w:tcW w:w="948" w:type="dxa"/>
                  <w:noWrap w:val="0"/>
                  <w:vAlign w:val="center"/>
                </w:tcPr>
                <w:p w14:paraId="1CA2B0F7">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48</w:t>
                  </w:r>
                </w:p>
              </w:tc>
              <w:tc>
                <w:tcPr>
                  <w:tcW w:w="950" w:type="dxa"/>
                  <w:noWrap w:val="0"/>
                  <w:vAlign w:val="center"/>
                </w:tcPr>
                <w:p w14:paraId="09A7DACE">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24</w:t>
                  </w:r>
                </w:p>
              </w:tc>
            </w:tr>
            <w:tr w14:paraId="41EF7F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096" w:type="dxa"/>
                  <w:noWrap w:val="0"/>
                  <w:vAlign w:val="center"/>
                </w:tcPr>
                <w:p w14:paraId="29C4FA77">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室内</w:t>
                  </w:r>
                </w:p>
              </w:tc>
              <w:tc>
                <w:tcPr>
                  <w:tcW w:w="1140" w:type="dxa"/>
                  <w:noWrap w:val="0"/>
                  <w:vAlign w:val="center"/>
                </w:tcPr>
                <w:p w14:paraId="0B0E6D68">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4＜L</w:t>
                  </w:r>
                  <w:r>
                    <w:rPr>
                      <w:rFonts w:hint="default" w:ascii="Times New Roman" w:hAnsi="Times New Roman" w:eastAsia="宋体" w:cs="Times New Roman"/>
                      <w:color w:val="auto"/>
                      <w:spacing w:val="0"/>
                      <w:kern w:val="21"/>
                      <w:position w:val="0"/>
                      <w:highlight w:val="none"/>
                      <w:lang w:eastAsia="zh-CN"/>
                    </w:rPr>
                    <w:t>≤</w:t>
                  </w:r>
                  <w:r>
                    <w:rPr>
                      <w:rFonts w:hint="default" w:ascii="Times New Roman" w:hAnsi="Times New Roman" w:eastAsia="宋体" w:cs="Times New Roman"/>
                      <w:color w:val="auto"/>
                      <w:spacing w:val="0"/>
                      <w:kern w:val="21"/>
                      <w:position w:val="0"/>
                      <w:highlight w:val="none"/>
                    </w:rPr>
                    <w:t>10</w:t>
                  </w:r>
                </w:p>
              </w:tc>
              <w:tc>
                <w:tcPr>
                  <w:tcW w:w="1057" w:type="dxa"/>
                  <w:noWrap w:val="0"/>
                  <w:vAlign w:val="center"/>
                </w:tcPr>
                <w:p w14:paraId="2158026D">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600×372</w:t>
                  </w:r>
                </w:p>
              </w:tc>
              <w:tc>
                <w:tcPr>
                  <w:tcW w:w="948" w:type="dxa"/>
                  <w:noWrap w:val="0"/>
                  <w:vAlign w:val="center"/>
                </w:tcPr>
                <w:p w14:paraId="327F12D4">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300</w:t>
                  </w:r>
                </w:p>
              </w:tc>
              <w:tc>
                <w:tcPr>
                  <w:tcW w:w="948" w:type="dxa"/>
                  <w:noWrap w:val="0"/>
                  <w:vAlign w:val="center"/>
                </w:tcPr>
                <w:p w14:paraId="0862EF3A">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225</w:t>
                  </w:r>
                </w:p>
              </w:tc>
              <w:tc>
                <w:tcPr>
                  <w:tcW w:w="951" w:type="dxa"/>
                  <w:noWrap w:val="0"/>
                  <w:vAlign w:val="center"/>
                </w:tcPr>
                <w:p w14:paraId="44AA1A49">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18</w:t>
                  </w:r>
                </w:p>
              </w:tc>
              <w:tc>
                <w:tcPr>
                  <w:tcW w:w="948" w:type="dxa"/>
                  <w:noWrap w:val="0"/>
                  <w:vAlign w:val="center"/>
                </w:tcPr>
                <w:p w14:paraId="230C4A34">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32</w:t>
                  </w:r>
                </w:p>
              </w:tc>
              <w:tc>
                <w:tcPr>
                  <w:tcW w:w="950" w:type="dxa"/>
                  <w:noWrap w:val="0"/>
                  <w:vAlign w:val="center"/>
                </w:tcPr>
                <w:p w14:paraId="09B14CB9">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16</w:t>
                  </w:r>
                </w:p>
              </w:tc>
            </w:tr>
            <w:tr w14:paraId="12C084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exact"/>
                <w:jc w:val="center"/>
              </w:trPr>
              <w:tc>
                <w:tcPr>
                  <w:tcW w:w="1096" w:type="dxa"/>
                  <w:noWrap w:val="0"/>
                  <w:vAlign w:val="center"/>
                </w:tcPr>
                <w:p w14:paraId="795A10C5">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室内</w:t>
                  </w:r>
                </w:p>
              </w:tc>
              <w:tc>
                <w:tcPr>
                  <w:tcW w:w="1140" w:type="dxa"/>
                  <w:noWrap w:val="0"/>
                  <w:vAlign w:val="center"/>
                </w:tcPr>
                <w:p w14:paraId="53EAE5AB">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lang w:eastAsia="zh-CN"/>
                    </w:rPr>
                    <w:t>≤</w:t>
                  </w:r>
                  <w:r>
                    <w:rPr>
                      <w:rFonts w:hint="default" w:ascii="Times New Roman" w:hAnsi="Times New Roman" w:eastAsia="宋体" w:cs="Times New Roman"/>
                      <w:color w:val="auto"/>
                      <w:spacing w:val="0"/>
                      <w:kern w:val="21"/>
                      <w:position w:val="0"/>
                      <w:highlight w:val="none"/>
                    </w:rPr>
                    <w:t>4</w:t>
                  </w:r>
                </w:p>
              </w:tc>
              <w:tc>
                <w:tcPr>
                  <w:tcW w:w="1057" w:type="dxa"/>
                  <w:noWrap w:val="0"/>
                  <w:vAlign w:val="center"/>
                </w:tcPr>
                <w:p w14:paraId="19D5FDD5">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300×186</w:t>
                  </w:r>
                </w:p>
              </w:tc>
              <w:tc>
                <w:tcPr>
                  <w:tcW w:w="948" w:type="dxa"/>
                  <w:noWrap w:val="0"/>
                  <w:vAlign w:val="center"/>
                </w:tcPr>
                <w:p w14:paraId="27512342">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140</w:t>
                  </w:r>
                </w:p>
              </w:tc>
              <w:tc>
                <w:tcPr>
                  <w:tcW w:w="948" w:type="dxa"/>
                  <w:noWrap w:val="0"/>
                  <w:vAlign w:val="center"/>
                </w:tcPr>
                <w:p w14:paraId="03A2BCA4">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105</w:t>
                  </w:r>
                </w:p>
              </w:tc>
              <w:tc>
                <w:tcPr>
                  <w:tcW w:w="951" w:type="dxa"/>
                  <w:noWrap w:val="0"/>
                  <w:vAlign w:val="center"/>
                </w:tcPr>
                <w:p w14:paraId="3E178110">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8.4</w:t>
                  </w:r>
                </w:p>
              </w:tc>
              <w:tc>
                <w:tcPr>
                  <w:tcW w:w="948" w:type="dxa"/>
                  <w:noWrap w:val="0"/>
                  <w:vAlign w:val="center"/>
                </w:tcPr>
                <w:p w14:paraId="3681903A">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16</w:t>
                  </w:r>
                </w:p>
              </w:tc>
              <w:tc>
                <w:tcPr>
                  <w:tcW w:w="950" w:type="dxa"/>
                  <w:noWrap w:val="0"/>
                  <w:vAlign w:val="center"/>
                </w:tcPr>
                <w:p w14:paraId="1BDF4B15">
                  <w:pPr>
                    <w:pStyle w:val="109"/>
                    <w:keepLines w:val="0"/>
                    <w:pageBreakBefore w:val="0"/>
                    <w:kinsoku/>
                    <w:topLinePunct w:val="0"/>
                    <w:bidi w:val="0"/>
                    <w:adjustRightInd w:val="0"/>
                    <w:snapToGrid w:val="0"/>
                    <w:spacing w:beforeAutospacing="0" w:afterAutospacing="0" w:line="240" w:lineRule="exact"/>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8</w:t>
                  </w:r>
                </w:p>
              </w:tc>
            </w:tr>
          </w:tbl>
          <w:p w14:paraId="6904629A">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val="en-US" w:eastAsia="zh-CN"/>
              </w:rPr>
              <w:t>d</w:t>
            </w:r>
            <w:r>
              <w:rPr>
                <w:rFonts w:hint="default" w:ascii="Times New Roman" w:hAnsi="Times New Roman" w:eastAsia="宋体" w:cs="Times New Roman"/>
                <w:color w:val="auto"/>
                <w:spacing w:val="0"/>
                <w:kern w:val="21"/>
                <w:position w:val="0"/>
                <w:sz w:val="24"/>
                <w:highlight w:val="none"/>
              </w:rPr>
              <w:t>危险废物贮存设施标志的材质</w:t>
            </w:r>
          </w:p>
          <w:p w14:paraId="0C574900">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t>危险废物贮存设施标志宜采用坚固耐用的材料（如1.5mm～2mm冷轧钢板），并做搪瓷处理或贴膜处理。一般不宜使用遇水变形、变质或易燃的材料。柱式标志牌的立柱可采用38×4无缝钢管或其他坚固耐用的材料，并经过防腐处理。</w:t>
            </w:r>
          </w:p>
          <w:p w14:paraId="13030D9A">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val="en-US" w:eastAsia="zh-CN"/>
              </w:rPr>
              <w:t>e</w:t>
            </w:r>
            <w:r>
              <w:rPr>
                <w:rFonts w:hint="default" w:ascii="Times New Roman" w:hAnsi="Times New Roman" w:eastAsia="宋体" w:cs="Times New Roman"/>
                <w:color w:val="auto"/>
                <w:spacing w:val="0"/>
                <w:kern w:val="21"/>
                <w:position w:val="0"/>
                <w:sz w:val="24"/>
                <w:highlight w:val="none"/>
              </w:rPr>
              <w:t>危险废物贮存设施标志的样式</w:t>
            </w:r>
          </w:p>
          <w:p w14:paraId="5FFD30FD">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t>危险废物贮存设施标志可采用横版或竖版的形式，标志制作宜符合</w:t>
            </w:r>
            <w:r>
              <w:rPr>
                <w:rFonts w:hint="default" w:ascii="Times New Roman" w:hAnsi="Times New Roman" w:eastAsia="宋体" w:cs="Times New Roman"/>
                <w:color w:val="auto"/>
                <w:spacing w:val="0"/>
                <w:kern w:val="21"/>
                <w:position w:val="0"/>
                <w:sz w:val="24"/>
                <w:highlight w:val="none"/>
                <w:lang w:val="en-US" w:eastAsia="zh-CN"/>
              </w:rPr>
              <w:t>下图</w:t>
            </w:r>
            <w:r>
              <w:rPr>
                <w:rFonts w:hint="default" w:ascii="Times New Roman" w:hAnsi="Times New Roman" w:eastAsia="宋体" w:cs="Times New Roman"/>
                <w:color w:val="auto"/>
                <w:spacing w:val="0"/>
                <w:kern w:val="21"/>
                <w:position w:val="0"/>
                <w:sz w:val="24"/>
                <w:highlight w:val="none"/>
              </w:rPr>
              <w:t>所示的样式。</w:t>
            </w:r>
          </w:p>
          <w:p w14:paraId="405A4F53">
            <w:pPr>
              <w:pStyle w:val="21"/>
              <w:keepLines w:val="0"/>
              <w:pageBreakBefore w:val="0"/>
              <w:tabs>
                <w:tab w:val="right" w:leader="dot" w:pos="8190"/>
              </w:tabs>
              <w:kinsoku/>
              <w:topLinePunct w:val="0"/>
              <w:bidi w:val="0"/>
              <w:adjustRightInd w:val="0"/>
              <w:snapToGrid w:val="0"/>
              <w:spacing w:beforeAutospacing="0" w:afterAutospacing="0"/>
              <w:ind w:left="0" w:leftChars="0" w:right="0" w:rightChars="0"/>
              <w:jc w:val="center"/>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sz w:val="24"/>
                <w:highlight w:val="none"/>
              </w:rPr>
              <w:drawing>
                <wp:inline distT="0" distB="0" distL="114300" distR="114300">
                  <wp:extent cx="2459990" cy="1419225"/>
                  <wp:effectExtent l="0" t="0" r="16510" b="9525"/>
                  <wp:docPr id="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
                          <pic:cNvPicPr>
                            <a:picLocks noChangeAspect="1"/>
                          </pic:cNvPicPr>
                        </pic:nvPicPr>
                        <pic:blipFill>
                          <a:blip r:embed="rId39"/>
                          <a:stretch>
                            <a:fillRect/>
                          </a:stretch>
                        </pic:blipFill>
                        <pic:spPr>
                          <a:xfrm>
                            <a:off x="0" y="0"/>
                            <a:ext cx="2459990" cy="1419225"/>
                          </a:xfrm>
                          <a:prstGeom prst="rect">
                            <a:avLst/>
                          </a:prstGeom>
                          <a:noFill/>
                          <a:ln>
                            <a:noFill/>
                          </a:ln>
                        </pic:spPr>
                      </pic:pic>
                    </a:graphicData>
                  </a:graphic>
                </wp:inline>
              </w:drawing>
            </w:r>
            <w:r>
              <w:rPr>
                <w:rFonts w:hint="default" w:ascii="Times New Roman" w:hAnsi="Times New Roman" w:eastAsia="宋体" w:cs="Times New Roman"/>
                <w:color w:val="auto"/>
                <w:spacing w:val="0"/>
                <w:kern w:val="21"/>
                <w:position w:val="0"/>
                <w:sz w:val="24"/>
                <w:highlight w:val="none"/>
                <w:lang w:val="en-US" w:eastAsia="zh-CN"/>
              </w:rPr>
              <w:t xml:space="preserve">  </w:t>
            </w:r>
            <w:r>
              <w:rPr>
                <w:rFonts w:hint="default" w:ascii="Times New Roman" w:hAnsi="Times New Roman" w:eastAsia="宋体" w:cs="Times New Roman"/>
                <w:color w:val="auto"/>
                <w:spacing w:val="0"/>
                <w:kern w:val="21"/>
                <w:position w:val="0"/>
                <w:sz w:val="24"/>
                <w:highlight w:val="none"/>
              </w:rPr>
              <w:drawing>
                <wp:inline distT="0" distB="0" distL="114300" distR="114300">
                  <wp:extent cx="1617980" cy="1656715"/>
                  <wp:effectExtent l="0" t="0" r="1270" b="635"/>
                  <wp:docPr id="63" name="图片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99"/>
                          <pic:cNvPicPr>
                            <a:picLocks noChangeAspect="1"/>
                          </pic:cNvPicPr>
                        </pic:nvPicPr>
                        <pic:blipFill>
                          <a:blip r:embed="rId40"/>
                          <a:stretch>
                            <a:fillRect/>
                          </a:stretch>
                        </pic:blipFill>
                        <pic:spPr>
                          <a:xfrm>
                            <a:off x="0" y="0"/>
                            <a:ext cx="1617980" cy="1656715"/>
                          </a:xfrm>
                          <a:prstGeom prst="rect">
                            <a:avLst/>
                          </a:prstGeom>
                          <a:noFill/>
                          <a:ln>
                            <a:noFill/>
                          </a:ln>
                        </pic:spPr>
                      </pic:pic>
                    </a:graphicData>
                  </a:graphic>
                </wp:inline>
              </w:drawing>
            </w:r>
          </w:p>
          <w:p w14:paraId="2DC2327C">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val="en-US" w:eastAsia="zh-CN"/>
              </w:rPr>
              <w:t>B</w:t>
            </w:r>
            <w:r>
              <w:rPr>
                <w:rFonts w:hint="default" w:ascii="Times New Roman" w:hAnsi="Times New Roman" w:eastAsia="宋体" w:cs="Times New Roman"/>
                <w:color w:val="auto"/>
                <w:spacing w:val="0"/>
                <w:kern w:val="21"/>
                <w:position w:val="0"/>
                <w:sz w:val="24"/>
                <w:highlight w:val="none"/>
              </w:rPr>
              <w:t>危险废物标签</w:t>
            </w:r>
          </w:p>
          <w:p w14:paraId="5D1C9088">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val="en-US" w:eastAsia="zh-CN"/>
              </w:rPr>
              <w:t>a</w:t>
            </w:r>
            <w:r>
              <w:rPr>
                <w:rFonts w:hint="default" w:ascii="Times New Roman" w:hAnsi="Times New Roman" w:eastAsia="宋体" w:cs="Times New Roman"/>
                <w:color w:val="auto"/>
                <w:spacing w:val="0"/>
                <w:kern w:val="21"/>
                <w:position w:val="0"/>
                <w:sz w:val="24"/>
                <w:highlight w:val="none"/>
              </w:rPr>
              <w:t>危险废物标签的颜色</w:t>
            </w:r>
          </w:p>
          <w:p w14:paraId="75EDC214">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t>危险废物标签背景色应采用醒目的橘黄色，RGB颜色值为（255</w:t>
            </w:r>
            <w:r>
              <w:rPr>
                <w:rFonts w:hint="default" w:ascii="Times New Roman" w:hAnsi="Times New Roman" w:eastAsia="宋体" w:cs="Times New Roman"/>
                <w:color w:val="auto"/>
                <w:spacing w:val="0"/>
                <w:kern w:val="21"/>
                <w:position w:val="0"/>
                <w:sz w:val="24"/>
                <w:highlight w:val="none"/>
                <w:lang w:eastAsia="zh-CN"/>
              </w:rPr>
              <w:t>，</w:t>
            </w:r>
            <w:r>
              <w:rPr>
                <w:rFonts w:hint="default" w:ascii="Times New Roman" w:hAnsi="Times New Roman" w:eastAsia="宋体" w:cs="Times New Roman"/>
                <w:color w:val="auto"/>
                <w:spacing w:val="0"/>
                <w:kern w:val="21"/>
                <w:position w:val="0"/>
                <w:sz w:val="24"/>
                <w:highlight w:val="none"/>
              </w:rPr>
              <w:t>150</w:t>
            </w:r>
            <w:r>
              <w:rPr>
                <w:rFonts w:hint="default" w:ascii="Times New Roman" w:hAnsi="Times New Roman" w:eastAsia="宋体" w:cs="Times New Roman"/>
                <w:color w:val="auto"/>
                <w:spacing w:val="0"/>
                <w:kern w:val="21"/>
                <w:position w:val="0"/>
                <w:sz w:val="24"/>
                <w:highlight w:val="none"/>
                <w:lang w:eastAsia="zh-CN"/>
              </w:rPr>
              <w:t>，</w:t>
            </w:r>
            <w:r>
              <w:rPr>
                <w:rFonts w:hint="default" w:ascii="Times New Roman" w:hAnsi="Times New Roman" w:eastAsia="宋体" w:cs="Times New Roman"/>
                <w:color w:val="auto"/>
                <w:spacing w:val="0"/>
                <w:kern w:val="21"/>
                <w:position w:val="0"/>
                <w:sz w:val="24"/>
                <w:highlight w:val="none"/>
              </w:rPr>
              <w:t>0）。标签边框和字体颜色为黑色，RGB颜色值为（0</w:t>
            </w:r>
            <w:r>
              <w:rPr>
                <w:rFonts w:hint="default" w:ascii="Times New Roman" w:hAnsi="Times New Roman" w:eastAsia="宋体" w:cs="Times New Roman"/>
                <w:color w:val="auto"/>
                <w:spacing w:val="0"/>
                <w:kern w:val="21"/>
                <w:position w:val="0"/>
                <w:sz w:val="24"/>
                <w:highlight w:val="none"/>
                <w:lang w:eastAsia="zh-CN"/>
              </w:rPr>
              <w:t>，</w:t>
            </w:r>
            <w:r>
              <w:rPr>
                <w:rFonts w:hint="default" w:ascii="Times New Roman" w:hAnsi="Times New Roman" w:eastAsia="宋体" w:cs="Times New Roman"/>
                <w:color w:val="auto"/>
                <w:spacing w:val="0"/>
                <w:kern w:val="21"/>
                <w:position w:val="0"/>
                <w:sz w:val="24"/>
                <w:highlight w:val="none"/>
              </w:rPr>
              <w:t>0</w:t>
            </w:r>
            <w:r>
              <w:rPr>
                <w:rFonts w:hint="default" w:ascii="Times New Roman" w:hAnsi="Times New Roman" w:eastAsia="宋体" w:cs="Times New Roman"/>
                <w:color w:val="auto"/>
                <w:spacing w:val="0"/>
                <w:kern w:val="21"/>
                <w:position w:val="0"/>
                <w:sz w:val="24"/>
                <w:highlight w:val="none"/>
                <w:lang w:eastAsia="zh-CN"/>
              </w:rPr>
              <w:t>，</w:t>
            </w:r>
            <w:r>
              <w:rPr>
                <w:rFonts w:hint="default" w:ascii="Times New Roman" w:hAnsi="Times New Roman" w:eastAsia="宋体" w:cs="Times New Roman"/>
                <w:color w:val="auto"/>
                <w:spacing w:val="0"/>
                <w:kern w:val="21"/>
                <w:position w:val="0"/>
                <w:sz w:val="24"/>
                <w:highlight w:val="none"/>
              </w:rPr>
              <w:t>0）。</w:t>
            </w:r>
          </w:p>
          <w:p w14:paraId="490878A1">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val="en-US" w:eastAsia="zh-CN"/>
              </w:rPr>
              <w:t>b</w:t>
            </w:r>
            <w:r>
              <w:rPr>
                <w:rFonts w:hint="default" w:ascii="Times New Roman" w:hAnsi="Times New Roman" w:eastAsia="宋体" w:cs="Times New Roman"/>
                <w:color w:val="auto"/>
                <w:spacing w:val="0"/>
                <w:kern w:val="21"/>
                <w:position w:val="0"/>
                <w:sz w:val="24"/>
                <w:highlight w:val="none"/>
              </w:rPr>
              <w:t>危险废物标签的字体</w:t>
            </w:r>
          </w:p>
          <w:p w14:paraId="2D7785F5">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t>危险废物标签字体宜采用黑体字，其中</w:t>
            </w:r>
            <w:r>
              <w:rPr>
                <w:rFonts w:hint="default" w:ascii="Times New Roman" w:hAnsi="Times New Roman" w:cs="Times New Roman"/>
                <w:color w:val="auto"/>
                <w:spacing w:val="0"/>
                <w:kern w:val="21"/>
                <w:position w:val="0"/>
                <w:sz w:val="24"/>
                <w:highlight w:val="none"/>
                <w:lang w:eastAsia="zh-CN"/>
              </w:rPr>
              <w:t>“</w:t>
            </w:r>
            <w:r>
              <w:rPr>
                <w:rFonts w:hint="default" w:ascii="Times New Roman" w:hAnsi="Times New Roman" w:eastAsia="宋体" w:cs="Times New Roman"/>
                <w:color w:val="auto"/>
                <w:spacing w:val="0"/>
                <w:kern w:val="21"/>
                <w:position w:val="0"/>
                <w:sz w:val="24"/>
                <w:highlight w:val="none"/>
              </w:rPr>
              <w:t>危险废物</w:t>
            </w:r>
            <w:r>
              <w:rPr>
                <w:rFonts w:hint="default" w:ascii="Times New Roman" w:hAnsi="Times New Roman" w:cs="Times New Roman"/>
                <w:color w:val="auto"/>
                <w:spacing w:val="0"/>
                <w:kern w:val="21"/>
                <w:position w:val="0"/>
                <w:sz w:val="24"/>
                <w:highlight w:val="none"/>
                <w:lang w:eastAsia="zh-CN"/>
              </w:rPr>
              <w:t>”</w:t>
            </w:r>
            <w:r>
              <w:rPr>
                <w:rFonts w:hint="default" w:ascii="Times New Roman" w:hAnsi="Times New Roman" w:eastAsia="宋体" w:cs="Times New Roman"/>
                <w:color w:val="auto"/>
                <w:spacing w:val="0"/>
                <w:kern w:val="21"/>
                <w:position w:val="0"/>
                <w:sz w:val="24"/>
                <w:highlight w:val="none"/>
              </w:rPr>
              <w:t>字样应加粗放大。</w:t>
            </w:r>
          </w:p>
          <w:p w14:paraId="45E8DBC3">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val="en-US" w:eastAsia="zh-CN"/>
              </w:rPr>
              <w:t>c</w:t>
            </w:r>
            <w:r>
              <w:rPr>
                <w:rFonts w:hint="default" w:ascii="Times New Roman" w:hAnsi="Times New Roman" w:eastAsia="宋体" w:cs="Times New Roman"/>
                <w:color w:val="auto"/>
                <w:spacing w:val="0"/>
                <w:kern w:val="21"/>
                <w:position w:val="0"/>
                <w:sz w:val="24"/>
                <w:highlight w:val="none"/>
              </w:rPr>
              <w:t>危险废物标签尺寸</w:t>
            </w:r>
          </w:p>
          <w:p w14:paraId="46592BC7">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t>危险废物标签的尺寸宜根据容器或包装物的容积按照表4-</w:t>
            </w:r>
            <w:r>
              <w:rPr>
                <w:rFonts w:hint="default" w:ascii="Times New Roman" w:hAnsi="Times New Roman" w:eastAsia="宋体" w:cs="Times New Roman"/>
                <w:color w:val="auto"/>
                <w:spacing w:val="0"/>
                <w:kern w:val="21"/>
                <w:position w:val="0"/>
                <w:sz w:val="24"/>
                <w:highlight w:val="none"/>
                <w:lang w:val="en-US" w:eastAsia="zh-CN"/>
              </w:rPr>
              <w:t>1</w:t>
            </w:r>
            <w:r>
              <w:rPr>
                <w:rFonts w:hint="default" w:ascii="Times New Roman" w:hAnsi="Times New Roman" w:cs="Times New Roman"/>
                <w:color w:val="auto"/>
                <w:spacing w:val="0"/>
                <w:kern w:val="21"/>
                <w:position w:val="0"/>
                <w:sz w:val="24"/>
                <w:highlight w:val="none"/>
                <w:lang w:val="en-US" w:eastAsia="zh-CN"/>
              </w:rPr>
              <w:t>9</w:t>
            </w:r>
            <w:r>
              <w:rPr>
                <w:rFonts w:hint="default" w:ascii="Times New Roman" w:hAnsi="Times New Roman" w:eastAsia="宋体" w:cs="Times New Roman"/>
                <w:color w:val="auto"/>
                <w:spacing w:val="0"/>
                <w:kern w:val="21"/>
                <w:position w:val="0"/>
                <w:sz w:val="24"/>
                <w:highlight w:val="none"/>
              </w:rPr>
              <w:t>中的要求设置。</w:t>
            </w:r>
          </w:p>
          <w:p w14:paraId="71F6ACBF">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0"/>
                <w:kern w:val="21"/>
                <w:position w:val="0"/>
                <w:sz w:val="24"/>
                <w:szCs w:val="24"/>
                <w:highlight w:val="none"/>
              </w:rPr>
            </w:pPr>
            <w:r>
              <w:rPr>
                <w:rFonts w:hint="default" w:ascii="Times New Roman" w:hAnsi="Times New Roman" w:eastAsia="宋体" w:cs="Times New Roman"/>
                <w:b/>
                <w:bCs/>
                <w:color w:val="auto"/>
                <w:spacing w:val="0"/>
                <w:kern w:val="21"/>
                <w:position w:val="0"/>
                <w:sz w:val="24"/>
                <w:szCs w:val="24"/>
                <w:highlight w:val="none"/>
              </w:rPr>
              <w:t>表4-</w:t>
            </w:r>
            <w:r>
              <w:rPr>
                <w:rFonts w:hint="default" w:ascii="Times New Roman" w:hAnsi="Times New Roman" w:eastAsia="宋体" w:cs="Times New Roman"/>
                <w:b/>
                <w:bCs/>
                <w:color w:val="auto"/>
                <w:spacing w:val="0"/>
                <w:kern w:val="21"/>
                <w:position w:val="0"/>
                <w:sz w:val="24"/>
                <w:szCs w:val="24"/>
                <w:highlight w:val="none"/>
                <w:lang w:val="en-US" w:eastAsia="zh-CN"/>
              </w:rPr>
              <w:t>1</w:t>
            </w:r>
            <w:r>
              <w:rPr>
                <w:rFonts w:hint="default" w:ascii="Times New Roman" w:hAnsi="Times New Roman" w:cs="Times New Roman"/>
                <w:b/>
                <w:bCs/>
                <w:color w:val="auto"/>
                <w:spacing w:val="0"/>
                <w:kern w:val="21"/>
                <w:position w:val="0"/>
                <w:sz w:val="24"/>
                <w:szCs w:val="24"/>
                <w:highlight w:val="none"/>
                <w:lang w:val="en-US" w:eastAsia="zh-CN"/>
              </w:rPr>
              <w:t>9</w:t>
            </w:r>
            <w:r>
              <w:rPr>
                <w:rFonts w:hint="default" w:ascii="Times New Roman" w:hAnsi="Times New Roman" w:eastAsia="宋体" w:cs="Times New Roman"/>
                <w:b/>
                <w:bCs/>
                <w:color w:val="auto"/>
                <w:spacing w:val="0"/>
                <w:kern w:val="21"/>
                <w:position w:val="0"/>
                <w:sz w:val="24"/>
                <w:szCs w:val="24"/>
                <w:highlight w:val="none"/>
                <w:lang w:val="en-US" w:eastAsia="zh-CN"/>
              </w:rPr>
              <w:t xml:space="preserve"> </w:t>
            </w:r>
            <w:r>
              <w:rPr>
                <w:rFonts w:hint="default" w:ascii="Times New Roman" w:hAnsi="Times New Roman" w:eastAsia="宋体" w:cs="Times New Roman"/>
                <w:b/>
                <w:bCs/>
                <w:color w:val="auto"/>
                <w:spacing w:val="0"/>
                <w:kern w:val="21"/>
                <w:position w:val="0"/>
                <w:sz w:val="24"/>
                <w:szCs w:val="24"/>
                <w:highlight w:val="none"/>
              </w:rPr>
              <w:t>危险废物标签的尺寸要求</w:t>
            </w:r>
          </w:p>
          <w:tbl>
            <w:tblPr>
              <w:tblStyle w:val="29"/>
              <w:tblW w:w="83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29"/>
              <w:gridCol w:w="2296"/>
              <w:gridCol w:w="2457"/>
              <w:gridCol w:w="2136"/>
            </w:tblGrid>
            <w:tr w14:paraId="3A95A1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429" w:type="dxa"/>
                  <w:noWrap w:val="0"/>
                  <w:vAlign w:val="center"/>
                </w:tcPr>
                <w:p w14:paraId="6266EA24">
                  <w:pPr>
                    <w:pStyle w:val="109"/>
                    <w:keepLines w:val="0"/>
                    <w:pageBreakBefore w:val="0"/>
                    <w:kinsoku/>
                    <w:topLinePunct w:val="0"/>
                    <w:bidi w:val="0"/>
                    <w:adjustRightInd w:val="0"/>
                    <w:snapToGrid w:val="0"/>
                    <w:spacing w:beforeAutospacing="0" w:afterAutospacing="0"/>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序号</w:t>
                  </w:r>
                </w:p>
              </w:tc>
              <w:tc>
                <w:tcPr>
                  <w:tcW w:w="2296" w:type="dxa"/>
                  <w:noWrap w:val="0"/>
                  <w:vAlign w:val="center"/>
                </w:tcPr>
                <w:p w14:paraId="7396DD1D">
                  <w:pPr>
                    <w:pStyle w:val="109"/>
                    <w:keepLines w:val="0"/>
                    <w:pageBreakBefore w:val="0"/>
                    <w:kinsoku/>
                    <w:topLinePunct w:val="0"/>
                    <w:bidi w:val="0"/>
                    <w:adjustRightInd w:val="0"/>
                    <w:snapToGrid w:val="0"/>
                    <w:spacing w:beforeAutospacing="0" w:afterAutospacing="0"/>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容器或包装物容积（L）</w:t>
                  </w:r>
                </w:p>
              </w:tc>
              <w:tc>
                <w:tcPr>
                  <w:tcW w:w="2457" w:type="dxa"/>
                  <w:noWrap w:val="0"/>
                  <w:vAlign w:val="center"/>
                </w:tcPr>
                <w:p w14:paraId="683F87A7">
                  <w:pPr>
                    <w:pStyle w:val="109"/>
                    <w:keepLines w:val="0"/>
                    <w:pageBreakBefore w:val="0"/>
                    <w:kinsoku/>
                    <w:topLinePunct w:val="0"/>
                    <w:bidi w:val="0"/>
                    <w:adjustRightInd w:val="0"/>
                    <w:snapToGrid w:val="0"/>
                    <w:spacing w:beforeAutospacing="0" w:afterAutospacing="0"/>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标签最小尺寸（mm×mm）</w:t>
                  </w:r>
                </w:p>
              </w:tc>
              <w:tc>
                <w:tcPr>
                  <w:tcW w:w="2136" w:type="dxa"/>
                  <w:noWrap w:val="0"/>
                  <w:vAlign w:val="center"/>
                </w:tcPr>
                <w:p w14:paraId="1CA02B1A">
                  <w:pPr>
                    <w:pStyle w:val="109"/>
                    <w:keepLines w:val="0"/>
                    <w:pageBreakBefore w:val="0"/>
                    <w:kinsoku/>
                    <w:topLinePunct w:val="0"/>
                    <w:bidi w:val="0"/>
                    <w:adjustRightInd w:val="0"/>
                    <w:snapToGrid w:val="0"/>
                    <w:spacing w:beforeAutospacing="0" w:afterAutospacing="0"/>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最低文字高度（mm）</w:t>
                  </w:r>
                </w:p>
              </w:tc>
            </w:tr>
            <w:tr w14:paraId="0D07F0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1429" w:type="dxa"/>
                  <w:noWrap w:val="0"/>
                  <w:vAlign w:val="center"/>
                </w:tcPr>
                <w:p w14:paraId="09F2A208">
                  <w:pPr>
                    <w:pStyle w:val="109"/>
                    <w:keepLines w:val="0"/>
                    <w:pageBreakBefore w:val="0"/>
                    <w:kinsoku/>
                    <w:topLinePunct w:val="0"/>
                    <w:bidi w:val="0"/>
                    <w:adjustRightInd w:val="0"/>
                    <w:snapToGrid w:val="0"/>
                    <w:spacing w:beforeAutospacing="0" w:afterAutospacing="0"/>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1</w:t>
                  </w:r>
                </w:p>
              </w:tc>
              <w:tc>
                <w:tcPr>
                  <w:tcW w:w="2296" w:type="dxa"/>
                  <w:noWrap w:val="0"/>
                  <w:vAlign w:val="center"/>
                </w:tcPr>
                <w:p w14:paraId="3E07BB84">
                  <w:pPr>
                    <w:pStyle w:val="109"/>
                    <w:keepLines w:val="0"/>
                    <w:pageBreakBefore w:val="0"/>
                    <w:kinsoku/>
                    <w:topLinePunct w:val="0"/>
                    <w:bidi w:val="0"/>
                    <w:adjustRightInd w:val="0"/>
                    <w:snapToGrid w:val="0"/>
                    <w:spacing w:beforeAutospacing="0" w:afterAutospacing="0"/>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lang w:eastAsia="zh-CN"/>
                    </w:rPr>
                    <w:t>≤</w:t>
                  </w:r>
                  <w:r>
                    <w:rPr>
                      <w:rFonts w:hint="default" w:ascii="Times New Roman" w:hAnsi="Times New Roman" w:eastAsia="宋体" w:cs="Times New Roman"/>
                      <w:color w:val="auto"/>
                      <w:spacing w:val="0"/>
                      <w:kern w:val="21"/>
                      <w:position w:val="0"/>
                      <w:highlight w:val="none"/>
                    </w:rPr>
                    <w:t>50</w:t>
                  </w:r>
                </w:p>
              </w:tc>
              <w:tc>
                <w:tcPr>
                  <w:tcW w:w="2457" w:type="dxa"/>
                  <w:noWrap w:val="0"/>
                  <w:vAlign w:val="center"/>
                </w:tcPr>
                <w:p w14:paraId="475F301A">
                  <w:pPr>
                    <w:pStyle w:val="109"/>
                    <w:keepLines w:val="0"/>
                    <w:pageBreakBefore w:val="0"/>
                    <w:kinsoku/>
                    <w:topLinePunct w:val="0"/>
                    <w:bidi w:val="0"/>
                    <w:adjustRightInd w:val="0"/>
                    <w:snapToGrid w:val="0"/>
                    <w:spacing w:beforeAutospacing="0" w:afterAutospacing="0"/>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100×100</w:t>
                  </w:r>
                </w:p>
              </w:tc>
              <w:tc>
                <w:tcPr>
                  <w:tcW w:w="2136" w:type="dxa"/>
                  <w:noWrap w:val="0"/>
                  <w:vAlign w:val="center"/>
                </w:tcPr>
                <w:p w14:paraId="699E2EE9">
                  <w:pPr>
                    <w:pStyle w:val="109"/>
                    <w:keepLines w:val="0"/>
                    <w:pageBreakBefore w:val="0"/>
                    <w:kinsoku/>
                    <w:topLinePunct w:val="0"/>
                    <w:bidi w:val="0"/>
                    <w:adjustRightInd w:val="0"/>
                    <w:snapToGrid w:val="0"/>
                    <w:spacing w:beforeAutospacing="0" w:afterAutospacing="0"/>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3</w:t>
                  </w:r>
                </w:p>
              </w:tc>
            </w:tr>
            <w:tr w14:paraId="78A4E8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429" w:type="dxa"/>
                  <w:noWrap w:val="0"/>
                  <w:vAlign w:val="center"/>
                </w:tcPr>
                <w:p w14:paraId="43158F17">
                  <w:pPr>
                    <w:pStyle w:val="109"/>
                    <w:keepLines w:val="0"/>
                    <w:pageBreakBefore w:val="0"/>
                    <w:kinsoku/>
                    <w:topLinePunct w:val="0"/>
                    <w:bidi w:val="0"/>
                    <w:adjustRightInd w:val="0"/>
                    <w:snapToGrid w:val="0"/>
                    <w:spacing w:beforeAutospacing="0" w:afterAutospacing="0"/>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2</w:t>
                  </w:r>
                </w:p>
              </w:tc>
              <w:tc>
                <w:tcPr>
                  <w:tcW w:w="2296" w:type="dxa"/>
                  <w:noWrap w:val="0"/>
                  <w:vAlign w:val="center"/>
                </w:tcPr>
                <w:p w14:paraId="454CCE88">
                  <w:pPr>
                    <w:pStyle w:val="109"/>
                    <w:keepLines w:val="0"/>
                    <w:pageBreakBefore w:val="0"/>
                    <w:kinsoku/>
                    <w:topLinePunct w:val="0"/>
                    <w:bidi w:val="0"/>
                    <w:adjustRightInd w:val="0"/>
                    <w:snapToGrid w:val="0"/>
                    <w:spacing w:beforeAutospacing="0" w:afterAutospacing="0"/>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＞50</w:t>
                  </w:r>
                  <w:r>
                    <w:rPr>
                      <w:rFonts w:hint="default" w:ascii="Times New Roman" w:hAnsi="Times New Roman" w:eastAsia="宋体" w:cs="Times New Roman"/>
                      <w:color w:val="auto"/>
                      <w:spacing w:val="0"/>
                      <w:kern w:val="21"/>
                      <w:position w:val="0"/>
                      <w:highlight w:val="none"/>
                      <w:lang w:eastAsia="zh-CN"/>
                    </w:rPr>
                    <w:t>~≤</w:t>
                  </w:r>
                  <w:r>
                    <w:rPr>
                      <w:rFonts w:hint="default" w:ascii="Times New Roman" w:hAnsi="Times New Roman" w:eastAsia="宋体" w:cs="Times New Roman"/>
                      <w:color w:val="auto"/>
                      <w:spacing w:val="0"/>
                      <w:kern w:val="21"/>
                      <w:position w:val="0"/>
                      <w:highlight w:val="none"/>
                    </w:rPr>
                    <w:t>450</w:t>
                  </w:r>
                </w:p>
              </w:tc>
              <w:tc>
                <w:tcPr>
                  <w:tcW w:w="2457" w:type="dxa"/>
                  <w:noWrap w:val="0"/>
                  <w:vAlign w:val="center"/>
                </w:tcPr>
                <w:p w14:paraId="1A414817">
                  <w:pPr>
                    <w:pStyle w:val="109"/>
                    <w:keepLines w:val="0"/>
                    <w:pageBreakBefore w:val="0"/>
                    <w:kinsoku/>
                    <w:topLinePunct w:val="0"/>
                    <w:bidi w:val="0"/>
                    <w:adjustRightInd w:val="0"/>
                    <w:snapToGrid w:val="0"/>
                    <w:spacing w:beforeAutospacing="0" w:afterAutospacing="0"/>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150×150</w:t>
                  </w:r>
                </w:p>
              </w:tc>
              <w:tc>
                <w:tcPr>
                  <w:tcW w:w="2136" w:type="dxa"/>
                  <w:noWrap w:val="0"/>
                  <w:vAlign w:val="center"/>
                </w:tcPr>
                <w:p w14:paraId="04EADE73">
                  <w:pPr>
                    <w:pStyle w:val="109"/>
                    <w:keepLines w:val="0"/>
                    <w:pageBreakBefore w:val="0"/>
                    <w:kinsoku/>
                    <w:topLinePunct w:val="0"/>
                    <w:bidi w:val="0"/>
                    <w:adjustRightInd w:val="0"/>
                    <w:snapToGrid w:val="0"/>
                    <w:spacing w:beforeAutospacing="0" w:afterAutospacing="0"/>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5</w:t>
                  </w:r>
                </w:p>
              </w:tc>
            </w:tr>
            <w:tr w14:paraId="67D246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1429" w:type="dxa"/>
                  <w:noWrap w:val="0"/>
                  <w:vAlign w:val="center"/>
                </w:tcPr>
                <w:p w14:paraId="557249FB">
                  <w:pPr>
                    <w:pStyle w:val="109"/>
                    <w:keepLines w:val="0"/>
                    <w:pageBreakBefore w:val="0"/>
                    <w:kinsoku/>
                    <w:topLinePunct w:val="0"/>
                    <w:bidi w:val="0"/>
                    <w:adjustRightInd w:val="0"/>
                    <w:snapToGrid w:val="0"/>
                    <w:spacing w:beforeAutospacing="0" w:afterAutospacing="0"/>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3</w:t>
                  </w:r>
                </w:p>
              </w:tc>
              <w:tc>
                <w:tcPr>
                  <w:tcW w:w="2296" w:type="dxa"/>
                  <w:noWrap w:val="0"/>
                  <w:vAlign w:val="center"/>
                </w:tcPr>
                <w:p w14:paraId="7944502B">
                  <w:pPr>
                    <w:pStyle w:val="109"/>
                    <w:keepLines w:val="0"/>
                    <w:pageBreakBefore w:val="0"/>
                    <w:kinsoku/>
                    <w:topLinePunct w:val="0"/>
                    <w:bidi w:val="0"/>
                    <w:adjustRightInd w:val="0"/>
                    <w:snapToGrid w:val="0"/>
                    <w:spacing w:beforeAutospacing="0" w:afterAutospacing="0"/>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＞450</w:t>
                  </w:r>
                </w:p>
              </w:tc>
              <w:tc>
                <w:tcPr>
                  <w:tcW w:w="2457" w:type="dxa"/>
                  <w:noWrap w:val="0"/>
                  <w:vAlign w:val="center"/>
                </w:tcPr>
                <w:p w14:paraId="0007BB72">
                  <w:pPr>
                    <w:pStyle w:val="109"/>
                    <w:keepLines w:val="0"/>
                    <w:pageBreakBefore w:val="0"/>
                    <w:kinsoku/>
                    <w:topLinePunct w:val="0"/>
                    <w:bidi w:val="0"/>
                    <w:adjustRightInd w:val="0"/>
                    <w:snapToGrid w:val="0"/>
                    <w:spacing w:beforeAutospacing="0" w:afterAutospacing="0"/>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200×200</w:t>
                  </w:r>
                </w:p>
              </w:tc>
              <w:tc>
                <w:tcPr>
                  <w:tcW w:w="2136" w:type="dxa"/>
                  <w:noWrap w:val="0"/>
                  <w:vAlign w:val="center"/>
                </w:tcPr>
                <w:p w14:paraId="26F0641E">
                  <w:pPr>
                    <w:pStyle w:val="109"/>
                    <w:keepLines w:val="0"/>
                    <w:pageBreakBefore w:val="0"/>
                    <w:kinsoku/>
                    <w:topLinePunct w:val="0"/>
                    <w:bidi w:val="0"/>
                    <w:adjustRightInd w:val="0"/>
                    <w:snapToGrid w:val="0"/>
                    <w:spacing w:beforeAutospacing="0" w:afterAutospacing="0"/>
                    <w:ind w:left="0" w:leftChars="0" w:right="0" w:rightChars="0"/>
                    <w:outlineLvl w:val="9"/>
                    <w:rPr>
                      <w:rFonts w:hint="default" w:ascii="Times New Roman" w:hAnsi="Times New Roman" w:eastAsia="宋体" w:cs="Times New Roman"/>
                      <w:color w:val="auto"/>
                      <w:spacing w:val="0"/>
                      <w:kern w:val="21"/>
                      <w:position w:val="0"/>
                      <w:highlight w:val="none"/>
                    </w:rPr>
                  </w:pPr>
                  <w:r>
                    <w:rPr>
                      <w:rFonts w:hint="default" w:ascii="Times New Roman" w:hAnsi="Times New Roman" w:eastAsia="宋体" w:cs="Times New Roman"/>
                      <w:color w:val="auto"/>
                      <w:spacing w:val="0"/>
                      <w:kern w:val="21"/>
                      <w:position w:val="0"/>
                      <w:highlight w:val="none"/>
                    </w:rPr>
                    <w:t>6</w:t>
                  </w:r>
                </w:p>
              </w:tc>
            </w:tr>
          </w:tbl>
          <w:p w14:paraId="544B5BC9">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val="en-US" w:eastAsia="zh-CN"/>
              </w:rPr>
              <w:t>d</w:t>
            </w:r>
            <w:r>
              <w:rPr>
                <w:rFonts w:hint="default" w:ascii="Times New Roman" w:hAnsi="Times New Roman" w:eastAsia="宋体" w:cs="Times New Roman"/>
                <w:color w:val="auto"/>
                <w:spacing w:val="0"/>
                <w:kern w:val="21"/>
                <w:position w:val="0"/>
                <w:sz w:val="24"/>
                <w:highlight w:val="none"/>
              </w:rPr>
              <w:t>危险废物标签材质</w:t>
            </w:r>
          </w:p>
          <w:p w14:paraId="62BB32F3">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t>危险废物标签所选用的材质宜具有一定的耐用性和防水性。标签可采用不干胶印刷品，或印刷品外加防水塑料袋或塑封等。</w:t>
            </w:r>
          </w:p>
          <w:p w14:paraId="78B4FAE2">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val="en-US" w:eastAsia="zh-CN"/>
              </w:rPr>
              <w:t>e</w:t>
            </w:r>
            <w:r>
              <w:rPr>
                <w:rFonts w:hint="default" w:ascii="Times New Roman" w:hAnsi="Times New Roman" w:eastAsia="宋体" w:cs="Times New Roman"/>
                <w:color w:val="auto"/>
                <w:spacing w:val="0"/>
                <w:kern w:val="21"/>
                <w:position w:val="0"/>
                <w:sz w:val="24"/>
                <w:highlight w:val="none"/>
              </w:rPr>
              <w:t>危险废物标签样式</w:t>
            </w:r>
          </w:p>
          <w:p w14:paraId="43FDF057">
            <w:pPr>
              <w:pStyle w:val="21"/>
              <w:keepNext w:val="0"/>
              <w:keepLines w:val="0"/>
              <w:pageBreakBefore w:val="0"/>
              <w:widowControl w:val="0"/>
              <w:tabs>
                <w:tab w:val="right" w:leader="dot" w:pos="8190"/>
              </w:tabs>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t>危险废物标签的制作宜符合</w:t>
            </w:r>
            <w:r>
              <w:rPr>
                <w:rFonts w:hint="default" w:ascii="Times New Roman" w:hAnsi="Times New Roman" w:eastAsia="宋体" w:cs="Times New Roman"/>
                <w:color w:val="auto"/>
                <w:spacing w:val="0"/>
                <w:kern w:val="21"/>
                <w:position w:val="0"/>
                <w:sz w:val="24"/>
                <w:highlight w:val="none"/>
                <w:lang w:val="en-US" w:eastAsia="zh-CN"/>
              </w:rPr>
              <w:t>下图</w:t>
            </w:r>
            <w:r>
              <w:rPr>
                <w:rFonts w:hint="default" w:ascii="Times New Roman" w:hAnsi="Times New Roman" w:eastAsia="宋体" w:cs="Times New Roman"/>
                <w:color w:val="auto"/>
                <w:spacing w:val="0"/>
                <w:kern w:val="21"/>
                <w:position w:val="0"/>
                <w:sz w:val="24"/>
                <w:highlight w:val="none"/>
              </w:rPr>
              <w:t>所示样式。</w:t>
            </w:r>
          </w:p>
          <w:p w14:paraId="15ADC1FC">
            <w:pPr>
              <w:keepNext w:val="0"/>
              <w:keepLines w:val="0"/>
              <w:pageBreakBefore w:val="0"/>
              <w:widowControl w:val="0"/>
              <w:numPr>
                <w:ilvl w:val="0"/>
                <w:numId w:val="0"/>
              </w:numPr>
              <w:kinsoku/>
              <w:wordWrap/>
              <w:overflowPunct/>
              <w:topLinePunct w:val="0"/>
              <w:autoSpaceDE/>
              <w:autoSpaceDN/>
              <w:bidi w:val="0"/>
              <w:adjustRightInd w:val="0"/>
              <w:snapToGrid w:val="0"/>
              <w:spacing w:beforeAutospacing="0" w:afterAutospacing="0" w:line="360" w:lineRule="auto"/>
              <w:ind w:left="0" w:leftChars="0" w:right="0" w:rightChars="0"/>
              <w:jc w:val="center"/>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drawing>
                <wp:inline distT="0" distB="0" distL="114300" distR="114300">
                  <wp:extent cx="2440305" cy="2440305"/>
                  <wp:effectExtent l="0" t="0" r="17145" b="17145"/>
                  <wp:docPr id="64" name="图片 80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800" descr="图片1"/>
                          <pic:cNvPicPr>
                            <a:picLocks noChangeAspect="1"/>
                          </pic:cNvPicPr>
                        </pic:nvPicPr>
                        <pic:blipFill>
                          <a:blip r:embed="rId41"/>
                          <a:stretch>
                            <a:fillRect/>
                          </a:stretch>
                        </pic:blipFill>
                        <pic:spPr>
                          <a:xfrm>
                            <a:off x="0" y="0"/>
                            <a:ext cx="2440305" cy="2440305"/>
                          </a:xfrm>
                          <a:prstGeom prst="rect">
                            <a:avLst/>
                          </a:prstGeom>
                          <a:noFill/>
                          <a:ln>
                            <a:noFill/>
                          </a:ln>
                        </pic:spPr>
                      </pic:pic>
                    </a:graphicData>
                  </a:graphic>
                </wp:inline>
              </w:drawing>
            </w:r>
          </w:p>
          <w:p w14:paraId="6DD2BAE4">
            <w:pPr>
              <w:keepNext w:val="0"/>
              <w:keepLines w:val="0"/>
              <w:pageBreakBefore w:val="0"/>
              <w:widowControl w:val="0"/>
              <w:numPr>
                <w:ilvl w:val="0"/>
                <w:numId w:val="0"/>
              </w:numPr>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t>③危险废物贮存分区标志</w:t>
            </w:r>
          </w:p>
          <w:p w14:paraId="4859A715">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t>A.危险废物贮存分区标志的颜色</w:t>
            </w:r>
          </w:p>
          <w:p w14:paraId="18573C39">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t>危险废物分区标志背景色应采用黄色，RGB颜色值为（255</w:t>
            </w:r>
            <w:r>
              <w:rPr>
                <w:rFonts w:hint="default" w:ascii="Times New Roman" w:hAnsi="Times New Roman" w:eastAsia="宋体" w:cs="Times New Roman"/>
                <w:color w:val="auto"/>
                <w:spacing w:val="0"/>
                <w:kern w:val="21"/>
                <w:position w:val="0"/>
                <w:sz w:val="24"/>
                <w:highlight w:val="none"/>
                <w:lang w:eastAsia="zh-CN"/>
              </w:rPr>
              <w:t>，</w:t>
            </w:r>
            <w:r>
              <w:rPr>
                <w:rFonts w:hint="default" w:ascii="Times New Roman" w:hAnsi="Times New Roman" w:eastAsia="宋体" w:cs="Times New Roman"/>
                <w:color w:val="auto"/>
                <w:spacing w:val="0"/>
                <w:kern w:val="21"/>
                <w:position w:val="0"/>
                <w:sz w:val="24"/>
                <w:highlight w:val="none"/>
              </w:rPr>
              <w:t>255</w:t>
            </w:r>
            <w:r>
              <w:rPr>
                <w:rFonts w:hint="default" w:ascii="Times New Roman" w:hAnsi="Times New Roman" w:eastAsia="宋体" w:cs="Times New Roman"/>
                <w:color w:val="auto"/>
                <w:spacing w:val="0"/>
                <w:kern w:val="21"/>
                <w:position w:val="0"/>
                <w:sz w:val="24"/>
                <w:highlight w:val="none"/>
                <w:lang w:eastAsia="zh-CN"/>
              </w:rPr>
              <w:t>，</w:t>
            </w:r>
            <w:r>
              <w:rPr>
                <w:rFonts w:hint="default" w:ascii="Times New Roman" w:hAnsi="Times New Roman" w:eastAsia="宋体" w:cs="Times New Roman"/>
                <w:color w:val="auto"/>
                <w:spacing w:val="0"/>
                <w:kern w:val="21"/>
                <w:position w:val="0"/>
                <w:sz w:val="24"/>
                <w:highlight w:val="none"/>
              </w:rPr>
              <w:t>0）。废物种类信息应采用醒目的橘黄色，RGB颜色值为（255</w:t>
            </w:r>
            <w:r>
              <w:rPr>
                <w:rFonts w:hint="default" w:ascii="Times New Roman" w:hAnsi="Times New Roman" w:eastAsia="宋体" w:cs="Times New Roman"/>
                <w:color w:val="auto"/>
                <w:spacing w:val="0"/>
                <w:kern w:val="21"/>
                <w:position w:val="0"/>
                <w:sz w:val="24"/>
                <w:highlight w:val="none"/>
                <w:lang w:eastAsia="zh-CN"/>
              </w:rPr>
              <w:t>，</w:t>
            </w:r>
            <w:r>
              <w:rPr>
                <w:rFonts w:hint="default" w:ascii="Times New Roman" w:hAnsi="Times New Roman" w:eastAsia="宋体" w:cs="Times New Roman"/>
                <w:color w:val="auto"/>
                <w:spacing w:val="0"/>
                <w:kern w:val="21"/>
                <w:position w:val="0"/>
                <w:sz w:val="24"/>
                <w:highlight w:val="none"/>
              </w:rPr>
              <w:t>150</w:t>
            </w:r>
            <w:r>
              <w:rPr>
                <w:rFonts w:hint="default" w:ascii="Times New Roman" w:hAnsi="Times New Roman" w:eastAsia="宋体" w:cs="Times New Roman"/>
                <w:color w:val="auto"/>
                <w:spacing w:val="0"/>
                <w:kern w:val="21"/>
                <w:position w:val="0"/>
                <w:sz w:val="24"/>
                <w:highlight w:val="none"/>
                <w:lang w:eastAsia="zh-CN"/>
              </w:rPr>
              <w:t>，</w:t>
            </w:r>
            <w:r>
              <w:rPr>
                <w:rFonts w:hint="default" w:ascii="Times New Roman" w:hAnsi="Times New Roman" w:eastAsia="宋体" w:cs="Times New Roman"/>
                <w:color w:val="auto"/>
                <w:spacing w:val="0"/>
                <w:kern w:val="21"/>
                <w:position w:val="0"/>
                <w:sz w:val="24"/>
                <w:highlight w:val="none"/>
              </w:rPr>
              <w:t>0）。字体颜色为黑色，RGB颜色值为（0</w:t>
            </w:r>
            <w:r>
              <w:rPr>
                <w:rFonts w:hint="default" w:ascii="Times New Roman" w:hAnsi="Times New Roman" w:eastAsia="宋体" w:cs="Times New Roman"/>
                <w:color w:val="auto"/>
                <w:spacing w:val="0"/>
                <w:kern w:val="21"/>
                <w:position w:val="0"/>
                <w:sz w:val="24"/>
                <w:highlight w:val="none"/>
                <w:lang w:eastAsia="zh-CN"/>
              </w:rPr>
              <w:t>，</w:t>
            </w:r>
            <w:r>
              <w:rPr>
                <w:rFonts w:hint="default" w:ascii="Times New Roman" w:hAnsi="Times New Roman" w:eastAsia="宋体" w:cs="Times New Roman"/>
                <w:color w:val="auto"/>
                <w:spacing w:val="0"/>
                <w:kern w:val="21"/>
                <w:position w:val="0"/>
                <w:sz w:val="24"/>
                <w:highlight w:val="none"/>
              </w:rPr>
              <w:t>0</w:t>
            </w:r>
            <w:r>
              <w:rPr>
                <w:rFonts w:hint="default" w:ascii="Times New Roman" w:hAnsi="Times New Roman" w:eastAsia="宋体" w:cs="Times New Roman"/>
                <w:color w:val="auto"/>
                <w:spacing w:val="0"/>
                <w:kern w:val="21"/>
                <w:position w:val="0"/>
                <w:sz w:val="24"/>
                <w:highlight w:val="none"/>
                <w:lang w:eastAsia="zh-CN"/>
              </w:rPr>
              <w:t>，</w:t>
            </w:r>
            <w:r>
              <w:rPr>
                <w:rFonts w:hint="default" w:ascii="Times New Roman" w:hAnsi="Times New Roman" w:eastAsia="宋体" w:cs="Times New Roman"/>
                <w:color w:val="auto"/>
                <w:spacing w:val="0"/>
                <w:kern w:val="21"/>
                <w:position w:val="0"/>
                <w:sz w:val="24"/>
                <w:highlight w:val="none"/>
              </w:rPr>
              <w:t>0）。</w:t>
            </w:r>
          </w:p>
          <w:p w14:paraId="26FE6787">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t>B.危险废物贮存分区标志的字体</w:t>
            </w:r>
          </w:p>
          <w:p w14:paraId="72BEBA9A">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t>危险废物分区标志的字体宜采用黑体字，其中</w:t>
            </w:r>
            <w:r>
              <w:rPr>
                <w:rFonts w:hint="default" w:ascii="Times New Roman" w:hAnsi="Times New Roman" w:cs="Times New Roman"/>
                <w:color w:val="auto"/>
                <w:spacing w:val="0"/>
                <w:kern w:val="21"/>
                <w:position w:val="0"/>
                <w:sz w:val="24"/>
                <w:highlight w:val="none"/>
                <w:lang w:eastAsia="zh-CN"/>
              </w:rPr>
              <w:t>“</w:t>
            </w:r>
            <w:r>
              <w:rPr>
                <w:rFonts w:hint="default" w:ascii="Times New Roman" w:hAnsi="Times New Roman" w:eastAsia="宋体" w:cs="Times New Roman"/>
                <w:color w:val="auto"/>
                <w:spacing w:val="0"/>
                <w:kern w:val="21"/>
                <w:position w:val="0"/>
                <w:sz w:val="24"/>
                <w:highlight w:val="none"/>
              </w:rPr>
              <w:t>危险废物贮存分区标志</w:t>
            </w:r>
            <w:r>
              <w:rPr>
                <w:rFonts w:hint="default" w:ascii="Times New Roman" w:hAnsi="Times New Roman" w:cs="Times New Roman"/>
                <w:color w:val="auto"/>
                <w:spacing w:val="0"/>
                <w:kern w:val="21"/>
                <w:position w:val="0"/>
                <w:sz w:val="24"/>
                <w:highlight w:val="none"/>
                <w:lang w:eastAsia="zh-CN"/>
              </w:rPr>
              <w:t>”</w:t>
            </w:r>
            <w:r>
              <w:rPr>
                <w:rFonts w:hint="default" w:ascii="Times New Roman" w:hAnsi="Times New Roman" w:eastAsia="宋体" w:cs="Times New Roman"/>
                <w:color w:val="auto"/>
                <w:spacing w:val="0"/>
                <w:kern w:val="21"/>
                <w:position w:val="0"/>
                <w:sz w:val="24"/>
                <w:highlight w:val="none"/>
              </w:rPr>
              <w:t>字样应加粗放大并居中显示。</w:t>
            </w:r>
          </w:p>
          <w:p w14:paraId="1379BA79">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2"/>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t>C.危险废物贮存分区标志的尺寸</w:t>
            </w:r>
          </w:p>
          <w:p w14:paraId="6A21512C">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t>危险废物贮存分区标志的尺寸根据对应的观察距离按照表4-</w:t>
            </w:r>
            <w:r>
              <w:rPr>
                <w:rFonts w:hint="default" w:ascii="Times New Roman" w:hAnsi="Times New Roman" w:eastAsia="宋体" w:cs="Times New Roman"/>
                <w:color w:val="auto"/>
                <w:spacing w:val="0"/>
                <w:kern w:val="21"/>
                <w:position w:val="0"/>
                <w:sz w:val="24"/>
                <w:highlight w:val="none"/>
                <w:lang w:val="en-US" w:eastAsia="zh-CN"/>
              </w:rPr>
              <w:t>20</w:t>
            </w:r>
            <w:r>
              <w:rPr>
                <w:rFonts w:hint="default" w:ascii="Times New Roman" w:hAnsi="Times New Roman" w:eastAsia="宋体" w:cs="Times New Roman"/>
                <w:color w:val="auto"/>
                <w:spacing w:val="0"/>
                <w:kern w:val="21"/>
                <w:position w:val="0"/>
                <w:sz w:val="24"/>
                <w:highlight w:val="none"/>
              </w:rPr>
              <w:t>中的要求设置。</w:t>
            </w:r>
          </w:p>
          <w:p w14:paraId="4BF22249">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b/>
                <w:bCs/>
                <w:color w:val="auto"/>
                <w:spacing w:val="0"/>
                <w:kern w:val="21"/>
                <w:position w:val="0"/>
                <w:sz w:val="24"/>
                <w:szCs w:val="24"/>
                <w:highlight w:val="none"/>
              </w:rPr>
            </w:pPr>
            <w:r>
              <w:rPr>
                <w:rFonts w:hint="default" w:ascii="Times New Roman" w:hAnsi="Times New Roman" w:eastAsia="宋体" w:cs="Times New Roman"/>
                <w:b/>
                <w:bCs/>
                <w:color w:val="auto"/>
                <w:spacing w:val="0"/>
                <w:kern w:val="21"/>
                <w:position w:val="0"/>
                <w:sz w:val="24"/>
                <w:szCs w:val="24"/>
                <w:highlight w:val="none"/>
              </w:rPr>
              <w:t>表4-</w:t>
            </w:r>
            <w:r>
              <w:rPr>
                <w:rFonts w:hint="default" w:ascii="Times New Roman" w:hAnsi="Times New Roman" w:eastAsia="宋体" w:cs="Times New Roman"/>
                <w:b/>
                <w:bCs/>
                <w:color w:val="auto"/>
                <w:spacing w:val="0"/>
                <w:kern w:val="21"/>
                <w:position w:val="0"/>
                <w:sz w:val="24"/>
                <w:szCs w:val="24"/>
                <w:highlight w:val="none"/>
                <w:lang w:val="en-US" w:eastAsia="zh-CN"/>
              </w:rPr>
              <w:t xml:space="preserve">20 </w:t>
            </w:r>
            <w:r>
              <w:rPr>
                <w:rFonts w:hint="default" w:ascii="Times New Roman" w:hAnsi="Times New Roman" w:eastAsia="宋体" w:cs="Times New Roman"/>
                <w:b/>
                <w:bCs/>
                <w:color w:val="auto"/>
                <w:spacing w:val="0"/>
                <w:kern w:val="21"/>
                <w:position w:val="0"/>
                <w:sz w:val="24"/>
                <w:szCs w:val="24"/>
                <w:highlight w:val="none"/>
              </w:rPr>
              <w:t>危险废物贮存分区标志的尺寸要求</w:t>
            </w:r>
          </w:p>
          <w:tbl>
            <w:tblPr>
              <w:tblStyle w:val="29"/>
              <w:tblW w:w="825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64"/>
              <w:gridCol w:w="2065"/>
              <w:gridCol w:w="2065"/>
              <w:gridCol w:w="2065"/>
            </w:tblGrid>
            <w:tr w14:paraId="6E874B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2064" w:type="dxa"/>
                  <w:vMerge w:val="restart"/>
                  <w:noWrap w:val="0"/>
                  <w:vAlign w:val="center"/>
                </w:tcPr>
                <w:p w14:paraId="5A66C08C">
                  <w:pPr>
                    <w:pStyle w:val="109"/>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left="0" w:leftChars="0" w:right="0" w:right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观察距离L（m）</w:t>
                  </w:r>
                </w:p>
              </w:tc>
              <w:tc>
                <w:tcPr>
                  <w:tcW w:w="2065" w:type="dxa"/>
                  <w:vMerge w:val="restart"/>
                  <w:noWrap w:val="0"/>
                  <w:vAlign w:val="center"/>
                </w:tcPr>
                <w:p w14:paraId="000D1000">
                  <w:pPr>
                    <w:pStyle w:val="109"/>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left="0" w:leftChars="0" w:right="0" w:right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标志整体外形最小尺寸（mm）</w:t>
                  </w:r>
                </w:p>
              </w:tc>
              <w:tc>
                <w:tcPr>
                  <w:tcW w:w="4130" w:type="dxa"/>
                  <w:gridSpan w:val="2"/>
                  <w:noWrap w:val="0"/>
                  <w:vAlign w:val="center"/>
                </w:tcPr>
                <w:p w14:paraId="687C758D">
                  <w:pPr>
                    <w:pStyle w:val="109"/>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left="0" w:leftChars="0" w:right="0" w:right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最低文字高度（mm）</w:t>
                  </w:r>
                </w:p>
              </w:tc>
            </w:tr>
            <w:tr w14:paraId="4EA7A8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2064" w:type="dxa"/>
                  <w:vMerge w:val="continue"/>
                  <w:noWrap w:val="0"/>
                  <w:vAlign w:val="center"/>
                </w:tcPr>
                <w:p w14:paraId="0966751D">
                  <w:pPr>
                    <w:pStyle w:val="109"/>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left="0" w:leftChars="0" w:right="0" w:rightChars="0"/>
                    <w:textAlignment w:val="auto"/>
                    <w:outlineLvl w:val="9"/>
                    <w:rPr>
                      <w:rFonts w:hint="default" w:ascii="Times New Roman" w:hAnsi="Times New Roman" w:eastAsia="宋体" w:cs="Times New Roman"/>
                      <w:color w:val="auto"/>
                      <w:spacing w:val="0"/>
                      <w:kern w:val="21"/>
                      <w:position w:val="0"/>
                      <w:sz w:val="21"/>
                      <w:szCs w:val="21"/>
                      <w:highlight w:val="none"/>
                    </w:rPr>
                  </w:pPr>
                </w:p>
              </w:tc>
              <w:tc>
                <w:tcPr>
                  <w:tcW w:w="2065" w:type="dxa"/>
                  <w:vMerge w:val="continue"/>
                  <w:noWrap w:val="0"/>
                  <w:vAlign w:val="center"/>
                </w:tcPr>
                <w:p w14:paraId="63D899CD">
                  <w:pPr>
                    <w:pStyle w:val="109"/>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left="0" w:leftChars="0" w:right="0" w:rightChars="0"/>
                    <w:textAlignment w:val="auto"/>
                    <w:outlineLvl w:val="9"/>
                    <w:rPr>
                      <w:rFonts w:hint="default" w:ascii="Times New Roman" w:hAnsi="Times New Roman" w:eastAsia="宋体" w:cs="Times New Roman"/>
                      <w:color w:val="auto"/>
                      <w:spacing w:val="0"/>
                      <w:kern w:val="21"/>
                      <w:position w:val="0"/>
                      <w:sz w:val="21"/>
                      <w:szCs w:val="21"/>
                      <w:highlight w:val="none"/>
                    </w:rPr>
                  </w:pPr>
                </w:p>
              </w:tc>
              <w:tc>
                <w:tcPr>
                  <w:tcW w:w="2065" w:type="dxa"/>
                  <w:noWrap w:val="0"/>
                  <w:vAlign w:val="center"/>
                </w:tcPr>
                <w:p w14:paraId="2D02EC0C">
                  <w:pPr>
                    <w:pStyle w:val="109"/>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left="0" w:leftChars="0" w:right="0" w:right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贮存分区标志</w:t>
                  </w:r>
                </w:p>
              </w:tc>
              <w:tc>
                <w:tcPr>
                  <w:tcW w:w="2065" w:type="dxa"/>
                  <w:noWrap w:val="0"/>
                  <w:vAlign w:val="center"/>
                </w:tcPr>
                <w:p w14:paraId="2776A8CA">
                  <w:pPr>
                    <w:pStyle w:val="109"/>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left="0" w:leftChars="0" w:right="0" w:right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其他文字</w:t>
                  </w:r>
                </w:p>
              </w:tc>
            </w:tr>
            <w:tr w14:paraId="584B29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2064" w:type="dxa"/>
                  <w:noWrap w:val="0"/>
                  <w:vAlign w:val="center"/>
                </w:tcPr>
                <w:p w14:paraId="092C3429">
                  <w:pPr>
                    <w:pStyle w:val="109"/>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left="0" w:leftChars="0" w:right="0" w:right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0＜L</w:t>
                  </w:r>
                  <w:r>
                    <w:rPr>
                      <w:rFonts w:hint="default" w:ascii="Times New Roman" w:hAnsi="Times New Roman" w:eastAsia="宋体" w:cs="Times New Roman"/>
                      <w:color w:val="auto"/>
                      <w:spacing w:val="0"/>
                      <w:kern w:val="21"/>
                      <w:position w:val="0"/>
                      <w:sz w:val="21"/>
                      <w:szCs w:val="21"/>
                      <w:highlight w:val="none"/>
                      <w:lang w:eastAsia="zh-CN"/>
                    </w:rPr>
                    <w:t>≤</w:t>
                  </w:r>
                  <w:r>
                    <w:rPr>
                      <w:rFonts w:hint="default" w:ascii="Times New Roman" w:hAnsi="Times New Roman" w:eastAsia="宋体" w:cs="Times New Roman"/>
                      <w:color w:val="auto"/>
                      <w:spacing w:val="0"/>
                      <w:kern w:val="21"/>
                      <w:position w:val="0"/>
                      <w:sz w:val="21"/>
                      <w:szCs w:val="21"/>
                      <w:highlight w:val="none"/>
                    </w:rPr>
                    <w:t>2.5</w:t>
                  </w:r>
                </w:p>
              </w:tc>
              <w:tc>
                <w:tcPr>
                  <w:tcW w:w="2065" w:type="dxa"/>
                  <w:noWrap w:val="0"/>
                  <w:vAlign w:val="center"/>
                </w:tcPr>
                <w:p w14:paraId="084955ED">
                  <w:pPr>
                    <w:pStyle w:val="109"/>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left="0" w:leftChars="0" w:right="0" w:right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300×300</w:t>
                  </w:r>
                </w:p>
              </w:tc>
              <w:tc>
                <w:tcPr>
                  <w:tcW w:w="2065" w:type="dxa"/>
                  <w:noWrap w:val="0"/>
                  <w:vAlign w:val="center"/>
                </w:tcPr>
                <w:p w14:paraId="02C29562">
                  <w:pPr>
                    <w:pStyle w:val="109"/>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left="0" w:leftChars="0" w:right="0" w:right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20</w:t>
                  </w:r>
                </w:p>
              </w:tc>
              <w:tc>
                <w:tcPr>
                  <w:tcW w:w="2065" w:type="dxa"/>
                  <w:noWrap w:val="0"/>
                  <w:vAlign w:val="center"/>
                </w:tcPr>
                <w:p w14:paraId="192EB668">
                  <w:pPr>
                    <w:pStyle w:val="109"/>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left="0" w:leftChars="0" w:right="0" w:right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6</w:t>
                  </w:r>
                </w:p>
              </w:tc>
            </w:tr>
            <w:tr w14:paraId="25DB96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2064" w:type="dxa"/>
                  <w:noWrap w:val="0"/>
                  <w:vAlign w:val="center"/>
                </w:tcPr>
                <w:p w14:paraId="35E21452">
                  <w:pPr>
                    <w:pStyle w:val="109"/>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left="0" w:leftChars="0" w:right="0" w:right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2.5＜L</w:t>
                  </w:r>
                  <w:r>
                    <w:rPr>
                      <w:rFonts w:hint="default" w:ascii="Times New Roman" w:hAnsi="Times New Roman" w:eastAsia="宋体" w:cs="Times New Roman"/>
                      <w:color w:val="auto"/>
                      <w:spacing w:val="0"/>
                      <w:kern w:val="21"/>
                      <w:position w:val="0"/>
                      <w:sz w:val="21"/>
                      <w:szCs w:val="21"/>
                      <w:highlight w:val="none"/>
                      <w:lang w:eastAsia="zh-CN"/>
                    </w:rPr>
                    <w:t>≤</w:t>
                  </w:r>
                  <w:r>
                    <w:rPr>
                      <w:rFonts w:hint="default" w:ascii="Times New Roman" w:hAnsi="Times New Roman" w:eastAsia="宋体" w:cs="Times New Roman"/>
                      <w:color w:val="auto"/>
                      <w:spacing w:val="0"/>
                      <w:kern w:val="21"/>
                      <w:position w:val="0"/>
                      <w:sz w:val="21"/>
                      <w:szCs w:val="21"/>
                      <w:highlight w:val="none"/>
                    </w:rPr>
                    <w:t>4</w:t>
                  </w:r>
                </w:p>
              </w:tc>
              <w:tc>
                <w:tcPr>
                  <w:tcW w:w="2065" w:type="dxa"/>
                  <w:noWrap w:val="0"/>
                  <w:vAlign w:val="center"/>
                </w:tcPr>
                <w:p w14:paraId="63FC8179">
                  <w:pPr>
                    <w:pStyle w:val="109"/>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left="0" w:leftChars="0" w:right="0" w:right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450×450</w:t>
                  </w:r>
                </w:p>
              </w:tc>
              <w:tc>
                <w:tcPr>
                  <w:tcW w:w="2065" w:type="dxa"/>
                  <w:noWrap w:val="0"/>
                  <w:vAlign w:val="center"/>
                </w:tcPr>
                <w:p w14:paraId="765828F0">
                  <w:pPr>
                    <w:pStyle w:val="109"/>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left="0" w:leftChars="0" w:right="0" w:right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30</w:t>
                  </w:r>
                </w:p>
              </w:tc>
              <w:tc>
                <w:tcPr>
                  <w:tcW w:w="2065" w:type="dxa"/>
                  <w:noWrap w:val="0"/>
                  <w:vAlign w:val="center"/>
                </w:tcPr>
                <w:p w14:paraId="33F164B1">
                  <w:pPr>
                    <w:pStyle w:val="109"/>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left="0" w:leftChars="0" w:right="0" w:right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9</w:t>
                  </w:r>
                </w:p>
              </w:tc>
            </w:tr>
            <w:tr w14:paraId="7CCC09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2064" w:type="dxa"/>
                  <w:noWrap w:val="0"/>
                  <w:vAlign w:val="center"/>
                </w:tcPr>
                <w:p w14:paraId="18BD4F76">
                  <w:pPr>
                    <w:pStyle w:val="109"/>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left="0" w:leftChars="0" w:right="0" w:right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L＞4</w:t>
                  </w:r>
                </w:p>
              </w:tc>
              <w:tc>
                <w:tcPr>
                  <w:tcW w:w="2065" w:type="dxa"/>
                  <w:noWrap w:val="0"/>
                  <w:vAlign w:val="center"/>
                </w:tcPr>
                <w:p w14:paraId="3935305F">
                  <w:pPr>
                    <w:pStyle w:val="109"/>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left="0" w:leftChars="0" w:right="0" w:right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600×600</w:t>
                  </w:r>
                </w:p>
              </w:tc>
              <w:tc>
                <w:tcPr>
                  <w:tcW w:w="2065" w:type="dxa"/>
                  <w:noWrap w:val="0"/>
                  <w:vAlign w:val="center"/>
                </w:tcPr>
                <w:p w14:paraId="70A885BF">
                  <w:pPr>
                    <w:pStyle w:val="109"/>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left="0" w:leftChars="0" w:right="0" w:right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40</w:t>
                  </w:r>
                </w:p>
              </w:tc>
              <w:tc>
                <w:tcPr>
                  <w:tcW w:w="2065" w:type="dxa"/>
                  <w:noWrap w:val="0"/>
                  <w:vAlign w:val="center"/>
                </w:tcPr>
                <w:p w14:paraId="64CB66F4">
                  <w:pPr>
                    <w:pStyle w:val="109"/>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left="0" w:leftChars="0" w:right="0" w:rightChars="0"/>
                    <w:textAlignment w:val="auto"/>
                    <w:outlineLvl w:val="9"/>
                    <w:rPr>
                      <w:rFonts w:hint="default" w:ascii="Times New Roman" w:hAnsi="Times New Roman" w:eastAsia="宋体" w:cs="Times New Roman"/>
                      <w:color w:val="auto"/>
                      <w:spacing w:val="0"/>
                      <w:kern w:val="21"/>
                      <w:position w:val="0"/>
                      <w:sz w:val="21"/>
                      <w:szCs w:val="21"/>
                      <w:highlight w:val="none"/>
                    </w:rPr>
                  </w:pPr>
                  <w:r>
                    <w:rPr>
                      <w:rFonts w:hint="default" w:ascii="Times New Roman" w:hAnsi="Times New Roman" w:eastAsia="宋体" w:cs="Times New Roman"/>
                      <w:color w:val="auto"/>
                      <w:spacing w:val="0"/>
                      <w:kern w:val="21"/>
                      <w:position w:val="0"/>
                      <w:sz w:val="21"/>
                      <w:szCs w:val="21"/>
                      <w:highlight w:val="none"/>
                    </w:rPr>
                    <w:t>12</w:t>
                  </w:r>
                </w:p>
              </w:tc>
            </w:tr>
          </w:tbl>
          <w:p w14:paraId="2A602C5C">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2"/>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t>D.危险废物贮存分区标志的材质</w:t>
            </w:r>
          </w:p>
          <w:p w14:paraId="4F09DA22">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2"/>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t>危险废物贮存分区标志的衬底宜采用坚固耐用的材料，并具有耐用性和防水性。废物贮存种类信息等可采用印刷纸张、不粘胶材质或塑料卡片等以便固定在衬底上。</w:t>
            </w:r>
          </w:p>
          <w:p w14:paraId="3582931C">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2"/>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t>E.危险废物贮存分区标志的样式</w:t>
            </w:r>
          </w:p>
          <w:p w14:paraId="4EF78A87">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2"/>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t>危险废物贮存分区标志的制作宜符合</w:t>
            </w:r>
            <w:r>
              <w:rPr>
                <w:rFonts w:hint="default" w:ascii="Times New Roman" w:hAnsi="Times New Roman" w:eastAsia="宋体" w:cs="Times New Roman"/>
                <w:color w:val="auto"/>
                <w:spacing w:val="0"/>
                <w:kern w:val="21"/>
                <w:position w:val="0"/>
                <w:sz w:val="24"/>
                <w:highlight w:val="none"/>
                <w:lang w:val="en-US" w:eastAsia="zh-CN"/>
              </w:rPr>
              <w:t>下图</w:t>
            </w:r>
            <w:r>
              <w:rPr>
                <w:rFonts w:hint="default" w:ascii="Times New Roman" w:hAnsi="Times New Roman" w:eastAsia="宋体" w:cs="Times New Roman"/>
                <w:color w:val="auto"/>
                <w:spacing w:val="0"/>
                <w:kern w:val="21"/>
                <w:position w:val="0"/>
                <w:sz w:val="24"/>
                <w:highlight w:val="none"/>
              </w:rPr>
              <w:t>所示样式。</w:t>
            </w:r>
          </w:p>
          <w:p w14:paraId="3F95FB3D">
            <w:pPr>
              <w:keepNext w:val="0"/>
              <w:keepLines w:val="0"/>
              <w:pageBreakBefore w:val="0"/>
              <w:widowControl w:val="0"/>
              <w:numPr>
                <w:ilvl w:val="0"/>
                <w:numId w:val="0"/>
              </w:numPr>
              <w:kinsoku/>
              <w:wordWrap/>
              <w:overflowPunct/>
              <w:topLinePunct w:val="0"/>
              <w:autoSpaceDE/>
              <w:autoSpaceDN/>
              <w:bidi w:val="0"/>
              <w:adjustRightInd w:val="0"/>
              <w:snapToGrid w:val="0"/>
              <w:spacing w:beforeAutospacing="0" w:afterAutospacing="0" w:line="520" w:lineRule="exact"/>
              <w:ind w:left="0" w:leftChars="0" w:right="0" w:rightChars="0" w:firstLine="42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highlight w:val="none"/>
              </w:rPr>
              <w:drawing>
                <wp:anchor distT="0" distB="0" distL="114300" distR="114300" simplePos="0" relativeHeight="251662336" behindDoc="0" locked="0" layoutInCell="1" allowOverlap="1">
                  <wp:simplePos x="0" y="0"/>
                  <wp:positionH relativeFrom="column">
                    <wp:posOffset>1129030</wp:posOffset>
                  </wp:positionH>
                  <wp:positionV relativeFrom="paragraph">
                    <wp:posOffset>26035</wp:posOffset>
                  </wp:positionV>
                  <wp:extent cx="3242945" cy="2288540"/>
                  <wp:effectExtent l="0" t="0" r="14605" b="16510"/>
                  <wp:wrapTopAndBottom/>
                  <wp:docPr id="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
                          <pic:cNvPicPr>
                            <a:picLocks noChangeAspect="1"/>
                          </pic:cNvPicPr>
                        </pic:nvPicPr>
                        <pic:blipFill>
                          <a:blip r:embed="rId42"/>
                          <a:stretch>
                            <a:fillRect/>
                          </a:stretch>
                        </pic:blipFill>
                        <pic:spPr>
                          <a:xfrm>
                            <a:off x="0" y="0"/>
                            <a:ext cx="3242945" cy="2288540"/>
                          </a:xfrm>
                          <a:prstGeom prst="rect">
                            <a:avLst/>
                          </a:prstGeom>
                          <a:noFill/>
                          <a:ln>
                            <a:noFill/>
                          </a:ln>
                        </pic:spPr>
                      </pic:pic>
                    </a:graphicData>
                  </a:graphic>
                </wp:anchor>
              </w:drawing>
            </w:r>
            <w:r>
              <w:rPr>
                <w:rFonts w:hint="default" w:ascii="Times New Roman" w:hAnsi="Times New Roman" w:eastAsia="宋体" w:cs="Times New Roman"/>
                <w:color w:val="auto"/>
                <w:spacing w:val="0"/>
                <w:kern w:val="21"/>
                <w:position w:val="0"/>
                <w:sz w:val="24"/>
                <w:highlight w:val="none"/>
                <w:lang w:val="en-US" w:eastAsia="zh-CN"/>
              </w:rPr>
              <w:t>④</w:t>
            </w:r>
            <w:r>
              <w:rPr>
                <w:rFonts w:hint="default" w:ascii="Times New Roman" w:hAnsi="Times New Roman" w:eastAsia="宋体" w:cs="Times New Roman"/>
                <w:color w:val="auto"/>
                <w:spacing w:val="0"/>
                <w:kern w:val="21"/>
                <w:position w:val="0"/>
                <w:sz w:val="24"/>
                <w:highlight w:val="none"/>
              </w:rPr>
              <w:t>危险废物的转移及运输</w:t>
            </w:r>
          </w:p>
          <w:p w14:paraId="4B775DC8">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t>项目区内转移均在</w:t>
            </w:r>
            <w:r>
              <w:rPr>
                <w:rFonts w:hint="default" w:ascii="Times New Roman" w:hAnsi="Times New Roman" w:eastAsia="宋体" w:cs="Times New Roman"/>
                <w:color w:val="auto"/>
                <w:spacing w:val="0"/>
                <w:kern w:val="21"/>
                <w:position w:val="0"/>
                <w:sz w:val="24"/>
                <w:highlight w:val="none"/>
                <w:lang w:eastAsia="zh-CN"/>
              </w:rPr>
              <w:t>危险废物贮存库</w:t>
            </w:r>
            <w:r>
              <w:rPr>
                <w:rFonts w:hint="default" w:ascii="Times New Roman" w:hAnsi="Times New Roman" w:eastAsia="宋体" w:cs="Times New Roman"/>
                <w:color w:val="auto"/>
                <w:spacing w:val="0"/>
                <w:kern w:val="21"/>
                <w:position w:val="0"/>
                <w:sz w:val="24"/>
                <w:highlight w:val="none"/>
              </w:rPr>
              <w:t>内部进行，且暂存</w:t>
            </w:r>
            <w:r>
              <w:rPr>
                <w:rFonts w:hint="default" w:ascii="Times New Roman" w:hAnsi="Times New Roman" w:eastAsia="宋体" w:cs="Times New Roman"/>
                <w:color w:val="auto"/>
                <w:spacing w:val="0"/>
                <w:kern w:val="21"/>
                <w:position w:val="0"/>
                <w:sz w:val="24"/>
                <w:highlight w:val="none"/>
                <w:lang w:eastAsia="zh-CN"/>
              </w:rPr>
              <w:t>点</w:t>
            </w:r>
            <w:r>
              <w:rPr>
                <w:rFonts w:hint="default" w:ascii="Times New Roman" w:hAnsi="Times New Roman" w:eastAsia="宋体" w:cs="Times New Roman"/>
                <w:color w:val="auto"/>
                <w:spacing w:val="0"/>
                <w:kern w:val="21"/>
                <w:position w:val="0"/>
                <w:sz w:val="24"/>
                <w:highlight w:val="none"/>
              </w:rPr>
              <w:t>地面防腐防渗，场内转移运输过程对环境影响不大。危险废物自</w:t>
            </w:r>
            <w:r>
              <w:rPr>
                <w:rFonts w:hint="default" w:ascii="Times New Roman" w:hAnsi="Times New Roman" w:eastAsia="宋体" w:cs="Times New Roman"/>
                <w:color w:val="auto"/>
                <w:spacing w:val="0"/>
                <w:kern w:val="21"/>
                <w:position w:val="0"/>
                <w:sz w:val="24"/>
                <w:highlight w:val="none"/>
                <w:lang w:val="en-US" w:eastAsia="zh-CN"/>
              </w:rPr>
              <w:t>贮存库</w:t>
            </w:r>
            <w:r>
              <w:rPr>
                <w:rFonts w:hint="default" w:ascii="Times New Roman" w:hAnsi="Times New Roman" w:eastAsia="宋体" w:cs="Times New Roman"/>
                <w:color w:val="auto"/>
                <w:spacing w:val="0"/>
                <w:kern w:val="21"/>
                <w:position w:val="0"/>
                <w:sz w:val="24"/>
                <w:highlight w:val="none"/>
              </w:rPr>
              <w:t>外运</w:t>
            </w:r>
            <w:r>
              <w:rPr>
                <w:rFonts w:hint="default" w:ascii="Times New Roman" w:hAnsi="Times New Roman" w:eastAsia="宋体" w:cs="Times New Roman"/>
                <w:color w:val="auto"/>
                <w:spacing w:val="0"/>
                <w:kern w:val="21"/>
                <w:position w:val="0"/>
                <w:sz w:val="24"/>
                <w:highlight w:val="none"/>
                <w:lang w:eastAsia="zh-CN"/>
              </w:rPr>
              <w:t>至</w:t>
            </w:r>
            <w:r>
              <w:rPr>
                <w:rFonts w:hint="default" w:ascii="Times New Roman" w:hAnsi="Times New Roman" w:eastAsia="宋体" w:cs="Times New Roman"/>
                <w:color w:val="auto"/>
                <w:spacing w:val="0"/>
                <w:kern w:val="21"/>
                <w:position w:val="0"/>
                <w:sz w:val="24"/>
                <w:highlight w:val="none"/>
              </w:rPr>
              <w:t>有危废处置资质的单位进行处置，整个运输过程由具备危险废物运输资质的运输单位承担，危废转运过程对环境影响不大。</w:t>
            </w:r>
          </w:p>
          <w:p w14:paraId="439D692D">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t>危险废物转移严格按照《危险废物收集贮存运输技术规范》（HJ2025-2012）及《危险废物转移管理办法》（部令第23号）执行。危险废物厂区内部转运应综合考虑厂区情况避开办公区，采用专用的工具，内部转运结束后应对转运路线进行检查和清理确保无危险废物遗失在转运路线并进行记录。危险废物公路运输应按照《道路危险货物运输管理规定》（交通部令（2016年）第36号）执行。</w:t>
            </w:r>
          </w:p>
          <w:p w14:paraId="4EFAD8A5">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eastAsia="zh-CN"/>
              </w:rPr>
              <w:t>对</w:t>
            </w:r>
            <w:r>
              <w:rPr>
                <w:rFonts w:hint="default" w:ascii="Times New Roman" w:hAnsi="Times New Roman" w:eastAsia="宋体" w:cs="Times New Roman"/>
                <w:color w:val="auto"/>
                <w:spacing w:val="0"/>
                <w:kern w:val="21"/>
                <w:position w:val="0"/>
                <w:sz w:val="24"/>
                <w:highlight w:val="none"/>
              </w:rPr>
              <w:t>危险废物的运输要求如下：</w:t>
            </w:r>
          </w:p>
          <w:p w14:paraId="30648E49">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val="en-US" w:eastAsia="zh-CN"/>
              </w:rPr>
              <w:t>A</w:t>
            </w:r>
            <w:r>
              <w:rPr>
                <w:rFonts w:hint="default" w:ascii="Times New Roman" w:hAnsi="Times New Roman" w:eastAsia="宋体" w:cs="Times New Roman"/>
                <w:color w:val="auto"/>
                <w:spacing w:val="0"/>
                <w:kern w:val="21"/>
                <w:position w:val="0"/>
                <w:sz w:val="24"/>
                <w:highlight w:val="none"/>
              </w:rPr>
              <w:t>运输危险废物的运输车辆应按《道路运输危险货物车辆标志》（GB13392-2005）的规定悬挂相应标志。</w:t>
            </w:r>
          </w:p>
          <w:p w14:paraId="369990B3">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val="en-US" w:eastAsia="zh-CN"/>
              </w:rPr>
              <w:t>B</w:t>
            </w:r>
            <w:r>
              <w:rPr>
                <w:rFonts w:hint="default" w:ascii="Times New Roman" w:hAnsi="Times New Roman" w:eastAsia="宋体" w:cs="Times New Roman"/>
                <w:color w:val="auto"/>
                <w:spacing w:val="0"/>
                <w:kern w:val="21"/>
                <w:position w:val="0"/>
                <w:sz w:val="24"/>
                <w:highlight w:val="none"/>
              </w:rPr>
              <w:t>专用车辆应当配备符合有关国家标准以及与所载运的危险货物相适应的应急处理器材和安全防护设备。</w:t>
            </w:r>
          </w:p>
          <w:p w14:paraId="44575E11">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val="en-US" w:eastAsia="zh-CN"/>
              </w:rPr>
              <w:t>C</w:t>
            </w:r>
            <w:r>
              <w:rPr>
                <w:rFonts w:hint="default" w:ascii="Times New Roman" w:hAnsi="Times New Roman" w:eastAsia="宋体" w:cs="Times New Roman"/>
                <w:color w:val="auto"/>
                <w:spacing w:val="0"/>
                <w:kern w:val="21"/>
                <w:position w:val="0"/>
                <w:sz w:val="24"/>
                <w:highlight w:val="none"/>
              </w:rPr>
              <w:t>运输车辆在公路上行驶应持有通行证。其上应证明废物的来源、性质、运往地点，必要时须有单位人员负责押运工作。</w:t>
            </w:r>
          </w:p>
          <w:p w14:paraId="694AE631">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val="en-US" w:eastAsia="zh-CN"/>
              </w:rPr>
              <w:t>D</w:t>
            </w:r>
            <w:r>
              <w:rPr>
                <w:rFonts w:hint="default" w:ascii="Times New Roman" w:hAnsi="Times New Roman" w:eastAsia="宋体" w:cs="Times New Roman"/>
                <w:color w:val="auto"/>
                <w:spacing w:val="0"/>
                <w:kern w:val="21"/>
                <w:position w:val="0"/>
                <w:sz w:val="24"/>
                <w:highlight w:val="none"/>
              </w:rPr>
              <w:t>运输公司应制定详细的运输方案及路线，并制定事故应急预案，配备事故应急及个人防护设备，以保证在收集、运输过程中发生事故时能有效地</w:t>
            </w:r>
            <w:r>
              <w:rPr>
                <w:rFonts w:hint="default" w:ascii="Times New Roman" w:hAnsi="Times New Roman" w:cs="Times New Roman"/>
                <w:color w:val="auto"/>
                <w:spacing w:val="0"/>
                <w:kern w:val="21"/>
                <w:position w:val="0"/>
                <w:sz w:val="24"/>
                <w:highlight w:val="none"/>
                <w:lang w:val="en-US" w:eastAsia="zh-CN"/>
              </w:rPr>
              <w:t>处置，</w:t>
            </w:r>
            <w:r>
              <w:rPr>
                <w:rFonts w:hint="default" w:ascii="Times New Roman" w:hAnsi="Times New Roman" w:eastAsia="宋体" w:cs="Times New Roman"/>
                <w:color w:val="auto"/>
                <w:spacing w:val="0"/>
                <w:kern w:val="21"/>
                <w:position w:val="0"/>
                <w:sz w:val="24"/>
                <w:highlight w:val="none"/>
              </w:rPr>
              <w:t>减少对环境的污染。</w:t>
            </w:r>
          </w:p>
          <w:p w14:paraId="4B4F55A4">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val="en-US" w:eastAsia="zh-CN"/>
              </w:rPr>
              <w:t>E</w:t>
            </w:r>
            <w:r>
              <w:rPr>
                <w:rFonts w:hint="default" w:ascii="Times New Roman" w:hAnsi="Times New Roman" w:eastAsia="宋体" w:cs="Times New Roman"/>
                <w:color w:val="auto"/>
                <w:spacing w:val="0"/>
                <w:kern w:val="21"/>
                <w:position w:val="0"/>
                <w:sz w:val="24"/>
                <w:highlight w:val="none"/>
              </w:rPr>
              <w:t>运输时应采取有效的包装措施，以防止有害成分的泄漏污染。</w:t>
            </w:r>
          </w:p>
          <w:p w14:paraId="30B773CF">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val="en-US" w:eastAsia="zh-CN"/>
              </w:rPr>
              <w:t>F</w:t>
            </w:r>
            <w:r>
              <w:rPr>
                <w:rFonts w:hint="default" w:ascii="Times New Roman" w:hAnsi="Times New Roman" w:eastAsia="宋体" w:cs="Times New Roman"/>
                <w:color w:val="auto"/>
                <w:spacing w:val="0"/>
                <w:kern w:val="21"/>
                <w:position w:val="0"/>
                <w:sz w:val="24"/>
                <w:highlight w:val="none"/>
              </w:rPr>
              <w:t>运输车辆驾驶员和押运人员需持有</w:t>
            </w:r>
            <w:r>
              <w:rPr>
                <w:rFonts w:hint="default" w:ascii="Times New Roman" w:hAnsi="Times New Roman" w:cs="Times New Roman"/>
                <w:color w:val="auto"/>
                <w:spacing w:val="0"/>
                <w:kern w:val="21"/>
                <w:position w:val="0"/>
                <w:sz w:val="24"/>
                <w:highlight w:val="none"/>
                <w:lang w:eastAsia="zh-CN"/>
              </w:rPr>
              <w:t>“</w:t>
            </w:r>
            <w:r>
              <w:rPr>
                <w:rFonts w:hint="default" w:ascii="Times New Roman" w:hAnsi="Times New Roman" w:eastAsia="宋体" w:cs="Times New Roman"/>
                <w:color w:val="auto"/>
                <w:spacing w:val="0"/>
                <w:kern w:val="21"/>
                <w:position w:val="0"/>
                <w:sz w:val="24"/>
                <w:highlight w:val="none"/>
              </w:rPr>
              <w:t>道路危险货物运输资格证</w:t>
            </w:r>
            <w:r>
              <w:rPr>
                <w:rFonts w:hint="default" w:ascii="Times New Roman" w:hAnsi="Times New Roman" w:cs="Times New Roman"/>
                <w:color w:val="auto"/>
                <w:spacing w:val="0"/>
                <w:kern w:val="21"/>
                <w:position w:val="0"/>
                <w:sz w:val="24"/>
                <w:highlight w:val="none"/>
                <w:lang w:eastAsia="zh-CN"/>
              </w:rPr>
              <w:t>”</w:t>
            </w:r>
            <w:r>
              <w:rPr>
                <w:rFonts w:hint="default" w:ascii="Times New Roman" w:hAnsi="Times New Roman" w:eastAsia="宋体" w:cs="Times New Roman"/>
                <w:color w:val="auto"/>
                <w:spacing w:val="0"/>
                <w:kern w:val="21"/>
                <w:position w:val="0"/>
                <w:sz w:val="24"/>
                <w:highlight w:val="none"/>
              </w:rPr>
              <w:t>，必须经过危险废物和应急救援方面的培训，包括防火、防泄漏以及应急联络等。</w:t>
            </w:r>
          </w:p>
          <w:p w14:paraId="470A9949">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val="en-US" w:eastAsia="zh-CN"/>
              </w:rPr>
              <w:t>G</w:t>
            </w:r>
            <w:r>
              <w:rPr>
                <w:rFonts w:hint="default" w:ascii="Times New Roman" w:hAnsi="Times New Roman" w:eastAsia="宋体" w:cs="Times New Roman"/>
                <w:color w:val="auto"/>
                <w:spacing w:val="0"/>
                <w:kern w:val="21"/>
                <w:position w:val="0"/>
                <w:sz w:val="24"/>
                <w:highlight w:val="none"/>
              </w:rPr>
              <w:t>危险废物禁止混入非危险废物中贮存，禁止与乘客在同一运输工具上载运。</w:t>
            </w:r>
          </w:p>
          <w:p w14:paraId="61B0E2BB">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val="en-US" w:eastAsia="zh-CN"/>
              </w:rPr>
              <w:t>H</w:t>
            </w:r>
            <w:r>
              <w:rPr>
                <w:rFonts w:hint="default" w:ascii="Times New Roman" w:hAnsi="Times New Roman" w:eastAsia="宋体" w:cs="Times New Roman"/>
                <w:color w:val="auto"/>
                <w:spacing w:val="0"/>
                <w:kern w:val="21"/>
                <w:position w:val="0"/>
                <w:sz w:val="24"/>
                <w:highlight w:val="none"/>
              </w:rPr>
              <w:t>运输路线尽量避开饮用水源保护区及其他特殊敏感区。</w:t>
            </w:r>
          </w:p>
          <w:p w14:paraId="6053B58F">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val="en-US" w:eastAsia="zh-CN"/>
              </w:rPr>
              <w:t>⑤</w:t>
            </w:r>
            <w:r>
              <w:rPr>
                <w:rFonts w:hint="default" w:ascii="Times New Roman" w:hAnsi="Times New Roman" w:eastAsia="宋体" w:cs="Times New Roman"/>
                <w:color w:val="auto"/>
                <w:spacing w:val="0"/>
                <w:kern w:val="21"/>
                <w:position w:val="0"/>
                <w:sz w:val="24"/>
                <w:highlight w:val="none"/>
              </w:rPr>
              <w:t>危废转移制度</w:t>
            </w:r>
          </w:p>
          <w:p w14:paraId="6E86A014">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t>建设单位必须建立危险废物转移联单制度，收集贮存的危险废物应严格按照《危险废物转移管理办法》中的有关要求管理，危险废物转移程序如下：</w:t>
            </w:r>
          </w:p>
          <w:p w14:paraId="5038EE53">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val="en-US" w:eastAsia="zh-CN"/>
              </w:rPr>
              <w:t>A</w:t>
            </w:r>
            <w:r>
              <w:rPr>
                <w:rFonts w:hint="default" w:ascii="Times New Roman" w:hAnsi="Times New Roman" w:eastAsia="宋体" w:cs="Times New Roman"/>
                <w:color w:val="auto"/>
                <w:spacing w:val="0"/>
                <w:kern w:val="21"/>
                <w:position w:val="0"/>
                <w:sz w:val="24"/>
                <w:highlight w:val="none"/>
              </w:rPr>
              <w:t>危险废物转移联单应当根据危险废物管理计划中填报的危险废物转移等备案信息填写、运行。</w:t>
            </w:r>
          </w:p>
          <w:p w14:paraId="52C7AD3D">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val="en-US" w:eastAsia="zh-CN"/>
              </w:rPr>
              <w:t>B</w:t>
            </w:r>
            <w:r>
              <w:rPr>
                <w:rFonts w:hint="default" w:ascii="Times New Roman" w:hAnsi="Times New Roman" w:eastAsia="宋体" w:cs="Times New Roman"/>
                <w:color w:val="auto"/>
                <w:spacing w:val="0"/>
                <w:kern w:val="21"/>
                <w:position w:val="0"/>
                <w:sz w:val="24"/>
                <w:highlight w:val="none"/>
              </w:rPr>
              <w:t>采用联运方式转移危险废物的，前一承运人和后一承运人应当明确运输交接的时间和地点。后一承运人应当核实危险废物转移联单确定的移出人信息、前一承运人信息及危险废物相关信息。</w:t>
            </w:r>
          </w:p>
          <w:p w14:paraId="238F3E53">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val="en-US" w:eastAsia="zh-CN"/>
              </w:rPr>
              <w:t>C</w:t>
            </w:r>
            <w:r>
              <w:rPr>
                <w:rFonts w:hint="default" w:ascii="Times New Roman" w:hAnsi="Times New Roman" w:eastAsia="宋体" w:cs="Times New Roman"/>
                <w:color w:val="auto"/>
                <w:spacing w:val="0"/>
                <w:kern w:val="21"/>
                <w:position w:val="0"/>
                <w:sz w:val="24"/>
                <w:highlight w:val="none"/>
              </w:rPr>
              <w:t>移出人每转移一车（船或者其他运输工具）次同类危险废物，应当填写、运行一份危险废物转移联单；每车（船或者其他运输工具）次转移多类危险废物的，可以填写、运行一份危险废物转移联单，也可以每一类危险废物填写、运行一份危险废物转移联单。</w:t>
            </w:r>
          </w:p>
          <w:p w14:paraId="1784A5AC">
            <w:pPr>
              <w:keepNext w:val="0"/>
              <w:keepLines w:val="0"/>
              <w:pageBreakBefore w:val="0"/>
              <w:widowControl w:val="0"/>
              <w:numPr>
                <w:ilvl w:val="0"/>
                <w:numId w:val="0"/>
              </w:numPr>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val="en-US" w:eastAsia="zh-CN"/>
              </w:rPr>
              <w:t>D</w:t>
            </w:r>
            <w:r>
              <w:rPr>
                <w:rFonts w:hint="default" w:ascii="Times New Roman" w:hAnsi="Times New Roman" w:eastAsia="宋体" w:cs="Times New Roman"/>
                <w:color w:val="auto"/>
                <w:spacing w:val="0"/>
                <w:kern w:val="21"/>
                <w:position w:val="0"/>
                <w:sz w:val="24"/>
                <w:highlight w:val="none"/>
              </w:rPr>
              <w:t>采用联运方式转移危险废物的，前一承运人和后一承运人应当明确运输交接的时间和地点。后一承运人应当核实危险废物转移联单确定的移出人信息、前一承运人信息及危险废物相关信息。转移危险废物的，须按照国家有关规定通过国家危险废物信息管理填写危险废物电子转移联单，并向危险废物移出地设区的市级以上地方人民政府环境保护行政主管部门提出申请。移出地设区的市级以上地方人民政府环境保护行政主管部门应当经</w:t>
            </w:r>
            <w:r>
              <w:rPr>
                <w:rFonts w:hint="default" w:ascii="Times New Roman" w:hAnsi="Times New Roman" w:eastAsia="宋体" w:cs="Times New Roman"/>
                <w:color w:val="auto"/>
                <w:spacing w:val="0"/>
                <w:kern w:val="21"/>
                <w:position w:val="0"/>
                <w:sz w:val="24"/>
                <w:highlight w:val="none"/>
                <w:lang w:eastAsia="zh-CN"/>
              </w:rPr>
              <w:t>接收</w:t>
            </w:r>
            <w:r>
              <w:rPr>
                <w:rFonts w:hint="default" w:ascii="Times New Roman" w:hAnsi="Times New Roman" w:eastAsia="宋体" w:cs="Times New Roman"/>
                <w:color w:val="auto"/>
                <w:spacing w:val="0"/>
                <w:kern w:val="21"/>
                <w:position w:val="0"/>
                <w:sz w:val="24"/>
                <w:highlight w:val="none"/>
              </w:rPr>
              <w:t>地设区的市级以上地方人民政府环境保护行政主管部门同意后，方可批准转移该危险废物。未经批准，不得转移。转移危险废物</w:t>
            </w:r>
            <w:r>
              <w:rPr>
                <w:rFonts w:hint="default" w:ascii="Times New Roman" w:hAnsi="Times New Roman" w:eastAsia="宋体" w:cs="Times New Roman"/>
                <w:color w:val="auto"/>
                <w:spacing w:val="0"/>
                <w:kern w:val="21"/>
                <w:position w:val="0"/>
                <w:sz w:val="24"/>
                <w:highlight w:val="none"/>
                <w:lang w:eastAsia="zh-CN"/>
              </w:rPr>
              <w:t>途经</w:t>
            </w:r>
            <w:r>
              <w:rPr>
                <w:rFonts w:hint="default" w:ascii="Times New Roman" w:hAnsi="Times New Roman" w:eastAsia="宋体" w:cs="Times New Roman"/>
                <w:color w:val="auto"/>
                <w:spacing w:val="0"/>
                <w:kern w:val="21"/>
                <w:position w:val="0"/>
                <w:sz w:val="24"/>
                <w:highlight w:val="none"/>
              </w:rPr>
              <w:t>移出地、</w:t>
            </w:r>
            <w:r>
              <w:rPr>
                <w:rFonts w:hint="default" w:ascii="Times New Roman" w:hAnsi="Times New Roman" w:eastAsia="宋体" w:cs="Times New Roman"/>
                <w:color w:val="auto"/>
                <w:spacing w:val="0"/>
                <w:kern w:val="21"/>
                <w:position w:val="0"/>
                <w:sz w:val="24"/>
                <w:highlight w:val="none"/>
                <w:lang w:eastAsia="zh-CN"/>
              </w:rPr>
              <w:t>接收</w:t>
            </w:r>
            <w:r>
              <w:rPr>
                <w:rFonts w:hint="default" w:ascii="Times New Roman" w:hAnsi="Times New Roman" w:eastAsia="宋体" w:cs="Times New Roman"/>
                <w:color w:val="auto"/>
                <w:spacing w:val="0"/>
                <w:kern w:val="21"/>
                <w:position w:val="0"/>
                <w:sz w:val="24"/>
                <w:highlight w:val="none"/>
              </w:rPr>
              <w:t>地以外行政区域的，危险废物移出地设区的市级以上地方人民政府环境保护行政主管部门。每年3月底前在线填报危险废物管理计划。</w:t>
            </w:r>
          </w:p>
          <w:p w14:paraId="7FE4EF86">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val="en-US" w:eastAsia="zh-CN"/>
              </w:rPr>
              <w:t>⑥</w:t>
            </w:r>
            <w:r>
              <w:rPr>
                <w:rFonts w:hint="default" w:ascii="Times New Roman" w:hAnsi="Times New Roman" w:eastAsia="宋体" w:cs="Times New Roman"/>
                <w:color w:val="auto"/>
                <w:spacing w:val="0"/>
                <w:kern w:val="21"/>
                <w:position w:val="0"/>
                <w:sz w:val="24"/>
                <w:highlight w:val="none"/>
              </w:rPr>
              <w:t>委托处置</w:t>
            </w:r>
          </w:p>
          <w:p w14:paraId="5A9AE4BC">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eastAsia="zh-CN"/>
              </w:rPr>
              <w:t>危险废物贮存库</w:t>
            </w:r>
            <w:r>
              <w:rPr>
                <w:rFonts w:hint="default" w:ascii="Times New Roman" w:hAnsi="Times New Roman" w:eastAsia="宋体" w:cs="Times New Roman"/>
                <w:color w:val="auto"/>
                <w:spacing w:val="0"/>
                <w:kern w:val="21"/>
                <w:position w:val="0"/>
                <w:sz w:val="24"/>
                <w:highlight w:val="none"/>
              </w:rPr>
              <w:t>贮存的危险废物由有危废处置资质的单位进行处置，危废处置单位使用专用车辆至厂内收集、转移危险废物，</w:t>
            </w:r>
            <w:r>
              <w:rPr>
                <w:rFonts w:hint="default" w:ascii="Times New Roman" w:hAnsi="Times New Roman" w:eastAsia="宋体" w:cs="Times New Roman"/>
                <w:bCs/>
                <w:color w:val="auto"/>
                <w:spacing w:val="0"/>
                <w:kern w:val="21"/>
                <w:position w:val="0"/>
                <w:sz w:val="24"/>
                <w:highlight w:val="none"/>
              </w:rPr>
              <w:t>本项目</w:t>
            </w:r>
            <w:r>
              <w:rPr>
                <w:rFonts w:hint="default" w:ascii="Times New Roman" w:hAnsi="Times New Roman" w:eastAsia="宋体" w:cs="Times New Roman"/>
                <w:bCs/>
                <w:color w:val="auto"/>
                <w:spacing w:val="0"/>
                <w:kern w:val="21"/>
                <w:position w:val="0"/>
                <w:sz w:val="24"/>
                <w:highlight w:val="none"/>
                <w:lang w:val="en-US" w:eastAsia="zh-CN"/>
              </w:rPr>
              <w:t>与有资质单位签订危险废物处置意向协议书，</w:t>
            </w:r>
            <w:r>
              <w:rPr>
                <w:rFonts w:hint="default" w:ascii="Times New Roman" w:hAnsi="Times New Roman" w:eastAsia="宋体" w:cs="Times New Roman"/>
                <w:bCs/>
                <w:color w:val="auto"/>
                <w:spacing w:val="0"/>
                <w:kern w:val="21"/>
                <w:position w:val="0"/>
                <w:sz w:val="24"/>
                <w:highlight w:val="none"/>
              </w:rPr>
              <w:t>不自行外运、转移，危险废物委托处理后对环境影响不大。</w:t>
            </w:r>
          </w:p>
          <w:p w14:paraId="382D3B6E">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lang w:val="en-US" w:eastAsia="zh-CN"/>
              </w:rPr>
              <w:t>⑦</w:t>
            </w:r>
            <w:r>
              <w:rPr>
                <w:rFonts w:hint="default" w:ascii="Times New Roman" w:hAnsi="Times New Roman" w:eastAsia="宋体" w:cs="Times New Roman"/>
                <w:color w:val="auto"/>
                <w:spacing w:val="0"/>
                <w:kern w:val="21"/>
                <w:position w:val="0"/>
                <w:sz w:val="24"/>
                <w:highlight w:val="none"/>
              </w:rPr>
              <w:t>管理措施</w:t>
            </w:r>
          </w:p>
          <w:p w14:paraId="00F7B672">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t>企业</w:t>
            </w:r>
            <w:r>
              <w:rPr>
                <w:rFonts w:hint="default" w:ascii="Times New Roman" w:hAnsi="Times New Roman" w:eastAsia="宋体" w:cs="Times New Roman"/>
                <w:color w:val="auto"/>
                <w:spacing w:val="0"/>
                <w:kern w:val="21"/>
                <w:position w:val="0"/>
                <w:sz w:val="24"/>
                <w:highlight w:val="none"/>
                <w:lang w:val="en-US" w:eastAsia="zh-CN"/>
              </w:rPr>
              <w:t>应根据实际运营情况</w:t>
            </w:r>
            <w:r>
              <w:rPr>
                <w:rFonts w:hint="default" w:ascii="Times New Roman" w:hAnsi="Times New Roman" w:eastAsia="宋体" w:cs="Times New Roman"/>
                <w:color w:val="auto"/>
                <w:spacing w:val="0"/>
                <w:kern w:val="21"/>
                <w:position w:val="0"/>
                <w:sz w:val="24"/>
                <w:highlight w:val="none"/>
              </w:rPr>
              <w:t>建立危险废物管理台账，规范危险废物情况的记录，记录上须注明危险废物的种类、来源、数量、性质、产生环节、利用处置和包装容器的类别、入</w:t>
            </w:r>
            <w:r>
              <w:rPr>
                <w:rFonts w:hint="default" w:ascii="Times New Roman" w:hAnsi="Times New Roman" w:eastAsia="宋体" w:cs="Times New Roman"/>
                <w:color w:val="auto"/>
                <w:spacing w:val="0"/>
                <w:kern w:val="21"/>
                <w:position w:val="0"/>
                <w:sz w:val="24"/>
                <w:highlight w:val="none"/>
                <w:lang w:val="en-US" w:eastAsia="zh-CN"/>
              </w:rPr>
              <w:t>暂存点</w:t>
            </w:r>
            <w:r>
              <w:rPr>
                <w:rFonts w:hint="default" w:ascii="Times New Roman" w:hAnsi="Times New Roman" w:eastAsia="宋体" w:cs="Times New Roman"/>
                <w:color w:val="auto"/>
                <w:spacing w:val="0"/>
                <w:kern w:val="21"/>
                <w:position w:val="0"/>
                <w:sz w:val="24"/>
                <w:highlight w:val="none"/>
              </w:rPr>
              <w:t>日期、存放</w:t>
            </w:r>
            <w:r>
              <w:rPr>
                <w:rFonts w:hint="default" w:ascii="Times New Roman" w:hAnsi="Times New Roman" w:eastAsia="宋体" w:cs="Times New Roman"/>
                <w:color w:val="auto"/>
                <w:spacing w:val="0"/>
                <w:kern w:val="21"/>
                <w:position w:val="0"/>
                <w:sz w:val="24"/>
                <w:highlight w:val="none"/>
                <w:lang w:val="en-US" w:eastAsia="zh-CN"/>
              </w:rPr>
              <w:t>暂存点位置</w:t>
            </w:r>
            <w:r>
              <w:rPr>
                <w:rFonts w:hint="default" w:ascii="Times New Roman" w:hAnsi="Times New Roman" w:eastAsia="宋体" w:cs="Times New Roman"/>
                <w:color w:val="auto"/>
                <w:spacing w:val="0"/>
                <w:kern w:val="21"/>
                <w:position w:val="0"/>
                <w:sz w:val="24"/>
                <w:highlight w:val="none"/>
              </w:rPr>
              <w:t>、废物出</w:t>
            </w:r>
            <w:r>
              <w:rPr>
                <w:rFonts w:hint="default" w:ascii="Times New Roman" w:hAnsi="Times New Roman" w:eastAsia="宋体" w:cs="Times New Roman"/>
                <w:color w:val="auto"/>
                <w:spacing w:val="0"/>
                <w:kern w:val="21"/>
                <w:position w:val="0"/>
                <w:sz w:val="24"/>
                <w:highlight w:val="none"/>
                <w:lang w:val="en-US" w:eastAsia="zh-CN"/>
              </w:rPr>
              <w:t>暂存点</w:t>
            </w:r>
            <w:r>
              <w:rPr>
                <w:rFonts w:hint="default" w:ascii="Times New Roman" w:hAnsi="Times New Roman" w:eastAsia="宋体" w:cs="Times New Roman"/>
                <w:color w:val="auto"/>
                <w:spacing w:val="0"/>
                <w:kern w:val="21"/>
                <w:position w:val="0"/>
                <w:sz w:val="24"/>
                <w:highlight w:val="none"/>
              </w:rPr>
              <w:t>日期及接收单位名称，确保厂内所有危险废物流向清楚规范。</w:t>
            </w:r>
          </w:p>
          <w:p w14:paraId="56DDE51E">
            <w:pPr>
              <w:pStyle w:val="108"/>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outlineLvl w:val="9"/>
              <w:rPr>
                <w:rFonts w:hint="default" w:ascii="Times New Roman" w:hAnsi="Times New Roman" w:eastAsia="宋体" w:cs="Times New Roman"/>
                <w:color w:val="auto"/>
                <w:spacing w:val="0"/>
                <w:kern w:val="21"/>
                <w:position w:val="0"/>
                <w:sz w:val="24"/>
                <w:highlight w:val="none"/>
              </w:rPr>
            </w:pPr>
            <w:r>
              <w:rPr>
                <w:rFonts w:hint="default" w:ascii="Times New Roman" w:hAnsi="Times New Roman" w:eastAsia="宋体" w:cs="Times New Roman"/>
                <w:color w:val="auto"/>
                <w:spacing w:val="0"/>
                <w:kern w:val="21"/>
                <w:position w:val="0"/>
                <w:sz w:val="24"/>
                <w:highlight w:val="none"/>
              </w:rPr>
              <w:t>按规定申报危险废物产生、贮存、转移、利用处置等信息，制定和落实危险废物年度管理计划，执行危险废物申报登记制度，并在</w:t>
            </w:r>
            <w:r>
              <w:rPr>
                <w:rFonts w:hint="default" w:ascii="Times New Roman" w:hAnsi="Times New Roman" w:cs="Times New Roman"/>
                <w:color w:val="auto"/>
                <w:spacing w:val="0"/>
                <w:kern w:val="21"/>
                <w:position w:val="0"/>
                <w:sz w:val="24"/>
                <w:highlight w:val="none"/>
                <w:lang w:eastAsia="zh-CN"/>
              </w:rPr>
              <w:t>“</w:t>
            </w:r>
            <w:r>
              <w:rPr>
                <w:rFonts w:hint="default" w:ascii="Times New Roman" w:hAnsi="Times New Roman" w:eastAsia="宋体" w:cs="Times New Roman"/>
                <w:color w:val="auto"/>
                <w:spacing w:val="0"/>
                <w:kern w:val="21"/>
                <w:position w:val="0"/>
                <w:sz w:val="24"/>
                <w:highlight w:val="none"/>
              </w:rPr>
              <w:t>固废管理系统</w:t>
            </w:r>
            <w:r>
              <w:rPr>
                <w:rFonts w:hint="default" w:ascii="Times New Roman" w:hAnsi="Times New Roman" w:cs="Times New Roman"/>
                <w:color w:val="auto"/>
                <w:spacing w:val="0"/>
                <w:kern w:val="21"/>
                <w:position w:val="0"/>
                <w:sz w:val="24"/>
                <w:highlight w:val="none"/>
                <w:lang w:eastAsia="zh-CN"/>
              </w:rPr>
              <w:t>”</w:t>
            </w:r>
            <w:r>
              <w:rPr>
                <w:rFonts w:hint="default" w:ascii="Times New Roman" w:hAnsi="Times New Roman" w:eastAsia="宋体" w:cs="Times New Roman"/>
                <w:color w:val="auto"/>
                <w:spacing w:val="0"/>
                <w:kern w:val="21"/>
                <w:position w:val="0"/>
                <w:sz w:val="24"/>
                <w:highlight w:val="none"/>
              </w:rPr>
              <w:t>危险废物年度管理计划，执行危险废物申报登记制度，并在</w:t>
            </w:r>
            <w:r>
              <w:rPr>
                <w:rFonts w:hint="default" w:ascii="Times New Roman" w:hAnsi="Times New Roman" w:cs="Times New Roman"/>
                <w:color w:val="auto"/>
                <w:spacing w:val="0"/>
                <w:kern w:val="21"/>
                <w:position w:val="0"/>
                <w:sz w:val="24"/>
                <w:highlight w:val="none"/>
                <w:lang w:eastAsia="zh-CN"/>
              </w:rPr>
              <w:t>“</w:t>
            </w:r>
            <w:r>
              <w:rPr>
                <w:rFonts w:hint="default" w:ascii="Times New Roman" w:hAnsi="Times New Roman" w:eastAsia="宋体" w:cs="Times New Roman"/>
                <w:color w:val="auto"/>
                <w:spacing w:val="0"/>
                <w:kern w:val="21"/>
                <w:position w:val="0"/>
                <w:sz w:val="24"/>
                <w:highlight w:val="none"/>
              </w:rPr>
              <w:t>固废管理系统</w:t>
            </w:r>
            <w:r>
              <w:rPr>
                <w:rFonts w:hint="default" w:ascii="Times New Roman" w:hAnsi="Times New Roman" w:cs="Times New Roman"/>
                <w:color w:val="auto"/>
                <w:spacing w:val="0"/>
                <w:kern w:val="21"/>
                <w:position w:val="0"/>
                <w:sz w:val="24"/>
                <w:highlight w:val="none"/>
                <w:lang w:eastAsia="zh-CN"/>
              </w:rPr>
              <w:t>”</w:t>
            </w:r>
            <w:r>
              <w:rPr>
                <w:rFonts w:hint="default" w:ascii="Times New Roman" w:hAnsi="Times New Roman" w:eastAsia="宋体" w:cs="Times New Roman"/>
                <w:color w:val="auto"/>
                <w:spacing w:val="0"/>
                <w:kern w:val="21"/>
                <w:position w:val="0"/>
                <w:sz w:val="24"/>
                <w:highlight w:val="none"/>
              </w:rPr>
              <w:t>中备案。及时向当地环保部门申报危险废物种类、产生量、流向、处置等资料，办理临时申报登记手续。严格执行危险废物交换转移审批制度。所有危险废物交换转移向环保部门提出申请，经环保部门预审后报上级环保部门批准。危险废物交换转移前到当地环保部门网上申请联单。绝不擅自交换、向无危险废物经营许可证单位转移。</w:t>
            </w:r>
          </w:p>
          <w:p w14:paraId="3244AEFB">
            <w:pPr>
              <w:keepNext w:val="0"/>
              <w:keepLines w:val="0"/>
              <w:pageBreakBefore w:val="0"/>
              <w:widowControl w:val="0"/>
              <w:tabs>
                <w:tab w:val="left" w:pos="1291"/>
              </w:tabs>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kern w:val="21"/>
                <w:position w:val="0"/>
                <w:sz w:val="24"/>
                <w:highlight w:val="none"/>
              </w:rPr>
              <w:t>综上，本项目按照《危险废物贮存污染控制标准》（GB18597-2023）相关要求进行建设，危险废物委托有危废处置资质的单位处理，不混入生活垃圾或随意丢弃，项目运营期产生的危险废物妥善处理后对周边环境影响较小</w:t>
            </w:r>
            <w:r>
              <w:rPr>
                <w:rFonts w:hint="default" w:ascii="Times New Roman" w:hAnsi="Times New Roman" w:eastAsia="宋体" w:cs="Times New Roman"/>
                <w:color w:val="auto"/>
                <w:spacing w:val="0"/>
                <w:kern w:val="21"/>
                <w:position w:val="0"/>
                <w:sz w:val="24"/>
                <w:szCs w:val="22"/>
                <w:highlight w:val="none"/>
              </w:rPr>
              <w:t>。</w:t>
            </w:r>
          </w:p>
          <w:p w14:paraId="11996E6B">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（五）地下水</w:t>
            </w:r>
          </w:p>
          <w:p w14:paraId="7F3C65FE">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1、污染途径</w:t>
            </w:r>
          </w:p>
          <w:p w14:paraId="3CF373A0">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地下水污染途径主要为</w:t>
            </w:r>
            <w:r>
              <w:rPr>
                <w:rFonts w:hint="default" w:ascii="Times New Roman" w:hAnsi="Times New Roman" w:eastAsia="宋体" w:cs="Times New Roman"/>
                <w:color w:val="auto"/>
                <w:spacing w:val="0"/>
                <w:position w:val="0"/>
                <w:sz w:val="24"/>
                <w:szCs w:val="24"/>
                <w:highlight w:val="none"/>
              </w:rPr>
              <w:t>物料泄漏通过垂直渗透进入包气带，进入包气带的污染物在物理、化学和生物作用下经吸附、转化、迁移和分解后输入地下水，</w:t>
            </w:r>
            <w:r>
              <w:rPr>
                <w:rFonts w:hint="default" w:ascii="Times New Roman" w:hAnsi="Times New Roman" w:eastAsia="宋体" w:cs="Times New Roman"/>
                <w:color w:val="auto"/>
                <w:spacing w:val="0"/>
                <w:position w:val="0"/>
                <w:sz w:val="24"/>
                <w:szCs w:val="24"/>
                <w:highlight w:val="none"/>
                <w:lang w:eastAsia="zh-CN"/>
              </w:rPr>
              <w:t>本项目溶剂油采用防渗储罐，厂区分区防渗措施。</w:t>
            </w:r>
          </w:p>
          <w:p w14:paraId="4F24862F">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val="en-US" w:eastAsia="zh-CN"/>
              </w:rPr>
              <w:t>2、</w:t>
            </w:r>
            <w:r>
              <w:rPr>
                <w:rFonts w:hint="default" w:ascii="Times New Roman" w:hAnsi="Times New Roman" w:eastAsia="宋体" w:cs="Times New Roman"/>
                <w:color w:val="auto"/>
                <w:spacing w:val="0"/>
                <w:position w:val="0"/>
                <w:sz w:val="24"/>
                <w:szCs w:val="24"/>
                <w:highlight w:val="none"/>
              </w:rPr>
              <w:t>防渗分区</w:t>
            </w:r>
          </w:p>
          <w:p w14:paraId="7D101DB1">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根据《环境影响评价技术导则地下水环境》（HJ610-2016）防渗分区原则，将本项目</w:t>
            </w:r>
            <w:r>
              <w:rPr>
                <w:rFonts w:hint="default" w:ascii="Times New Roman" w:hAnsi="Times New Roman" w:cs="Times New Roman"/>
                <w:color w:val="auto"/>
                <w:spacing w:val="0"/>
                <w:position w:val="0"/>
                <w:sz w:val="24"/>
                <w:szCs w:val="24"/>
                <w:highlight w:val="none"/>
                <w:lang w:eastAsia="zh-CN"/>
              </w:rPr>
              <w:t>划分</w:t>
            </w:r>
            <w:r>
              <w:rPr>
                <w:rFonts w:hint="default" w:ascii="Times New Roman" w:hAnsi="Times New Roman" w:eastAsia="宋体" w:cs="Times New Roman"/>
                <w:color w:val="auto"/>
                <w:spacing w:val="0"/>
                <w:position w:val="0"/>
                <w:sz w:val="24"/>
                <w:szCs w:val="24"/>
                <w:highlight w:val="none"/>
              </w:rPr>
              <w:t>为重点防渗区、一般防渗区</w:t>
            </w:r>
            <w:r>
              <w:rPr>
                <w:rFonts w:hint="default" w:ascii="Times New Roman" w:hAnsi="Times New Roman" w:cs="Times New Roman"/>
                <w:color w:val="auto"/>
                <w:spacing w:val="0"/>
                <w:position w:val="0"/>
                <w:sz w:val="24"/>
                <w:szCs w:val="24"/>
                <w:highlight w:val="none"/>
                <w:lang w:val="en-US" w:eastAsia="zh-CN"/>
              </w:rPr>
              <w:t>和简单防渗区</w:t>
            </w:r>
            <w:r>
              <w:rPr>
                <w:rFonts w:hint="default" w:ascii="Times New Roman" w:hAnsi="Times New Roman" w:eastAsia="宋体" w:cs="Times New Roman"/>
                <w:color w:val="auto"/>
                <w:spacing w:val="0"/>
                <w:position w:val="0"/>
                <w:sz w:val="24"/>
                <w:szCs w:val="24"/>
                <w:highlight w:val="none"/>
              </w:rPr>
              <w:t>，划分区域如下：</w:t>
            </w:r>
          </w:p>
          <w:p w14:paraId="7BE8286D">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720" w:firstLineChars="3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重点防渗区：地下溶剂库、</w:t>
            </w:r>
            <w:r>
              <w:rPr>
                <w:rFonts w:hint="default" w:ascii="Times New Roman" w:hAnsi="Times New Roman" w:cs="Times New Roman"/>
                <w:color w:val="auto"/>
                <w:spacing w:val="0"/>
                <w:position w:val="0"/>
                <w:sz w:val="24"/>
                <w:szCs w:val="24"/>
                <w:highlight w:val="none"/>
                <w:lang w:val="en-US" w:eastAsia="zh-CN"/>
              </w:rPr>
              <w:t>储油</w:t>
            </w:r>
            <w:r>
              <w:rPr>
                <w:rFonts w:hint="default" w:ascii="Times New Roman" w:hAnsi="Times New Roman" w:eastAsia="宋体" w:cs="Times New Roman"/>
                <w:color w:val="auto"/>
                <w:spacing w:val="0"/>
                <w:position w:val="0"/>
                <w:sz w:val="24"/>
                <w:szCs w:val="24"/>
                <w:highlight w:val="none"/>
              </w:rPr>
              <w:t>罐区</w:t>
            </w:r>
            <w:r>
              <w:rPr>
                <w:rFonts w:hint="default"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污水处理站、危险废物贮存库。</w:t>
            </w:r>
            <w:r>
              <w:rPr>
                <w:rFonts w:hint="default" w:ascii="Times New Roman" w:hAnsi="Times New Roman" w:eastAsia="宋体" w:cs="Times New Roman"/>
                <w:color w:val="auto"/>
                <w:spacing w:val="0"/>
                <w:position w:val="0"/>
                <w:sz w:val="24"/>
                <w:szCs w:val="32"/>
                <w:highlight w:val="none"/>
              </w:rPr>
              <w:t>采用防渗水泥地面+2.0mm厚高密度聚乙烯进行防渗处理，达到等效黏土Mb≥6m，渗透系数K≤1×10</w:t>
            </w:r>
            <w:r>
              <w:rPr>
                <w:rFonts w:hint="default" w:ascii="Times New Roman" w:hAnsi="Times New Roman" w:eastAsia="宋体" w:cs="Times New Roman"/>
                <w:color w:val="auto"/>
                <w:spacing w:val="0"/>
                <w:position w:val="0"/>
                <w:sz w:val="24"/>
                <w:szCs w:val="32"/>
                <w:highlight w:val="none"/>
                <w:vertAlign w:val="superscript"/>
              </w:rPr>
              <w:t>-10</w:t>
            </w:r>
            <w:r>
              <w:rPr>
                <w:rFonts w:hint="default" w:ascii="Times New Roman" w:hAnsi="Times New Roman" w:eastAsia="宋体" w:cs="Times New Roman"/>
                <w:color w:val="auto"/>
                <w:spacing w:val="0"/>
                <w:position w:val="0"/>
                <w:sz w:val="24"/>
                <w:szCs w:val="32"/>
                <w:highlight w:val="none"/>
              </w:rPr>
              <w:t>cm/s，本项目溶剂储罐区和储油罐区设置围堰，围堰进行重点防渗，采用防渗水泥地面+2.0mm厚高密度聚乙烯进行防渗处理，达到等效黏土Mb≥6m，渗透系数K≤1×10</w:t>
            </w:r>
            <w:r>
              <w:rPr>
                <w:rFonts w:hint="default" w:ascii="Times New Roman" w:hAnsi="Times New Roman" w:eastAsia="宋体" w:cs="Times New Roman"/>
                <w:color w:val="auto"/>
                <w:spacing w:val="0"/>
                <w:position w:val="0"/>
                <w:sz w:val="24"/>
                <w:szCs w:val="32"/>
                <w:highlight w:val="none"/>
                <w:vertAlign w:val="superscript"/>
              </w:rPr>
              <w:t>-10</w:t>
            </w:r>
            <w:r>
              <w:rPr>
                <w:rFonts w:hint="default" w:ascii="Times New Roman" w:hAnsi="Times New Roman" w:eastAsia="宋体" w:cs="Times New Roman"/>
                <w:color w:val="auto"/>
                <w:spacing w:val="0"/>
                <w:position w:val="0"/>
                <w:sz w:val="24"/>
                <w:szCs w:val="32"/>
                <w:highlight w:val="none"/>
              </w:rPr>
              <w:t>cm/s；</w:t>
            </w:r>
          </w:p>
          <w:p w14:paraId="778E9A25">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一般防渗区：对预处理车间、浸出车间、精炼车间、包装车间进行一般防渗，采取粘土铺底，再上层铺水泥进行硬化，达到等效黏土Mb≥1.5m，K≤1.0×10</w:t>
            </w:r>
            <w:r>
              <w:rPr>
                <w:rFonts w:hint="default" w:ascii="Times New Roman" w:hAnsi="Times New Roman" w:eastAsia="宋体" w:cs="Times New Roman"/>
                <w:color w:val="auto"/>
                <w:spacing w:val="0"/>
                <w:position w:val="0"/>
                <w:sz w:val="24"/>
                <w:szCs w:val="24"/>
                <w:highlight w:val="none"/>
                <w:vertAlign w:val="superscript"/>
              </w:rPr>
              <w:t>-7</w:t>
            </w:r>
            <w:r>
              <w:rPr>
                <w:rFonts w:hint="default" w:ascii="Times New Roman" w:hAnsi="Times New Roman" w:eastAsia="宋体" w:cs="Times New Roman"/>
                <w:color w:val="auto"/>
                <w:spacing w:val="0"/>
                <w:position w:val="0"/>
                <w:sz w:val="24"/>
                <w:szCs w:val="24"/>
                <w:highlight w:val="none"/>
              </w:rPr>
              <w:t>cm/s。</w:t>
            </w:r>
          </w:p>
          <w:p w14:paraId="0D20C904">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cs="Times New Roman"/>
                <w:color w:val="auto"/>
                <w:spacing w:val="0"/>
                <w:position w:val="0"/>
                <w:sz w:val="24"/>
                <w:szCs w:val="24"/>
                <w:highlight w:val="none"/>
                <w:lang w:val="en-US" w:eastAsia="zh-CN"/>
              </w:rPr>
              <w:t>简单防渗区：除重点防渗区和一般防渗区外为简单防渗区，采取水泥地面硬化。</w:t>
            </w:r>
          </w:p>
          <w:p w14:paraId="178BF38D">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采取上述治理措施后，本项目防渗措施基本满足《环境影响评价技术导 则地下水环境》（HJ610-2016）中防渗技术要求，可从污染源头和途径上</w:t>
            </w:r>
            <w:r>
              <w:rPr>
                <w:rFonts w:hint="default" w:ascii="Times New Roman" w:hAnsi="Times New Roman" w:eastAsia="宋体" w:cs="Times New Roman"/>
                <w:color w:val="auto"/>
                <w:spacing w:val="0"/>
                <w:position w:val="0"/>
                <w:sz w:val="24"/>
                <w:szCs w:val="24"/>
                <w:highlight w:val="none"/>
                <w:lang w:eastAsia="zh-CN"/>
              </w:rPr>
              <w:t>避免</w:t>
            </w:r>
            <w:r>
              <w:rPr>
                <w:rFonts w:hint="default" w:ascii="Times New Roman" w:hAnsi="Times New Roman" w:eastAsia="宋体" w:cs="Times New Roman"/>
                <w:color w:val="auto"/>
                <w:spacing w:val="0"/>
                <w:position w:val="0"/>
                <w:sz w:val="24"/>
                <w:szCs w:val="24"/>
                <w:highlight w:val="none"/>
              </w:rPr>
              <w:t>废水或物料泄漏渗、漏入地下水，</w:t>
            </w:r>
            <w:r>
              <w:rPr>
                <w:rFonts w:hint="default" w:ascii="Times New Roman" w:hAnsi="Times New Roman" w:eastAsia="宋体" w:cs="Times New Roman"/>
                <w:color w:val="auto"/>
                <w:spacing w:val="0"/>
                <w:position w:val="0"/>
                <w:sz w:val="24"/>
                <w:szCs w:val="24"/>
                <w:highlight w:val="none"/>
                <w:lang w:eastAsia="zh-CN"/>
              </w:rPr>
              <w:t>正常情况下本项目不存在地下水污染途径，</w:t>
            </w:r>
            <w:r>
              <w:rPr>
                <w:rFonts w:hint="default" w:ascii="Times New Roman" w:hAnsi="Times New Roman" w:eastAsia="宋体" w:cs="Times New Roman"/>
                <w:color w:val="auto"/>
                <w:spacing w:val="0"/>
                <w:position w:val="0"/>
                <w:sz w:val="24"/>
                <w:szCs w:val="24"/>
                <w:highlight w:val="none"/>
              </w:rPr>
              <w:t>不会对地下水环境造成不利影响。</w:t>
            </w:r>
          </w:p>
          <w:p w14:paraId="19073247">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（六）土壤</w:t>
            </w:r>
          </w:p>
          <w:p w14:paraId="2F7028DE">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1、污染途径</w:t>
            </w:r>
          </w:p>
          <w:p w14:paraId="1D33D7D9">
            <w:pPr>
              <w:pStyle w:val="87"/>
              <w:keepNext w:val="0"/>
              <w:keepLines w:val="0"/>
              <w:pageBreakBefore w:val="0"/>
              <w:kinsoku/>
              <w:wordWrap/>
              <w:overflowPunct/>
              <w:topLinePunct w:val="0"/>
              <w:bidi w:val="0"/>
              <w:adjustRightInd w:val="0"/>
              <w:snapToGrid w:val="0"/>
              <w:spacing w:beforeAutospacing="0" w:afterAutospacing="0"/>
              <w:ind w:left="0" w:leftChars="0" w:right="0" w:rightChars="0" w:firstLine="420"/>
              <w:jc w:val="both"/>
              <w:rPr>
                <w:rFonts w:hint="default" w:ascii="Times New Roman" w:hAnsi="Times New Roman" w:eastAsia="宋体" w:cs="Times New Roman"/>
                <w:color w:val="auto"/>
                <w:spacing w:val="0"/>
                <w:position w:val="0"/>
                <w:sz w:val="24"/>
                <w:szCs w:val="24"/>
                <w:highlight w:val="none"/>
                <w:lang w:eastAsia="zh-CN"/>
              </w:rPr>
            </w:pPr>
            <w:r>
              <w:rPr>
                <w:rFonts w:hint="default" w:ascii="Times New Roman" w:hAnsi="Times New Roman" w:eastAsia="宋体" w:cs="Times New Roman"/>
                <w:color w:val="auto"/>
                <w:spacing w:val="0"/>
                <w:position w:val="0"/>
                <w:sz w:val="24"/>
                <w:szCs w:val="24"/>
                <w:highlight w:val="none"/>
              </w:rPr>
              <w:t>根据《关于印发农用地土壤污染状况详查点位布设技术规定的通知》（环办土壤函</w:t>
            </w:r>
            <w:r>
              <w:rPr>
                <w:rFonts w:hint="default" w:ascii="Times New Roman" w:hAnsi="Times New Roman" w:cs="Times New Roman"/>
                <w:color w:val="auto"/>
                <w:spacing w:val="0"/>
                <w:position w:val="0"/>
                <w:sz w:val="24"/>
                <w:szCs w:val="24"/>
                <w:highlight w:val="none"/>
                <w:lang w:eastAsia="zh-CN"/>
              </w:rPr>
              <w:t>〔2017〕1021号</w:t>
            </w:r>
            <w:r>
              <w:rPr>
                <w:rFonts w:hint="default" w:ascii="Times New Roman" w:hAnsi="Times New Roman" w:eastAsia="宋体" w:cs="Times New Roman"/>
                <w:color w:val="auto"/>
                <w:spacing w:val="0"/>
                <w:position w:val="0"/>
                <w:sz w:val="24"/>
                <w:szCs w:val="24"/>
                <w:highlight w:val="none"/>
              </w:rPr>
              <w:t>），其中对大气沉降影响范围确定规定如下∶</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大气沉降影响范围为废气排放源车间、作业区、库区、堆放场边界外一定距离的环形区域。需考虑大气沉降影响的行业包括08黑色金属矿采选业、09 有色金属矿采选业、25石油加工、炼焦和核燃料加工业、26化学原料和化学制品制造业、27医药制造业、31黑色金属冶炼和压延加工业、32有色金属冶炼和压延加工业、38电气机械和器材制造业（电池制造）、77生态保护和环境治理业（危废、医废处置）、78公共设施管理业（生活垃圾处置）</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。本项目不在《关于印发农用地土壤污染状况详查点位布设技术规定的通知》（环办土壤函</w:t>
            </w:r>
            <w:r>
              <w:rPr>
                <w:rFonts w:hint="default" w:ascii="Times New Roman" w:hAnsi="Times New Roman" w:cs="Times New Roman"/>
                <w:color w:val="auto"/>
                <w:spacing w:val="0"/>
                <w:position w:val="0"/>
                <w:sz w:val="24"/>
                <w:szCs w:val="24"/>
                <w:highlight w:val="none"/>
                <w:lang w:eastAsia="zh-CN"/>
              </w:rPr>
              <w:t>〔2017〕1021号</w:t>
            </w:r>
            <w:r>
              <w:rPr>
                <w:rFonts w:hint="default" w:ascii="Times New Roman" w:hAnsi="Times New Roman" w:eastAsia="宋体" w:cs="Times New Roman"/>
                <w:color w:val="auto"/>
                <w:spacing w:val="0"/>
                <w:position w:val="0"/>
                <w:sz w:val="24"/>
                <w:szCs w:val="24"/>
                <w:highlight w:val="none"/>
              </w:rPr>
              <w:t>）范围内。</w:t>
            </w:r>
            <w:r>
              <w:rPr>
                <w:rFonts w:hint="default" w:ascii="Times New Roman" w:hAnsi="Times New Roman" w:eastAsia="宋体" w:cs="Times New Roman"/>
                <w:color w:val="auto"/>
                <w:spacing w:val="0"/>
                <w:position w:val="0"/>
                <w:sz w:val="24"/>
                <w:szCs w:val="24"/>
                <w:highlight w:val="none"/>
                <w:lang w:val="en-US" w:eastAsia="zh-CN"/>
              </w:rPr>
              <w:t>因此本项目不需考虑“大气沉降”影响</w:t>
            </w:r>
            <w:r>
              <w:rPr>
                <w:rFonts w:hint="default" w:ascii="Times New Roman" w:hAnsi="Times New Roman" w:eastAsia="宋体" w:cs="Times New Roman"/>
                <w:color w:val="auto"/>
                <w:spacing w:val="0"/>
                <w:position w:val="0"/>
                <w:sz w:val="24"/>
                <w:szCs w:val="24"/>
                <w:highlight w:val="none"/>
              </w:rPr>
              <w:t>本项目</w:t>
            </w:r>
            <w:r>
              <w:rPr>
                <w:rFonts w:hint="default" w:ascii="Times New Roman" w:hAnsi="Times New Roman" w:eastAsia="宋体" w:cs="Times New Roman"/>
                <w:color w:val="auto"/>
                <w:spacing w:val="0"/>
                <w:position w:val="0"/>
                <w:sz w:val="24"/>
                <w:szCs w:val="24"/>
                <w:highlight w:val="none"/>
                <w:lang w:eastAsia="zh-CN"/>
              </w:rPr>
              <w:t>为阻断土壤污染途径采取如下措施：</w:t>
            </w:r>
          </w:p>
          <w:p w14:paraId="16289D38">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①溶剂库、罐区与污水处理站管道、设备、污水收</w:t>
            </w:r>
            <w:r>
              <w:rPr>
                <w:rFonts w:hint="default" w:ascii="Times New Roman" w:hAnsi="Times New Roman" w:cs="Times New Roman"/>
                <w:color w:val="auto"/>
                <w:spacing w:val="0"/>
                <w:position w:val="0"/>
                <w:sz w:val="24"/>
                <w:szCs w:val="24"/>
                <w:highlight w:val="none"/>
                <w:lang w:eastAsia="zh-CN"/>
              </w:rPr>
              <w:t>集设</w:t>
            </w:r>
            <w:r>
              <w:rPr>
                <w:rFonts w:hint="default" w:ascii="Times New Roman" w:hAnsi="Times New Roman" w:eastAsia="宋体" w:cs="Times New Roman"/>
                <w:color w:val="auto"/>
                <w:spacing w:val="0"/>
                <w:position w:val="0"/>
                <w:sz w:val="24"/>
                <w:szCs w:val="24"/>
                <w:highlight w:val="none"/>
              </w:rPr>
              <w:t>施均采取防腐、防渗漏措施，防止污染物</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跑、冒、滴、漏</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w:t>
            </w:r>
          </w:p>
          <w:p w14:paraId="7DE6F665">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②严格按照地下水分区防控要求落实各区域防渗措施。</w:t>
            </w:r>
          </w:p>
          <w:p w14:paraId="20616B18">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24"/>
                <w:highlight w:val="none"/>
              </w:rPr>
              <w:t>采取上述治理措施后，可从污染源头和途径上</w:t>
            </w:r>
            <w:r>
              <w:rPr>
                <w:rFonts w:hint="default" w:ascii="Times New Roman" w:hAnsi="Times New Roman" w:eastAsia="宋体" w:cs="Times New Roman"/>
                <w:color w:val="auto"/>
                <w:spacing w:val="0"/>
                <w:position w:val="0"/>
                <w:sz w:val="24"/>
                <w:szCs w:val="24"/>
                <w:highlight w:val="none"/>
                <w:lang w:eastAsia="zh-CN"/>
              </w:rPr>
              <w:t>避免</w:t>
            </w:r>
            <w:r>
              <w:rPr>
                <w:rFonts w:hint="default" w:ascii="Times New Roman" w:hAnsi="Times New Roman" w:eastAsia="宋体" w:cs="Times New Roman"/>
                <w:color w:val="auto"/>
                <w:spacing w:val="0"/>
                <w:position w:val="0"/>
                <w:sz w:val="24"/>
                <w:szCs w:val="24"/>
                <w:highlight w:val="none"/>
              </w:rPr>
              <w:t>废水或物料泄漏渗</w:t>
            </w:r>
            <w:r>
              <w:rPr>
                <w:rFonts w:hint="default" w:ascii="Times New Roman" w:hAnsi="Times New Roman" w:cs="Times New Roman"/>
                <w:color w:val="auto"/>
                <w:spacing w:val="0"/>
                <w:position w:val="0"/>
                <w:sz w:val="24"/>
                <w:szCs w:val="24"/>
                <w:highlight w:val="none"/>
                <w:lang w:eastAsia="zh-CN"/>
              </w:rPr>
              <w:t>入</w:t>
            </w:r>
            <w:r>
              <w:rPr>
                <w:rFonts w:hint="default" w:ascii="Times New Roman" w:hAnsi="Times New Roman" w:eastAsia="宋体" w:cs="Times New Roman"/>
                <w:color w:val="auto"/>
                <w:spacing w:val="0"/>
                <w:position w:val="0"/>
                <w:sz w:val="24"/>
                <w:szCs w:val="24"/>
                <w:highlight w:val="none"/>
                <w:lang w:eastAsia="zh-CN"/>
              </w:rPr>
              <w:t>土壤</w:t>
            </w:r>
            <w:r>
              <w:rPr>
                <w:rFonts w:hint="default" w:ascii="Times New Roman" w:hAnsi="Times New Roman" w:eastAsia="宋体" w:cs="Times New Roman"/>
                <w:color w:val="auto"/>
                <w:spacing w:val="0"/>
                <w:position w:val="0"/>
                <w:sz w:val="24"/>
                <w:szCs w:val="24"/>
                <w:highlight w:val="none"/>
              </w:rPr>
              <w:t>，</w:t>
            </w:r>
            <w:r>
              <w:rPr>
                <w:rFonts w:hint="default" w:ascii="Times New Roman" w:hAnsi="Times New Roman" w:eastAsia="宋体" w:cs="Times New Roman"/>
                <w:color w:val="auto"/>
                <w:spacing w:val="0"/>
                <w:position w:val="0"/>
                <w:sz w:val="24"/>
                <w:szCs w:val="24"/>
                <w:highlight w:val="none"/>
                <w:lang w:eastAsia="zh-CN"/>
              </w:rPr>
              <w:t>正常情况下本项目不存在土</w:t>
            </w:r>
            <w:r>
              <w:rPr>
                <w:rFonts w:hint="default" w:ascii="Times New Roman" w:hAnsi="Times New Roman" w:cs="Times New Roman"/>
                <w:color w:val="auto"/>
                <w:spacing w:val="0"/>
                <w:position w:val="0"/>
                <w:sz w:val="24"/>
                <w:szCs w:val="24"/>
                <w:highlight w:val="none"/>
                <w:lang w:eastAsia="zh-CN"/>
              </w:rPr>
              <w:t>壤污</w:t>
            </w:r>
            <w:r>
              <w:rPr>
                <w:rFonts w:hint="default" w:ascii="Times New Roman" w:hAnsi="Times New Roman" w:eastAsia="宋体" w:cs="Times New Roman"/>
                <w:color w:val="auto"/>
                <w:spacing w:val="0"/>
                <w:position w:val="0"/>
                <w:sz w:val="24"/>
                <w:szCs w:val="24"/>
                <w:highlight w:val="none"/>
                <w:lang w:eastAsia="zh-CN"/>
              </w:rPr>
              <w:t>染途径，</w:t>
            </w:r>
            <w:r>
              <w:rPr>
                <w:rFonts w:hint="default" w:ascii="Times New Roman" w:hAnsi="Times New Roman" w:eastAsia="宋体" w:cs="Times New Roman"/>
                <w:color w:val="auto"/>
                <w:spacing w:val="0"/>
                <w:position w:val="0"/>
                <w:sz w:val="24"/>
                <w:szCs w:val="24"/>
                <w:highlight w:val="none"/>
              </w:rPr>
              <w:t>不会对</w:t>
            </w:r>
            <w:r>
              <w:rPr>
                <w:rFonts w:hint="default" w:ascii="Times New Roman" w:hAnsi="Times New Roman" w:eastAsia="宋体" w:cs="Times New Roman"/>
                <w:color w:val="auto"/>
                <w:spacing w:val="0"/>
                <w:position w:val="0"/>
                <w:sz w:val="24"/>
                <w:szCs w:val="24"/>
                <w:highlight w:val="none"/>
                <w:lang w:eastAsia="zh-CN"/>
              </w:rPr>
              <w:t>土壤</w:t>
            </w:r>
            <w:r>
              <w:rPr>
                <w:rFonts w:hint="default" w:ascii="Times New Roman" w:hAnsi="Times New Roman" w:eastAsia="宋体" w:cs="Times New Roman"/>
                <w:color w:val="auto"/>
                <w:spacing w:val="0"/>
                <w:position w:val="0"/>
                <w:sz w:val="24"/>
                <w:szCs w:val="24"/>
                <w:highlight w:val="none"/>
              </w:rPr>
              <w:t>环境造成不利影响。</w:t>
            </w:r>
          </w:p>
          <w:p w14:paraId="533F2C34">
            <w:pPr>
              <w:keepNext w:val="0"/>
              <w:keepLines w:val="0"/>
              <w:pageBreakBefore w:val="0"/>
              <w:tabs>
                <w:tab w:val="left" w:pos="1291"/>
              </w:tabs>
              <w:kinsoku/>
              <w:wordWrap/>
              <w:overflowPunct/>
              <w:topLinePunct w:val="0"/>
              <w:bidi w:val="0"/>
              <w:adjustRightInd w:val="0"/>
              <w:snapToGrid w:val="0"/>
              <w:spacing w:beforeAutospacing="0" w:afterAutospacing="0" w:line="520" w:lineRule="exact"/>
              <w:ind w:left="0" w:leftChars="0" w:right="0" w:rightChars="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（七）风险影响分析</w:t>
            </w:r>
          </w:p>
          <w:p w14:paraId="63E550F2">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见环境风险专项评价。</w:t>
            </w:r>
          </w:p>
          <w:p w14:paraId="7B8BD247">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jc w:val="both"/>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（八）环保投资</w:t>
            </w:r>
          </w:p>
          <w:p w14:paraId="45346C13">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420"/>
              <w:jc w:val="both"/>
              <w:rPr>
                <w:rFonts w:hint="default" w:ascii="Times New Roman" w:hAnsi="Times New Roman" w:eastAsia="宋体" w:cs="Times New Roman"/>
                <w:color w:val="auto"/>
                <w:spacing w:val="0"/>
                <w:position w:val="0"/>
                <w:sz w:val="24"/>
                <w:szCs w:val="24"/>
                <w:highlight w:val="none"/>
                <w:lang w:val="zh-CN"/>
              </w:rPr>
            </w:pPr>
            <w:r>
              <w:rPr>
                <w:rFonts w:hint="default" w:ascii="Times New Roman" w:hAnsi="Times New Roman" w:eastAsia="宋体" w:cs="Times New Roman"/>
                <w:color w:val="auto"/>
                <w:spacing w:val="0"/>
                <w:position w:val="0"/>
                <w:sz w:val="24"/>
                <w:szCs w:val="24"/>
                <w:highlight w:val="none"/>
              </w:rPr>
              <w:t>项目总投资</w:t>
            </w:r>
            <w:r>
              <w:rPr>
                <w:rFonts w:hint="default" w:ascii="Times New Roman" w:hAnsi="Times New Roman" w:cs="Times New Roman"/>
                <w:color w:val="auto"/>
                <w:spacing w:val="0"/>
                <w:position w:val="0"/>
                <w:sz w:val="24"/>
                <w:szCs w:val="24"/>
                <w:highlight w:val="none"/>
                <w:lang w:val="en-US" w:eastAsia="zh-CN"/>
              </w:rPr>
              <w:t>10</w:t>
            </w:r>
            <w:r>
              <w:rPr>
                <w:rFonts w:hint="default" w:ascii="Times New Roman" w:hAnsi="Times New Roman" w:eastAsia="宋体" w:cs="Times New Roman"/>
                <w:color w:val="auto"/>
                <w:spacing w:val="0"/>
                <w:position w:val="0"/>
                <w:sz w:val="24"/>
                <w:szCs w:val="24"/>
                <w:highlight w:val="none"/>
              </w:rPr>
              <w:t>00万元，其中环保投资</w:t>
            </w:r>
            <w:r>
              <w:rPr>
                <w:rFonts w:hint="default" w:ascii="Times New Roman" w:hAnsi="Times New Roman" w:cs="Times New Roman"/>
                <w:color w:val="auto"/>
                <w:spacing w:val="0"/>
                <w:position w:val="0"/>
                <w:sz w:val="24"/>
                <w:szCs w:val="24"/>
                <w:highlight w:val="none"/>
                <w:lang w:val="en-US" w:eastAsia="zh-CN"/>
              </w:rPr>
              <w:t>126</w:t>
            </w:r>
            <w:r>
              <w:rPr>
                <w:rFonts w:hint="default" w:ascii="Times New Roman" w:hAnsi="Times New Roman" w:eastAsia="宋体" w:cs="Times New Roman"/>
                <w:color w:val="auto"/>
                <w:spacing w:val="0"/>
                <w:position w:val="0"/>
                <w:sz w:val="24"/>
                <w:szCs w:val="24"/>
                <w:highlight w:val="none"/>
              </w:rPr>
              <w:t>万元，占总投资约</w:t>
            </w:r>
            <w:r>
              <w:rPr>
                <w:rFonts w:hint="default" w:ascii="Times New Roman" w:hAnsi="Times New Roman" w:cs="Times New Roman"/>
                <w:color w:val="auto"/>
                <w:spacing w:val="0"/>
                <w:position w:val="0"/>
                <w:sz w:val="24"/>
                <w:szCs w:val="24"/>
                <w:highlight w:val="none"/>
                <w:lang w:val="en-US" w:eastAsia="zh-CN"/>
              </w:rPr>
              <w:t>12.6</w:t>
            </w:r>
            <w:r>
              <w:rPr>
                <w:rFonts w:hint="default" w:ascii="Times New Roman" w:hAnsi="Times New Roman" w:eastAsia="宋体" w:cs="Times New Roman"/>
                <w:color w:val="auto"/>
                <w:spacing w:val="0"/>
                <w:position w:val="0"/>
                <w:sz w:val="24"/>
                <w:szCs w:val="24"/>
                <w:highlight w:val="none"/>
              </w:rPr>
              <w:t>%，主要环保投资明细见下表。</w:t>
            </w:r>
          </w:p>
          <w:p w14:paraId="03BC6896">
            <w:pPr>
              <w:pStyle w:val="83"/>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表4-</w:t>
            </w:r>
            <w:r>
              <w:rPr>
                <w:rFonts w:hint="default" w:ascii="Times New Roman" w:hAnsi="Times New Roman" w:eastAsia="宋体" w:cs="Times New Roman"/>
                <w:color w:val="auto"/>
                <w:spacing w:val="0"/>
                <w:position w:val="0"/>
                <w:sz w:val="24"/>
                <w:szCs w:val="32"/>
                <w:highlight w:val="none"/>
                <w:lang w:val="en-US" w:eastAsia="zh-CN"/>
              </w:rPr>
              <w:t>21</w:t>
            </w:r>
            <w:r>
              <w:rPr>
                <w:rFonts w:hint="default" w:ascii="Times New Roman" w:hAnsi="Times New Roman" w:eastAsia="宋体" w:cs="Times New Roman"/>
                <w:color w:val="auto"/>
                <w:spacing w:val="0"/>
                <w:position w:val="0"/>
                <w:sz w:val="24"/>
                <w:szCs w:val="32"/>
                <w:highlight w:val="none"/>
              </w:rPr>
              <w:t xml:space="preserve"> 运营期环保投资</w:t>
            </w:r>
            <w:r>
              <w:rPr>
                <w:rFonts w:hint="default" w:ascii="Times New Roman" w:hAnsi="Times New Roman" w:eastAsia="宋体" w:cs="Times New Roman"/>
                <w:color w:val="auto"/>
                <w:spacing w:val="0"/>
                <w:position w:val="0"/>
                <w:sz w:val="24"/>
                <w:szCs w:val="32"/>
                <w:highlight w:val="none"/>
                <w:lang w:val="en-US" w:eastAsia="zh-CN"/>
              </w:rPr>
              <w:t>一览</w:t>
            </w:r>
            <w:r>
              <w:rPr>
                <w:rFonts w:hint="default" w:ascii="Times New Roman" w:hAnsi="Times New Roman" w:eastAsia="宋体" w:cs="Times New Roman"/>
                <w:color w:val="auto"/>
                <w:spacing w:val="0"/>
                <w:position w:val="0"/>
                <w:sz w:val="24"/>
                <w:szCs w:val="32"/>
                <w:highlight w:val="none"/>
              </w:rPr>
              <w:t>表</w:t>
            </w:r>
          </w:p>
          <w:tbl>
            <w:tblPr>
              <w:tblStyle w:val="29"/>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Layout w:type="fixed"/>
              <w:tblCellMar>
                <w:top w:w="0" w:type="dxa"/>
                <w:left w:w="0" w:type="dxa"/>
                <w:bottom w:w="0" w:type="dxa"/>
                <w:right w:w="0" w:type="dxa"/>
              </w:tblCellMar>
            </w:tblPr>
            <w:tblGrid>
              <w:gridCol w:w="809"/>
              <w:gridCol w:w="998"/>
              <w:gridCol w:w="5280"/>
              <w:gridCol w:w="1257"/>
            </w:tblGrid>
            <w:tr w14:paraId="4B68818C">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cantSplit/>
                <w:trHeight w:val="23" w:hRule="atLeast"/>
                <w:tblHeader/>
                <w:jc w:val="center"/>
              </w:trPr>
              <w:tc>
                <w:tcPr>
                  <w:tcW w:w="484" w:type="pct"/>
                  <w:noWrap w:val="0"/>
                  <w:tcMar>
                    <w:top w:w="15" w:type="dxa"/>
                    <w:left w:w="15" w:type="dxa"/>
                    <w:right w:w="15" w:type="dxa"/>
                  </w:tcMar>
                  <w:vAlign w:val="center"/>
                </w:tcPr>
                <w:p w14:paraId="1FEACE43">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分类</w:t>
                  </w:r>
                </w:p>
              </w:tc>
              <w:tc>
                <w:tcPr>
                  <w:tcW w:w="598" w:type="pct"/>
                  <w:noWrap w:val="0"/>
                  <w:tcMar>
                    <w:top w:w="15" w:type="dxa"/>
                    <w:left w:w="15" w:type="dxa"/>
                    <w:right w:w="15" w:type="dxa"/>
                  </w:tcMar>
                  <w:vAlign w:val="center"/>
                </w:tcPr>
                <w:p w14:paraId="49C791E5">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环保项目</w:t>
                  </w:r>
                </w:p>
              </w:tc>
              <w:tc>
                <w:tcPr>
                  <w:tcW w:w="3163" w:type="pct"/>
                  <w:noWrap w:val="0"/>
                  <w:tcMar>
                    <w:top w:w="15" w:type="dxa"/>
                    <w:left w:w="15" w:type="dxa"/>
                    <w:right w:w="15" w:type="dxa"/>
                  </w:tcMar>
                  <w:vAlign w:val="center"/>
                </w:tcPr>
                <w:p w14:paraId="20A08FE5">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治理措施</w:t>
                  </w:r>
                </w:p>
              </w:tc>
              <w:tc>
                <w:tcPr>
                  <w:tcW w:w="753" w:type="pct"/>
                  <w:noWrap w:val="0"/>
                  <w:tcMar>
                    <w:top w:w="15" w:type="dxa"/>
                    <w:left w:w="15" w:type="dxa"/>
                    <w:right w:w="15" w:type="dxa"/>
                  </w:tcMar>
                  <w:vAlign w:val="center"/>
                </w:tcPr>
                <w:p w14:paraId="5C4A1A66">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投资（万元）</w:t>
                  </w:r>
                </w:p>
              </w:tc>
            </w:tr>
            <w:tr w14:paraId="75319671">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cantSplit/>
                <w:trHeight w:val="23" w:hRule="atLeast"/>
                <w:jc w:val="center"/>
              </w:trPr>
              <w:tc>
                <w:tcPr>
                  <w:tcW w:w="484" w:type="pct"/>
                  <w:vMerge w:val="restart"/>
                  <w:noWrap w:val="0"/>
                  <w:tcMar>
                    <w:top w:w="15" w:type="dxa"/>
                    <w:left w:w="15" w:type="dxa"/>
                    <w:right w:w="15" w:type="dxa"/>
                  </w:tcMar>
                  <w:vAlign w:val="center"/>
                </w:tcPr>
                <w:p w14:paraId="4608B2BE">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营运期</w:t>
                  </w:r>
                </w:p>
              </w:tc>
              <w:tc>
                <w:tcPr>
                  <w:tcW w:w="598" w:type="pct"/>
                  <w:vMerge w:val="restart"/>
                  <w:noWrap w:val="0"/>
                  <w:tcMar>
                    <w:top w:w="15" w:type="dxa"/>
                    <w:left w:w="15" w:type="dxa"/>
                    <w:right w:w="15" w:type="dxa"/>
                  </w:tcMar>
                  <w:vAlign w:val="center"/>
                </w:tcPr>
                <w:p w14:paraId="5B7B5B41">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废气</w:t>
                  </w:r>
                </w:p>
              </w:tc>
              <w:tc>
                <w:tcPr>
                  <w:tcW w:w="3163" w:type="pct"/>
                  <w:noWrap w:val="0"/>
                  <w:tcMar>
                    <w:top w:w="15" w:type="dxa"/>
                    <w:left w:w="15" w:type="dxa"/>
                    <w:right w:w="15" w:type="dxa"/>
                  </w:tcMar>
                  <w:vAlign w:val="center"/>
                </w:tcPr>
                <w:p w14:paraId="659EDAC1">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预处理车间集气</w:t>
                  </w:r>
                  <w:r>
                    <w:rPr>
                      <w:rFonts w:hint="default" w:ascii="Times New Roman" w:hAnsi="Times New Roman" w:cs="Times New Roman"/>
                      <w:color w:val="auto"/>
                      <w:spacing w:val="0"/>
                      <w:position w:val="0"/>
                      <w:sz w:val="21"/>
                      <w:szCs w:val="21"/>
                      <w:highlight w:val="none"/>
                      <w:lang w:val="en-US" w:eastAsia="zh-CN"/>
                    </w:rPr>
                    <w:t>装置</w:t>
                  </w:r>
                  <w:r>
                    <w:rPr>
                      <w:rFonts w:hint="default" w:ascii="Times New Roman" w:hAnsi="Times New Roman" w:eastAsia="宋体" w:cs="Times New Roman"/>
                      <w:color w:val="auto"/>
                      <w:spacing w:val="0"/>
                      <w:position w:val="0"/>
                      <w:sz w:val="21"/>
                      <w:szCs w:val="21"/>
                      <w:highlight w:val="none"/>
                    </w:rPr>
                    <w:t>+一套布袋除尘器处理后+15m高排气筒（DA001）</w:t>
                  </w:r>
                </w:p>
              </w:tc>
              <w:tc>
                <w:tcPr>
                  <w:tcW w:w="753" w:type="pct"/>
                  <w:noWrap w:val="0"/>
                  <w:tcMar>
                    <w:top w:w="15" w:type="dxa"/>
                    <w:left w:w="15" w:type="dxa"/>
                    <w:right w:w="15" w:type="dxa"/>
                  </w:tcMar>
                  <w:vAlign w:val="center"/>
                </w:tcPr>
                <w:p w14:paraId="324D4949">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3</w:t>
                  </w:r>
                </w:p>
              </w:tc>
            </w:tr>
            <w:tr w14:paraId="1571CDD9">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cantSplit/>
                <w:trHeight w:val="23" w:hRule="atLeast"/>
                <w:jc w:val="center"/>
              </w:trPr>
              <w:tc>
                <w:tcPr>
                  <w:tcW w:w="484" w:type="pct"/>
                  <w:vMerge w:val="continue"/>
                  <w:noWrap w:val="0"/>
                  <w:tcMar>
                    <w:top w:w="15" w:type="dxa"/>
                    <w:left w:w="15" w:type="dxa"/>
                    <w:right w:w="15" w:type="dxa"/>
                  </w:tcMar>
                  <w:vAlign w:val="center"/>
                </w:tcPr>
                <w:p w14:paraId="473D7CF0">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98" w:type="pct"/>
                  <w:vMerge w:val="continue"/>
                  <w:noWrap w:val="0"/>
                  <w:tcMar>
                    <w:top w:w="15" w:type="dxa"/>
                    <w:left w:w="15" w:type="dxa"/>
                    <w:right w:w="15" w:type="dxa"/>
                  </w:tcMar>
                  <w:vAlign w:val="center"/>
                </w:tcPr>
                <w:p w14:paraId="3FC307F9">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163" w:type="pct"/>
                  <w:noWrap w:val="0"/>
                  <w:tcMar>
                    <w:top w:w="15" w:type="dxa"/>
                    <w:left w:w="15" w:type="dxa"/>
                    <w:right w:w="15" w:type="dxa"/>
                  </w:tcMar>
                  <w:vAlign w:val="center"/>
                </w:tcPr>
                <w:p w14:paraId="3B155FD0">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浸出车间多级冷凝+石蜡吸收工艺+15m高排气筒排放（DA002）</w:t>
                  </w:r>
                </w:p>
              </w:tc>
              <w:tc>
                <w:tcPr>
                  <w:tcW w:w="753" w:type="pct"/>
                  <w:noWrap w:val="0"/>
                  <w:tcMar>
                    <w:top w:w="15" w:type="dxa"/>
                    <w:left w:w="15" w:type="dxa"/>
                    <w:right w:w="15" w:type="dxa"/>
                  </w:tcMar>
                  <w:vAlign w:val="center"/>
                </w:tcPr>
                <w:p w14:paraId="364B6B16">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15</w:t>
                  </w:r>
                </w:p>
              </w:tc>
            </w:tr>
            <w:tr w14:paraId="2143FEC2">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cantSplit/>
                <w:trHeight w:val="23" w:hRule="atLeast"/>
                <w:jc w:val="center"/>
              </w:trPr>
              <w:tc>
                <w:tcPr>
                  <w:tcW w:w="484" w:type="pct"/>
                  <w:vMerge w:val="continue"/>
                  <w:noWrap w:val="0"/>
                  <w:tcMar>
                    <w:top w:w="15" w:type="dxa"/>
                    <w:left w:w="15" w:type="dxa"/>
                    <w:right w:w="15" w:type="dxa"/>
                  </w:tcMar>
                  <w:vAlign w:val="center"/>
                </w:tcPr>
                <w:p w14:paraId="430C2F24">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98" w:type="pct"/>
                  <w:vMerge w:val="continue"/>
                  <w:noWrap w:val="0"/>
                  <w:tcMar>
                    <w:top w:w="15" w:type="dxa"/>
                    <w:left w:w="15" w:type="dxa"/>
                    <w:right w:w="15" w:type="dxa"/>
                  </w:tcMar>
                  <w:vAlign w:val="center"/>
                </w:tcPr>
                <w:p w14:paraId="7296B83F">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163" w:type="pct"/>
                  <w:noWrap w:val="0"/>
                  <w:tcMar>
                    <w:top w:w="15" w:type="dxa"/>
                    <w:left w:w="15" w:type="dxa"/>
                    <w:right w:w="15" w:type="dxa"/>
                  </w:tcMar>
                  <w:vAlign w:val="center"/>
                </w:tcPr>
                <w:p w14:paraId="1B16183A">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精炼车间</w:t>
                  </w:r>
                  <w:r>
                    <w:rPr>
                      <w:rFonts w:hint="default" w:ascii="Times New Roman" w:hAnsi="Times New Roman" w:eastAsia="宋体" w:cs="Times New Roman"/>
                      <w:color w:val="auto"/>
                      <w:spacing w:val="0"/>
                      <w:position w:val="0"/>
                      <w:sz w:val="21"/>
                      <w:szCs w:val="21"/>
                      <w:highlight w:val="none"/>
                    </w:rPr>
                    <w:t>石蜡吸收+</w:t>
                  </w:r>
                  <w:r>
                    <w:rPr>
                      <w:rFonts w:hint="default" w:ascii="Times New Roman" w:hAnsi="Times New Roman" w:eastAsia="宋体" w:cs="Times New Roman"/>
                      <w:color w:val="auto"/>
                      <w:spacing w:val="0"/>
                      <w:position w:val="0"/>
                      <w:sz w:val="21"/>
                      <w:szCs w:val="21"/>
                      <w:highlight w:val="none"/>
                      <w:lang w:val="en-US" w:eastAsia="zh-CN"/>
                    </w:rPr>
                    <w:t>活性炭吸附</w:t>
                  </w:r>
                  <w:r>
                    <w:rPr>
                      <w:rFonts w:hint="default" w:ascii="Times New Roman" w:hAnsi="Times New Roman" w:eastAsia="宋体" w:cs="Times New Roman"/>
                      <w:color w:val="auto"/>
                      <w:spacing w:val="0"/>
                      <w:position w:val="0"/>
                      <w:sz w:val="21"/>
                      <w:szCs w:val="21"/>
                      <w:highlight w:val="none"/>
                    </w:rPr>
                    <w:t>工艺</w:t>
                  </w:r>
                  <w:r>
                    <w:rPr>
                      <w:rFonts w:hint="default" w:ascii="Times New Roman" w:hAnsi="Times New Roman" w:eastAsia="宋体" w:cs="Times New Roman"/>
                      <w:color w:val="auto"/>
                      <w:spacing w:val="0"/>
                      <w:position w:val="0"/>
                      <w:sz w:val="21"/>
                      <w:szCs w:val="21"/>
                      <w:highlight w:val="none"/>
                      <w:lang w:val="en-US" w:eastAsia="zh-CN"/>
                    </w:rPr>
                    <w:t>+</w:t>
                  </w:r>
                  <w:r>
                    <w:rPr>
                      <w:rFonts w:hint="default" w:ascii="Times New Roman" w:hAnsi="Times New Roman" w:eastAsia="宋体" w:cs="Times New Roman"/>
                      <w:color w:val="auto"/>
                      <w:spacing w:val="0"/>
                      <w:position w:val="0"/>
                      <w:sz w:val="21"/>
                      <w:szCs w:val="21"/>
                      <w:highlight w:val="none"/>
                    </w:rPr>
                    <w:t>15m高排气筒排放（DA00</w:t>
                  </w:r>
                  <w:r>
                    <w:rPr>
                      <w:rFonts w:hint="default" w:ascii="Times New Roman" w:hAnsi="Times New Roman" w:eastAsia="宋体" w:cs="Times New Roman"/>
                      <w:color w:val="auto"/>
                      <w:spacing w:val="0"/>
                      <w:position w:val="0"/>
                      <w:sz w:val="21"/>
                      <w:szCs w:val="21"/>
                      <w:highlight w:val="none"/>
                      <w:lang w:val="en-US" w:eastAsia="zh-CN"/>
                    </w:rPr>
                    <w:t>3</w:t>
                  </w:r>
                  <w:r>
                    <w:rPr>
                      <w:rFonts w:hint="default" w:ascii="Times New Roman" w:hAnsi="Times New Roman" w:eastAsia="宋体" w:cs="Times New Roman"/>
                      <w:color w:val="auto"/>
                      <w:spacing w:val="0"/>
                      <w:position w:val="0"/>
                      <w:sz w:val="21"/>
                      <w:szCs w:val="21"/>
                      <w:highlight w:val="none"/>
                    </w:rPr>
                    <w:t>）</w:t>
                  </w:r>
                </w:p>
              </w:tc>
              <w:tc>
                <w:tcPr>
                  <w:tcW w:w="753" w:type="pct"/>
                  <w:noWrap w:val="0"/>
                  <w:tcMar>
                    <w:top w:w="15" w:type="dxa"/>
                    <w:left w:w="15" w:type="dxa"/>
                    <w:right w:w="15" w:type="dxa"/>
                  </w:tcMar>
                  <w:vAlign w:val="center"/>
                </w:tcPr>
                <w:p w14:paraId="4F78EB26">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15</w:t>
                  </w:r>
                </w:p>
              </w:tc>
            </w:tr>
            <w:tr w14:paraId="4CFA8463">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cantSplit/>
                <w:trHeight w:val="23" w:hRule="atLeast"/>
                <w:jc w:val="center"/>
              </w:trPr>
              <w:tc>
                <w:tcPr>
                  <w:tcW w:w="484" w:type="pct"/>
                  <w:vMerge w:val="continue"/>
                  <w:noWrap w:val="0"/>
                  <w:tcMar>
                    <w:top w:w="15" w:type="dxa"/>
                    <w:left w:w="15" w:type="dxa"/>
                    <w:right w:w="15" w:type="dxa"/>
                  </w:tcMar>
                  <w:vAlign w:val="center"/>
                </w:tcPr>
                <w:p w14:paraId="1E12177B">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98" w:type="pct"/>
                  <w:vMerge w:val="continue"/>
                  <w:noWrap w:val="0"/>
                  <w:tcMar>
                    <w:top w:w="15" w:type="dxa"/>
                    <w:left w:w="15" w:type="dxa"/>
                    <w:right w:w="15" w:type="dxa"/>
                  </w:tcMar>
                  <w:vAlign w:val="center"/>
                </w:tcPr>
                <w:p w14:paraId="1103B344">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163" w:type="pct"/>
                  <w:noWrap w:val="0"/>
                  <w:tcMar>
                    <w:top w:w="15" w:type="dxa"/>
                    <w:left w:w="15" w:type="dxa"/>
                    <w:right w:w="15" w:type="dxa"/>
                  </w:tcMar>
                  <w:vAlign w:val="center"/>
                </w:tcPr>
                <w:p w14:paraId="20764080">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Cs/>
                      <w:color w:val="auto"/>
                      <w:spacing w:val="0"/>
                      <w:position w:val="0"/>
                      <w:sz w:val="21"/>
                      <w:szCs w:val="21"/>
                      <w:highlight w:val="none"/>
                    </w:rPr>
                    <w:t>锅炉烟气经</w:t>
                  </w:r>
                  <w:r>
                    <w:rPr>
                      <w:rFonts w:hint="default" w:ascii="Times New Roman" w:hAnsi="Times New Roman" w:eastAsia="宋体" w:cs="Times New Roman"/>
                      <w:bCs/>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lang w:eastAsia="zh-CN"/>
                    </w:rPr>
                    <w:t>多管旋风</w:t>
                  </w:r>
                  <w:r>
                    <w:rPr>
                      <w:rFonts w:hint="default" w:ascii="Times New Roman" w:hAnsi="Times New Roman" w:eastAsia="宋体" w:cs="Times New Roman"/>
                      <w:color w:val="auto"/>
                      <w:spacing w:val="0"/>
                      <w:position w:val="0"/>
                      <w:sz w:val="21"/>
                      <w:szCs w:val="21"/>
                      <w:highlight w:val="none"/>
                    </w:rPr>
                    <w:t>除尘器+布袋除尘器</w:t>
                  </w:r>
                  <w:r>
                    <w:rPr>
                      <w:rFonts w:hint="default" w:ascii="Times New Roman" w:hAnsi="Times New Roman" w:eastAsia="宋体" w:cs="Times New Roman"/>
                      <w:bCs/>
                      <w:color w:val="auto"/>
                      <w:spacing w:val="0"/>
                      <w:position w:val="0"/>
                      <w:sz w:val="21"/>
                      <w:szCs w:val="21"/>
                      <w:highlight w:val="none"/>
                      <w:lang w:eastAsia="zh-CN"/>
                    </w:rPr>
                    <w:t>”</w:t>
                  </w:r>
                  <w:r>
                    <w:rPr>
                      <w:rFonts w:hint="default" w:ascii="Times New Roman" w:hAnsi="Times New Roman" w:eastAsia="宋体" w:cs="Times New Roman"/>
                      <w:bCs/>
                      <w:color w:val="auto"/>
                      <w:spacing w:val="0"/>
                      <w:position w:val="0"/>
                      <w:sz w:val="21"/>
                      <w:szCs w:val="21"/>
                      <w:highlight w:val="none"/>
                    </w:rPr>
                    <w:t>处理后经40m高烟囱排放</w:t>
                  </w:r>
                  <w:r>
                    <w:rPr>
                      <w:rFonts w:hint="default" w:ascii="Times New Roman" w:hAnsi="Times New Roman" w:eastAsia="宋体" w:cs="Times New Roman"/>
                      <w:color w:val="auto"/>
                      <w:spacing w:val="0"/>
                      <w:position w:val="0"/>
                      <w:sz w:val="21"/>
                      <w:szCs w:val="21"/>
                      <w:highlight w:val="none"/>
                    </w:rPr>
                    <w:t>（DA00</w:t>
                  </w:r>
                  <w:r>
                    <w:rPr>
                      <w:rFonts w:hint="default" w:ascii="Times New Roman" w:hAnsi="Times New Roman" w:eastAsia="宋体" w:cs="Times New Roman"/>
                      <w:color w:val="auto"/>
                      <w:spacing w:val="0"/>
                      <w:position w:val="0"/>
                      <w:sz w:val="21"/>
                      <w:szCs w:val="21"/>
                      <w:highlight w:val="none"/>
                      <w:lang w:val="en-US" w:eastAsia="zh-CN"/>
                    </w:rPr>
                    <w:t>4</w:t>
                  </w:r>
                  <w:r>
                    <w:rPr>
                      <w:rFonts w:hint="default" w:ascii="Times New Roman" w:hAnsi="Times New Roman" w:eastAsia="宋体" w:cs="Times New Roman"/>
                      <w:color w:val="auto"/>
                      <w:spacing w:val="0"/>
                      <w:position w:val="0"/>
                      <w:sz w:val="21"/>
                      <w:szCs w:val="21"/>
                      <w:highlight w:val="none"/>
                    </w:rPr>
                    <w:t>）</w:t>
                  </w:r>
                </w:p>
              </w:tc>
              <w:tc>
                <w:tcPr>
                  <w:tcW w:w="753" w:type="pct"/>
                  <w:noWrap w:val="0"/>
                  <w:tcMar>
                    <w:top w:w="15" w:type="dxa"/>
                    <w:left w:w="15" w:type="dxa"/>
                    <w:right w:w="15" w:type="dxa"/>
                  </w:tcMar>
                  <w:vAlign w:val="center"/>
                </w:tcPr>
                <w:p w14:paraId="1FD65B9B">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30</w:t>
                  </w:r>
                </w:p>
              </w:tc>
            </w:tr>
            <w:tr w14:paraId="12FA4EB2">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cantSplit/>
                <w:trHeight w:val="23" w:hRule="atLeast"/>
                <w:jc w:val="center"/>
              </w:trPr>
              <w:tc>
                <w:tcPr>
                  <w:tcW w:w="484" w:type="pct"/>
                  <w:vMerge w:val="continue"/>
                  <w:noWrap w:val="0"/>
                  <w:tcMar>
                    <w:top w:w="15" w:type="dxa"/>
                    <w:left w:w="15" w:type="dxa"/>
                    <w:right w:w="15" w:type="dxa"/>
                  </w:tcMar>
                  <w:vAlign w:val="center"/>
                </w:tcPr>
                <w:p w14:paraId="68A049D4">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98" w:type="pct"/>
                  <w:vMerge w:val="continue"/>
                  <w:noWrap w:val="0"/>
                  <w:tcMar>
                    <w:top w:w="15" w:type="dxa"/>
                    <w:left w:w="15" w:type="dxa"/>
                    <w:right w:w="15" w:type="dxa"/>
                  </w:tcMar>
                  <w:vAlign w:val="center"/>
                </w:tcPr>
                <w:p w14:paraId="3DABC2C3">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163" w:type="pct"/>
                  <w:noWrap w:val="0"/>
                  <w:tcMar>
                    <w:top w:w="15" w:type="dxa"/>
                    <w:left w:w="15" w:type="dxa"/>
                    <w:right w:w="15" w:type="dxa"/>
                  </w:tcMar>
                  <w:vAlign w:val="center"/>
                </w:tcPr>
                <w:p w14:paraId="5FFEC5A5">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bCs/>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污水处理站活性炭吸附装置+15m高排气筒排放</w:t>
                  </w:r>
                </w:p>
              </w:tc>
              <w:tc>
                <w:tcPr>
                  <w:tcW w:w="753" w:type="pct"/>
                  <w:noWrap w:val="0"/>
                  <w:tcMar>
                    <w:top w:w="15" w:type="dxa"/>
                    <w:left w:w="15" w:type="dxa"/>
                    <w:right w:w="15" w:type="dxa"/>
                  </w:tcMar>
                  <w:vAlign w:val="center"/>
                </w:tcPr>
                <w:p w14:paraId="75331DB1">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8</w:t>
                  </w:r>
                </w:p>
              </w:tc>
            </w:tr>
            <w:tr w14:paraId="0ED7EB9A">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cantSplit/>
                <w:trHeight w:val="23" w:hRule="atLeast"/>
                <w:jc w:val="center"/>
              </w:trPr>
              <w:tc>
                <w:tcPr>
                  <w:tcW w:w="484" w:type="pct"/>
                  <w:vMerge w:val="continue"/>
                  <w:noWrap w:val="0"/>
                  <w:tcMar>
                    <w:top w:w="15" w:type="dxa"/>
                    <w:left w:w="15" w:type="dxa"/>
                    <w:right w:w="15" w:type="dxa"/>
                  </w:tcMar>
                  <w:vAlign w:val="center"/>
                </w:tcPr>
                <w:p w14:paraId="44C43783">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98" w:type="pct"/>
                  <w:vMerge w:val="continue"/>
                  <w:noWrap w:val="0"/>
                  <w:tcMar>
                    <w:top w:w="15" w:type="dxa"/>
                    <w:left w:w="15" w:type="dxa"/>
                    <w:right w:w="15" w:type="dxa"/>
                  </w:tcMar>
                  <w:vAlign w:val="center"/>
                </w:tcPr>
                <w:p w14:paraId="159D204A">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3163" w:type="pct"/>
                  <w:noWrap w:val="0"/>
                  <w:tcMar>
                    <w:top w:w="15" w:type="dxa"/>
                    <w:left w:w="15" w:type="dxa"/>
                    <w:right w:w="15" w:type="dxa"/>
                  </w:tcMar>
                  <w:vAlign w:val="center"/>
                </w:tcPr>
                <w:p w14:paraId="1707AE33">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bCs/>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正己烷储罐采用地埋式；采用原装进口的填料和密封垫片，经常巡检泵、管件阀门、进料口等并及时处理。</w:t>
                  </w:r>
                </w:p>
              </w:tc>
              <w:tc>
                <w:tcPr>
                  <w:tcW w:w="753" w:type="pct"/>
                  <w:noWrap w:val="0"/>
                  <w:tcMar>
                    <w:top w:w="15" w:type="dxa"/>
                    <w:left w:w="15" w:type="dxa"/>
                    <w:right w:w="15" w:type="dxa"/>
                  </w:tcMar>
                  <w:vAlign w:val="center"/>
                </w:tcPr>
                <w:p w14:paraId="09E627F0">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cs="Times New Roman"/>
                      <w:color w:val="auto"/>
                      <w:spacing w:val="0"/>
                      <w:position w:val="0"/>
                      <w:sz w:val="21"/>
                      <w:szCs w:val="21"/>
                      <w:highlight w:val="none"/>
                      <w:lang w:val="en-US" w:eastAsia="zh-CN"/>
                    </w:rPr>
                    <w:t>2</w:t>
                  </w:r>
                </w:p>
              </w:tc>
            </w:tr>
            <w:tr w14:paraId="17649ADE">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cantSplit/>
                <w:trHeight w:val="23" w:hRule="atLeast"/>
                <w:jc w:val="center"/>
              </w:trPr>
              <w:tc>
                <w:tcPr>
                  <w:tcW w:w="484" w:type="pct"/>
                  <w:vMerge w:val="continue"/>
                  <w:noWrap w:val="0"/>
                  <w:tcMar>
                    <w:top w:w="15" w:type="dxa"/>
                    <w:left w:w="15" w:type="dxa"/>
                    <w:right w:w="15" w:type="dxa"/>
                  </w:tcMar>
                  <w:vAlign w:val="center"/>
                </w:tcPr>
                <w:p w14:paraId="263C8129">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98" w:type="pct"/>
                  <w:noWrap w:val="0"/>
                  <w:tcMar>
                    <w:top w:w="15" w:type="dxa"/>
                    <w:left w:w="15" w:type="dxa"/>
                    <w:right w:w="15" w:type="dxa"/>
                  </w:tcMar>
                  <w:vAlign w:val="center"/>
                </w:tcPr>
                <w:p w14:paraId="6CF03F6D">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废水</w:t>
                  </w:r>
                </w:p>
              </w:tc>
              <w:tc>
                <w:tcPr>
                  <w:tcW w:w="3163" w:type="pct"/>
                  <w:noWrap w:val="0"/>
                  <w:tcMar>
                    <w:top w:w="15" w:type="dxa"/>
                    <w:left w:w="15" w:type="dxa"/>
                    <w:right w:w="15" w:type="dxa"/>
                  </w:tcMar>
                  <w:vAlign w:val="center"/>
                </w:tcPr>
                <w:p w14:paraId="62F174E4">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一座40t/d污水处理站</w:t>
                  </w:r>
                </w:p>
              </w:tc>
              <w:tc>
                <w:tcPr>
                  <w:tcW w:w="753" w:type="pct"/>
                  <w:noWrap w:val="0"/>
                  <w:tcMar>
                    <w:top w:w="15" w:type="dxa"/>
                    <w:left w:w="15" w:type="dxa"/>
                    <w:right w:w="15" w:type="dxa"/>
                  </w:tcMar>
                  <w:vAlign w:val="center"/>
                </w:tcPr>
                <w:p w14:paraId="61FFBBC0">
                  <w:pPr>
                    <w:pStyle w:val="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20</w:t>
                  </w:r>
                </w:p>
              </w:tc>
            </w:tr>
            <w:tr w14:paraId="4F27A684">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cantSplit/>
                <w:trHeight w:val="23" w:hRule="atLeast"/>
                <w:jc w:val="center"/>
              </w:trPr>
              <w:tc>
                <w:tcPr>
                  <w:tcW w:w="484" w:type="pct"/>
                  <w:vMerge w:val="continue"/>
                  <w:noWrap w:val="0"/>
                  <w:tcMar>
                    <w:top w:w="15" w:type="dxa"/>
                    <w:left w:w="15" w:type="dxa"/>
                    <w:right w:w="15" w:type="dxa"/>
                  </w:tcMar>
                  <w:vAlign w:val="center"/>
                </w:tcPr>
                <w:p w14:paraId="23777B06">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98" w:type="pct"/>
                  <w:shd w:val="clear" w:color="auto" w:fill="auto"/>
                  <w:noWrap w:val="0"/>
                  <w:tcMar>
                    <w:top w:w="15" w:type="dxa"/>
                    <w:left w:w="15" w:type="dxa"/>
                    <w:right w:w="15" w:type="dxa"/>
                  </w:tcMar>
                  <w:vAlign w:val="center"/>
                </w:tcPr>
                <w:p w14:paraId="4A31DF8B">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噪声</w:t>
                  </w:r>
                </w:p>
              </w:tc>
              <w:tc>
                <w:tcPr>
                  <w:tcW w:w="3163" w:type="pct"/>
                  <w:shd w:val="clear" w:color="auto" w:fill="auto"/>
                  <w:noWrap w:val="0"/>
                  <w:tcMar>
                    <w:top w:w="15" w:type="dxa"/>
                    <w:left w:w="15" w:type="dxa"/>
                    <w:right w:w="15" w:type="dxa"/>
                  </w:tcMar>
                  <w:vAlign w:val="center"/>
                </w:tcPr>
                <w:p w14:paraId="77D15EC6">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隔声、减振等噪声治理措施</w:t>
                  </w:r>
                </w:p>
              </w:tc>
              <w:tc>
                <w:tcPr>
                  <w:tcW w:w="753" w:type="pct"/>
                  <w:shd w:val="clear" w:color="auto" w:fill="auto"/>
                  <w:noWrap w:val="0"/>
                  <w:tcMar>
                    <w:top w:w="15" w:type="dxa"/>
                    <w:left w:w="15" w:type="dxa"/>
                    <w:right w:w="15" w:type="dxa"/>
                  </w:tcMar>
                  <w:vAlign w:val="center"/>
                </w:tcPr>
                <w:p w14:paraId="34FF185B">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lang w:val="en-US" w:eastAsia="zh-CN"/>
                    </w:rPr>
                    <w:t>5</w:t>
                  </w:r>
                </w:p>
              </w:tc>
            </w:tr>
            <w:tr w14:paraId="4DB728BB">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cantSplit/>
                <w:trHeight w:val="23" w:hRule="atLeast"/>
                <w:jc w:val="center"/>
              </w:trPr>
              <w:tc>
                <w:tcPr>
                  <w:tcW w:w="484" w:type="pct"/>
                  <w:vMerge w:val="continue"/>
                  <w:noWrap w:val="0"/>
                  <w:tcMar>
                    <w:top w:w="15" w:type="dxa"/>
                    <w:left w:w="15" w:type="dxa"/>
                    <w:right w:w="15" w:type="dxa"/>
                  </w:tcMar>
                  <w:vAlign w:val="center"/>
                </w:tcPr>
                <w:p w14:paraId="5912CA8D">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98" w:type="pct"/>
                  <w:noWrap w:val="0"/>
                  <w:tcMar>
                    <w:top w:w="15" w:type="dxa"/>
                    <w:left w:w="15" w:type="dxa"/>
                    <w:right w:w="15" w:type="dxa"/>
                  </w:tcMar>
                  <w:vAlign w:val="center"/>
                </w:tcPr>
                <w:p w14:paraId="5824569A">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固体废物</w:t>
                  </w:r>
                </w:p>
              </w:tc>
              <w:tc>
                <w:tcPr>
                  <w:tcW w:w="3163" w:type="pct"/>
                  <w:noWrap w:val="0"/>
                  <w:tcMar>
                    <w:top w:w="15" w:type="dxa"/>
                    <w:left w:w="15" w:type="dxa"/>
                    <w:right w:w="15" w:type="dxa"/>
                  </w:tcMar>
                  <w:vAlign w:val="center"/>
                </w:tcPr>
                <w:p w14:paraId="6B8C49E0">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危险废物贮存库</w:t>
                  </w:r>
                </w:p>
              </w:tc>
              <w:tc>
                <w:tcPr>
                  <w:tcW w:w="753" w:type="pct"/>
                  <w:noWrap w:val="0"/>
                  <w:tcMar>
                    <w:top w:w="15" w:type="dxa"/>
                    <w:left w:w="15" w:type="dxa"/>
                    <w:right w:w="15" w:type="dxa"/>
                  </w:tcMar>
                  <w:vAlign w:val="center"/>
                </w:tcPr>
                <w:p w14:paraId="463CCBA4">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2</w:t>
                  </w:r>
                </w:p>
              </w:tc>
            </w:tr>
            <w:tr w14:paraId="291CFCDB">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cantSplit/>
                <w:trHeight w:val="23" w:hRule="atLeast"/>
                <w:jc w:val="center"/>
              </w:trPr>
              <w:tc>
                <w:tcPr>
                  <w:tcW w:w="484" w:type="pct"/>
                  <w:vMerge w:val="continue"/>
                  <w:noWrap w:val="0"/>
                  <w:tcMar>
                    <w:top w:w="15" w:type="dxa"/>
                    <w:left w:w="15" w:type="dxa"/>
                    <w:right w:w="15" w:type="dxa"/>
                  </w:tcMar>
                  <w:vAlign w:val="center"/>
                </w:tcPr>
                <w:p w14:paraId="328A2C98">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98" w:type="pct"/>
                  <w:shd w:val="clear" w:color="auto" w:fill="auto"/>
                  <w:noWrap w:val="0"/>
                  <w:tcMar>
                    <w:top w:w="15" w:type="dxa"/>
                    <w:left w:w="15" w:type="dxa"/>
                    <w:right w:w="15" w:type="dxa"/>
                  </w:tcMar>
                  <w:vAlign w:val="center"/>
                </w:tcPr>
                <w:p w14:paraId="3C40EE0B">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地下水</w:t>
                  </w:r>
                </w:p>
              </w:tc>
              <w:tc>
                <w:tcPr>
                  <w:tcW w:w="3163" w:type="pct"/>
                  <w:shd w:val="clear" w:color="auto" w:fill="auto"/>
                  <w:noWrap w:val="0"/>
                  <w:tcMar>
                    <w:top w:w="15" w:type="dxa"/>
                    <w:left w:w="15" w:type="dxa"/>
                    <w:right w:w="15" w:type="dxa"/>
                  </w:tcMar>
                  <w:vAlign w:val="center"/>
                </w:tcPr>
                <w:p w14:paraId="13289987">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采取分区防渗措施，地下溶剂库、</w:t>
                  </w:r>
                  <w:r>
                    <w:rPr>
                      <w:rFonts w:hint="default" w:ascii="Times New Roman" w:hAnsi="Times New Roman" w:cs="Times New Roman"/>
                      <w:color w:val="auto"/>
                      <w:spacing w:val="0"/>
                      <w:position w:val="0"/>
                      <w:sz w:val="21"/>
                      <w:szCs w:val="21"/>
                      <w:highlight w:val="none"/>
                      <w:lang w:val="en-US" w:eastAsia="zh-CN"/>
                    </w:rPr>
                    <w:t>储油</w:t>
                  </w:r>
                  <w:r>
                    <w:rPr>
                      <w:rFonts w:hint="default" w:ascii="Times New Roman" w:hAnsi="Times New Roman" w:eastAsia="宋体" w:cs="Times New Roman"/>
                      <w:color w:val="auto"/>
                      <w:spacing w:val="0"/>
                      <w:position w:val="0"/>
                      <w:sz w:val="21"/>
                      <w:szCs w:val="21"/>
                      <w:highlight w:val="none"/>
                    </w:rPr>
                    <w:t>罐区</w:t>
                  </w:r>
                  <w:r>
                    <w:rPr>
                      <w:rFonts w:hint="default" w:ascii="Times New Roman" w:hAnsi="Times New Roman"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污水处理站、危险废物贮存库</w:t>
                  </w:r>
                  <w:r>
                    <w:rPr>
                      <w:rFonts w:hint="default" w:ascii="Times New Roman" w:hAnsi="Times New Roman" w:eastAsia="宋体" w:cs="Times New Roman"/>
                      <w:color w:val="auto"/>
                      <w:spacing w:val="0"/>
                      <w:position w:val="0"/>
                      <w:sz w:val="21"/>
                      <w:szCs w:val="21"/>
                      <w:highlight w:val="none"/>
                      <w:lang w:val="en-US" w:eastAsia="zh-CN"/>
                    </w:rPr>
                    <w:t>为重点防渗区，</w:t>
                  </w:r>
                  <w:r>
                    <w:rPr>
                      <w:rFonts w:hint="default" w:ascii="Times New Roman" w:hAnsi="Times New Roman" w:eastAsia="宋体" w:cs="Times New Roman"/>
                      <w:color w:val="auto"/>
                      <w:spacing w:val="0"/>
                      <w:position w:val="0"/>
                      <w:sz w:val="21"/>
                      <w:szCs w:val="24"/>
                      <w:highlight w:val="none"/>
                    </w:rPr>
                    <w:t>采用防渗水泥地面+2.0mm厚高密度聚乙烯进行防渗处理，达到等效黏土Mb≥6m，渗透系数K≤1×10</w:t>
                  </w:r>
                  <w:r>
                    <w:rPr>
                      <w:rFonts w:hint="default" w:ascii="Times New Roman" w:hAnsi="Times New Roman" w:eastAsia="宋体" w:cs="Times New Roman"/>
                      <w:color w:val="auto"/>
                      <w:spacing w:val="0"/>
                      <w:position w:val="0"/>
                      <w:sz w:val="21"/>
                      <w:szCs w:val="24"/>
                      <w:highlight w:val="none"/>
                      <w:vertAlign w:val="superscript"/>
                    </w:rPr>
                    <w:t>-10</w:t>
                  </w:r>
                  <w:r>
                    <w:rPr>
                      <w:rFonts w:hint="default" w:ascii="Times New Roman" w:hAnsi="Times New Roman" w:eastAsia="宋体" w:cs="Times New Roman"/>
                      <w:color w:val="auto"/>
                      <w:spacing w:val="0"/>
                      <w:position w:val="0"/>
                      <w:sz w:val="21"/>
                      <w:szCs w:val="24"/>
                      <w:highlight w:val="none"/>
                    </w:rPr>
                    <w:t>cm/s，本项目溶剂储罐区和储油罐区设置围堰，围堰进行重点防渗，采用防渗水泥地面+2.0mm厚高密度聚乙烯进行防渗处理，达到等效黏土Mb≥6m，渗透系数K≤1×10</w:t>
                  </w:r>
                  <w:r>
                    <w:rPr>
                      <w:rFonts w:hint="default" w:ascii="Times New Roman" w:hAnsi="Times New Roman" w:eastAsia="宋体" w:cs="Times New Roman"/>
                      <w:color w:val="auto"/>
                      <w:spacing w:val="0"/>
                      <w:position w:val="0"/>
                      <w:sz w:val="21"/>
                      <w:szCs w:val="24"/>
                      <w:highlight w:val="none"/>
                      <w:vertAlign w:val="superscript"/>
                    </w:rPr>
                    <w:t>-10</w:t>
                  </w:r>
                  <w:r>
                    <w:rPr>
                      <w:rFonts w:hint="default" w:ascii="Times New Roman" w:hAnsi="Times New Roman" w:eastAsia="宋体" w:cs="Times New Roman"/>
                      <w:color w:val="auto"/>
                      <w:spacing w:val="0"/>
                      <w:position w:val="0"/>
                      <w:sz w:val="21"/>
                      <w:szCs w:val="24"/>
                      <w:highlight w:val="none"/>
                    </w:rPr>
                    <w:t>cm/s；</w:t>
                  </w:r>
                  <w:r>
                    <w:rPr>
                      <w:rFonts w:hint="default" w:ascii="Times New Roman" w:hAnsi="Times New Roman" w:eastAsia="宋体" w:cs="Times New Roman"/>
                      <w:color w:val="auto"/>
                      <w:spacing w:val="0"/>
                      <w:position w:val="0"/>
                      <w:sz w:val="21"/>
                      <w:szCs w:val="21"/>
                      <w:highlight w:val="none"/>
                    </w:rPr>
                    <w:t>预处理车间、浸出车间、精炼车间、包装车间</w:t>
                  </w:r>
                  <w:r>
                    <w:rPr>
                      <w:rFonts w:hint="default" w:ascii="Times New Roman" w:hAnsi="Times New Roman" w:eastAsia="宋体" w:cs="Times New Roman"/>
                      <w:color w:val="auto"/>
                      <w:spacing w:val="0"/>
                      <w:position w:val="0"/>
                      <w:sz w:val="21"/>
                      <w:szCs w:val="21"/>
                      <w:highlight w:val="none"/>
                      <w:lang w:val="en-US" w:eastAsia="zh-CN"/>
                    </w:rPr>
                    <w:t>为</w:t>
                  </w:r>
                  <w:r>
                    <w:rPr>
                      <w:rFonts w:hint="default" w:ascii="Times New Roman" w:hAnsi="Times New Roman" w:eastAsia="宋体" w:cs="Times New Roman"/>
                      <w:color w:val="auto"/>
                      <w:spacing w:val="0"/>
                      <w:position w:val="0"/>
                      <w:sz w:val="21"/>
                      <w:szCs w:val="21"/>
                      <w:highlight w:val="none"/>
                    </w:rPr>
                    <w:t>一般防渗</w:t>
                  </w:r>
                  <w:r>
                    <w:rPr>
                      <w:rFonts w:hint="default" w:ascii="Times New Roman" w:hAnsi="Times New Roman" w:eastAsia="宋体" w:cs="Times New Roman"/>
                      <w:color w:val="auto"/>
                      <w:spacing w:val="0"/>
                      <w:position w:val="0"/>
                      <w:sz w:val="21"/>
                      <w:szCs w:val="21"/>
                      <w:highlight w:val="none"/>
                      <w:lang w:val="en-US" w:eastAsia="zh-CN"/>
                    </w:rPr>
                    <w:t>区</w:t>
                  </w:r>
                  <w:r>
                    <w:rPr>
                      <w:rFonts w:hint="default" w:ascii="Times New Roman" w:hAnsi="Times New Roman" w:eastAsia="宋体" w:cs="Times New Roman"/>
                      <w:color w:val="auto"/>
                      <w:spacing w:val="0"/>
                      <w:position w:val="0"/>
                      <w:sz w:val="21"/>
                      <w:szCs w:val="21"/>
                      <w:highlight w:val="none"/>
                    </w:rPr>
                    <w:t>，采取粘土铺底，再上层铺水泥进行硬化，达到等效黏土Mb≥1.5m，K≤1.0×10</w:t>
                  </w:r>
                  <w:r>
                    <w:rPr>
                      <w:rFonts w:hint="default" w:ascii="Times New Roman" w:hAnsi="Times New Roman" w:eastAsia="宋体" w:cs="Times New Roman"/>
                      <w:color w:val="auto"/>
                      <w:spacing w:val="0"/>
                      <w:position w:val="0"/>
                      <w:sz w:val="21"/>
                      <w:szCs w:val="21"/>
                      <w:highlight w:val="none"/>
                      <w:vertAlign w:val="superscript"/>
                    </w:rPr>
                    <w:t>-7</w:t>
                  </w:r>
                  <w:r>
                    <w:rPr>
                      <w:rFonts w:hint="default" w:ascii="Times New Roman" w:hAnsi="Times New Roman" w:eastAsia="宋体" w:cs="Times New Roman"/>
                      <w:color w:val="auto"/>
                      <w:spacing w:val="0"/>
                      <w:position w:val="0"/>
                      <w:sz w:val="21"/>
                      <w:szCs w:val="21"/>
                      <w:highlight w:val="none"/>
                    </w:rPr>
                    <w:t>cm/s。</w:t>
                  </w:r>
                  <w:r>
                    <w:rPr>
                      <w:rFonts w:hint="default" w:ascii="Times New Roman" w:hAnsi="Times New Roman" w:cs="Times New Roman"/>
                      <w:color w:val="auto"/>
                      <w:spacing w:val="0"/>
                      <w:position w:val="0"/>
                      <w:sz w:val="21"/>
                      <w:szCs w:val="21"/>
                      <w:highlight w:val="none"/>
                      <w:lang w:val="en-US" w:eastAsia="zh-CN"/>
                    </w:rPr>
                    <w:t>除重点防渗区和一般防渗区外为简单防渗区，采取水泥地面硬化。</w:t>
                  </w:r>
                </w:p>
              </w:tc>
              <w:tc>
                <w:tcPr>
                  <w:tcW w:w="753" w:type="pct"/>
                  <w:shd w:val="clear" w:color="auto" w:fill="auto"/>
                  <w:noWrap w:val="0"/>
                  <w:tcMar>
                    <w:top w:w="15" w:type="dxa"/>
                    <w:left w:w="15" w:type="dxa"/>
                    <w:right w:w="15" w:type="dxa"/>
                  </w:tcMar>
                  <w:vAlign w:val="center"/>
                </w:tcPr>
                <w:p w14:paraId="7AFBD424">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6</w:t>
                  </w:r>
                </w:p>
              </w:tc>
            </w:tr>
            <w:tr w14:paraId="6BF7AE77">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cantSplit/>
                <w:trHeight w:val="23" w:hRule="atLeast"/>
                <w:jc w:val="center"/>
              </w:trPr>
              <w:tc>
                <w:tcPr>
                  <w:tcW w:w="484" w:type="pct"/>
                  <w:vMerge w:val="continue"/>
                  <w:noWrap w:val="0"/>
                  <w:tcMar>
                    <w:top w:w="15" w:type="dxa"/>
                    <w:left w:w="15" w:type="dxa"/>
                    <w:right w:w="15" w:type="dxa"/>
                  </w:tcMar>
                  <w:vAlign w:val="center"/>
                </w:tcPr>
                <w:p w14:paraId="60528238">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98" w:type="pct"/>
                  <w:noWrap w:val="0"/>
                  <w:tcMar>
                    <w:top w:w="15" w:type="dxa"/>
                    <w:left w:w="15" w:type="dxa"/>
                    <w:right w:w="15" w:type="dxa"/>
                  </w:tcMar>
                  <w:vAlign w:val="center"/>
                </w:tcPr>
                <w:p w14:paraId="131E928A">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设备维护费用</w:t>
                  </w:r>
                </w:p>
              </w:tc>
              <w:tc>
                <w:tcPr>
                  <w:tcW w:w="3163" w:type="pct"/>
                  <w:noWrap w:val="0"/>
                  <w:tcMar>
                    <w:top w:w="15" w:type="dxa"/>
                    <w:left w:w="15" w:type="dxa"/>
                    <w:right w:w="15" w:type="dxa"/>
                  </w:tcMar>
                  <w:vAlign w:val="center"/>
                </w:tcPr>
                <w:p w14:paraId="7E8866AF">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环保设施运行维护费用</w:t>
                  </w:r>
                </w:p>
              </w:tc>
              <w:tc>
                <w:tcPr>
                  <w:tcW w:w="753" w:type="pct"/>
                  <w:noWrap w:val="0"/>
                  <w:tcMar>
                    <w:top w:w="15" w:type="dxa"/>
                    <w:left w:w="15" w:type="dxa"/>
                    <w:right w:w="15" w:type="dxa"/>
                  </w:tcMar>
                  <w:vAlign w:val="center"/>
                </w:tcPr>
                <w:p w14:paraId="720EA61F">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10</w:t>
                  </w:r>
                </w:p>
              </w:tc>
            </w:tr>
            <w:tr w14:paraId="660BD2FB">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cantSplit/>
                <w:trHeight w:val="23" w:hRule="atLeast"/>
                <w:jc w:val="center"/>
              </w:trPr>
              <w:tc>
                <w:tcPr>
                  <w:tcW w:w="484" w:type="pct"/>
                  <w:vMerge w:val="continue"/>
                  <w:noWrap w:val="0"/>
                  <w:tcMar>
                    <w:top w:w="15" w:type="dxa"/>
                    <w:left w:w="15" w:type="dxa"/>
                    <w:right w:w="15" w:type="dxa"/>
                  </w:tcMar>
                  <w:vAlign w:val="center"/>
                </w:tcPr>
                <w:p w14:paraId="648B110A">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p>
              </w:tc>
              <w:tc>
                <w:tcPr>
                  <w:tcW w:w="598" w:type="pct"/>
                  <w:noWrap w:val="0"/>
                  <w:tcMar>
                    <w:top w:w="15" w:type="dxa"/>
                    <w:left w:w="15" w:type="dxa"/>
                    <w:right w:w="15" w:type="dxa"/>
                  </w:tcMar>
                  <w:vAlign w:val="center"/>
                </w:tcPr>
                <w:p w14:paraId="2147B197">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监测</w:t>
                  </w:r>
                </w:p>
              </w:tc>
              <w:tc>
                <w:tcPr>
                  <w:tcW w:w="3163" w:type="pct"/>
                  <w:noWrap w:val="0"/>
                  <w:tcMar>
                    <w:top w:w="15" w:type="dxa"/>
                    <w:left w:w="15" w:type="dxa"/>
                    <w:right w:w="15" w:type="dxa"/>
                  </w:tcMar>
                  <w:vAlign w:val="center"/>
                </w:tcPr>
                <w:p w14:paraId="58F59C27">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制定本工程环境监测计划并按计划中的频次对厂区相应环境要素进行监测</w:t>
                  </w:r>
                </w:p>
              </w:tc>
              <w:tc>
                <w:tcPr>
                  <w:tcW w:w="753" w:type="pct"/>
                  <w:noWrap w:val="0"/>
                  <w:tcMar>
                    <w:top w:w="15" w:type="dxa"/>
                    <w:left w:w="15" w:type="dxa"/>
                    <w:right w:w="15" w:type="dxa"/>
                  </w:tcMar>
                  <w:vAlign w:val="center"/>
                </w:tcPr>
                <w:p w14:paraId="186C0214">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10</w:t>
                  </w:r>
                </w:p>
              </w:tc>
            </w:tr>
            <w:tr w14:paraId="78A666FA">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cantSplit/>
                <w:trHeight w:val="23" w:hRule="atLeast"/>
                <w:jc w:val="center"/>
              </w:trPr>
              <w:tc>
                <w:tcPr>
                  <w:tcW w:w="4246" w:type="pct"/>
                  <w:gridSpan w:val="3"/>
                  <w:noWrap w:val="0"/>
                  <w:tcMar>
                    <w:top w:w="15" w:type="dxa"/>
                    <w:left w:w="15" w:type="dxa"/>
                    <w:right w:w="15" w:type="dxa"/>
                  </w:tcMar>
                  <w:vAlign w:val="center"/>
                </w:tcPr>
                <w:p w14:paraId="7DDF7E2F">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合计</w:t>
                  </w:r>
                </w:p>
              </w:tc>
              <w:tc>
                <w:tcPr>
                  <w:tcW w:w="753" w:type="pct"/>
                  <w:noWrap w:val="0"/>
                  <w:tcMar>
                    <w:top w:w="15" w:type="dxa"/>
                    <w:left w:w="15" w:type="dxa"/>
                    <w:right w:w="15" w:type="dxa"/>
                  </w:tcMar>
                  <w:vAlign w:val="center"/>
                </w:tcPr>
                <w:p w14:paraId="6DD98108">
                  <w:pPr>
                    <w:pStyle w:val="86"/>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126</w:t>
                  </w:r>
                </w:p>
              </w:tc>
            </w:tr>
          </w:tbl>
          <w:p w14:paraId="0F7A81D7">
            <w:pPr>
              <w:pStyle w:val="83"/>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4"/>
                <w:szCs w:val="32"/>
                <w:highlight w:val="none"/>
              </w:rPr>
            </w:pPr>
          </w:p>
          <w:p w14:paraId="6C84DDA3">
            <w:pPr>
              <w:pStyle w:val="83"/>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4"/>
                <w:szCs w:val="32"/>
                <w:highlight w:val="none"/>
              </w:rPr>
            </w:pPr>
          </w:p>
          <w:p w14:paraId="52FEBD8A">
            <w:pPr>
              <w:pStyle w:val="83"/>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4"/>
                <w:szCs w:val="32"/>
                <w:highlight w:val="none"/>
              </w:rPr>
            </w:pPr>
          </w:p>
          <w:p w14:paraId="45DC5F92">
            <w:pPr>
              <w:pStyle w:val="83"/>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4"/>
                <w:szCs w:val="32"/>
                <w:highlight w:val="none"/>
              </w:rPr>
            </w:pPr>
          </w:p>
          <w:p w14:paraId="646A917B">
            <w:pPr>
              <w:pStyle w:val="83"/>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4"/>
                <w:szCs w:val="32"/>
                <w:highlight w:val="none"/>
              </w:rPr>
            </w:pPr>
          </w:p>
          <w:p w14:paraId="12519C3C">
            <w:pPr>
              <w:pStyle w:val="83"/>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4"/>
                <w:szCs w:val="32"/>
                <w:highlight w:val="none"/>
              </w:rPr>
            </w:pPr>
          </w:p>
          <w:p w14:paraId="23C8BDF6">
            <w:pPr>
              <w:pStyle w:val="83"/>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4"/>
                <w:szCs w:val="32"/>
                <w:highlight w:val="none"/>
              </w:rPr>
            </w:pPr>
          </w:p>
          <w:p w14:paraId="41AC2199">
            <w:pPr>
              <w:pStyle w:val="83"/>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4"/>
                <w:szCs w:val="32"/>
                <w:highlight w:val="none"/>
              </w:rPr>
            </w:pPr>
          </w:p>
          <w:p w14:paraId="1AFC0CC4">
            <w:pPr>
              <w:pStyle w:val="83"/>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4"/>
                <w:szCs w:val="32"/>
                <w:highlight w:val="none"/>
              </w:rPr>
            </w:pPr>
          </w:p>
          <w:p w14:paraId="51556616">
            <w:pPr>
              <w:pStyle w:val="83"/>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4"/>
                <w:szCs w:val="32"/>
                <w:highlight w:val="none"/>
              </w:rPr>
            </w:pPr>
          </w:p>
          <w:p w14:paraId="1075C712">
            <w:pPr>
              <w:pStyle w:val="87"/>
              <w:keepNext w:val="0"/>
              <w:keepLines w:val="0"/>
              <w:pageBreakBefore w:val="0"/>
              <w:kinsoku/>
              <w:wordWrap/>
              <w:overflowPunct/>
              <w:topLinePunct w:val="0"/>
              <w:bidi w:val="0"/>
              <w:adjustRightInd w:val="0"/>
              <w:snapToGrid w:val="0"/>
              <w:spacing w:beforeAutospacing="0" w:afterAutospacing="0" w:line="520" w:lineRule="exact"/>
              <w:ind w:left="0" w:leftChars="0" w:right="0" w:rightChars="0" w:firstLine="0" w:firstLineChars="0"/>
              <w:rPr>
                <w:rFonts w:hint="default" w:ascii="Times New Roman" w:hAnsi="Times New Roman" w:eastAsia="宋体" w:cs="Times New Roman"/>
                <w:color w:val="auto"/>
                <w:spacing w:val="0"/>
                <w:position w:val="0"/>
                <w:highlight w:val="none"/>
              </w:rPr>
            </w:pPr>
          </w:p>
        </w:tc>
      </w:tr>
    </w:tbl>
    <w:p w14:paraId="032AA796">
      <w:pPr>
        <w:pStyle w:val="89"/>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sectPr>
          <w:pgSz w:w="11907" w:h="16840"/>
          <w:pgMar w:top="1701" w:right="1531" w:bottom="2127"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2260C55E">
      <w:pPr>
        <w:pStyle w:val="23"/>
        <w:keepNext w:val="0"/>
        <w:keepLines w:val="0"/>
        <w:pageBreakBefore w:val="0"/>
        <w:kinsoku/>
        <w:wordWrap/>
        <w:overflowPunct/>
        <w:topLinePunct w:val="0"/>
        <w:bidi w:val="0"/>
        <w:adjustRightInd w:val="0"/>
        <w:snapToGrid w:val="0"/>
        <w:spacing w:before="0" w:beforeAutospacing="0" w:after="0" w:afterAutospacing="0"/>
        <w:ind w:left="0" w:leftChars="0" w:right="0" w:rightChars="0"/>
        <w:jc w:val="center"/>
        <w:outlineLvl w:val="0"/>
        <w:rPr>
          <w:rFonts w:hint="default" w:ascii="Times New Roman" w:hAnsi="Times New Roman" w:eastAsia="宋体" w:cs="Times New Roman"/>
          <w:snapToGrid w:val="0"/>
          <w:color w:val="auto"/>
          <w:spacing w:val="0"/>
          <w:position w:val="0"/>
          <w:sz w:val="30"/>
          <w:szCs w:val="30"/>
          <w:highlight w:val="none"/>
        </w:rPr>
      </w:pPr>
      <w:bookmarkStart w:id="23" w:name="_Toc28370"/>
      <w:r>
        <w:rPr>
          <w:rFonts w:hint="default" w:ascii="Times New Roman" w:hAnsi="Times New Roman" w:eastAsia="宋体" w:cs="Times New Roman"/>
          <w:snapToGrid w:val="0"/>
          <w:color w:val="auto"/>
          <w:spacing w:val="0"/>
          <w:position w:val="0"/>
          <w:sz w:val="30"/>
          <w:szCs w:val="30"/>
          <w:highlight w:val="none"/>
        </w:rPr>
        <w:t>五、</w:t>
      </w:r>
      <w:bookmarkStart w:id="24" w:name="_Hlk54167917"/>
      <w:r>
        <w:rPr>
          <w:rFonts w:hint="default" w:ascii="Times New Roman" w:hAnsi="Times New Roman" w:eastAsia="宋体" w:cs="Times New Roman"/>
          <w:snapToGrid w:val="0"/>
          <w:color w:val="auto"/>
          <w:spacing w:val="0"/>
          <w:position w:val="0"/>
          <w:sz w:val="30"/>
          <w:szCs w:val="30"/>
          <w:highlight w:val="none"/>
        </w:rPr>
        <w:t>环境保护措施监督检查清单</w:t>
      </w:r>
      <w:bookmarkEnd w:id="23"/>
      <w:bookmarkEnd w:id="24"/>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1530"/>
        <w:gridCol w:w="1275"/>
        <w:gridCol w:w="2520"/>
        <w:gridCol w:w="2386"/>
      </w:tblGrid>
      <w:tr w14:paraId="579A4A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89" w:type="dxa"/>
            <w:tcBorders>
              <w:tl2br w:val="single" w:color="auto" w:sz="4" w:space="0"/>
            </w:tcBorders>
            <w:noWrap w:val="0"/>
            <w:vAlign w:val="center"/>
          </w:tcPr>
          <w:p w14:paraId="7B9E4468">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right="0" w:rightChars="0" w:firstLine="0" w:firstLineChars="0"/>
              <w:jc w:val="right"/>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内容</w:t>
            </w:r>
          </w:p>
          <w:p w14:paraId="6AA8E685">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left"/>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要素</w:t>
            </w:r>
          </w:p>
        </w:tc>
        <w:tc>
          <w:tcPr>
            <w:tcW w:w="1530" w:type="dxa"/>
            <w:noWrap w:val="0"/>
            <w:vAlign w:val="center"/>
          </w:tcPr>
          <w:p w14:paraId="2595E41E">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排放口</w:t>
            </w:r>
            <w:r>
              <w:rPr>
                <w:rFonts w:hint="default" w:ascii="Times New Roman" w:hAnsi="Times New Roman"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编号、名称</w:t>
            </w:r>
            <w:r>
              <w:rPr>
                <w:rFonts w:hint="default" w:ascii="Times New Roman" w:hAnsi="Times New Roman"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/污染源</w:t>
            </w:r>
          </w:p>
        </w:tc>
        <w:tc>
          <w:tcPr>
            <w:tcW w:w="1275" w:type="dxa"/>
            <w:noWrap w:val="0"/>
            <w:vAlign w:val="center"/>
          </w:tcPr>
          <w:p w14:paraId="7FEBFABA">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污染物项目</w:t>
            </w:r>
          </w:p>
        </w:tc>
        <w:tc>
          <w:tcPr>
            <w:tcW w:w="2520" w:type="dxa"/>
            <w:noWrap w:val="0"/>
            <w:vAlign w:val="center"/>
          </w:tcPr>
          <w:p w14:paraId="36C4869E">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环境保护措施</w:t>
            </w:r>
          </w:p>
        </w:tc>
        <w:tc>
          <w:tcPr>
            <w:tcW w:w="2386" w:type="dxa"/>
            <w:noWrap w:val="0"/>
            <w:vAlign w:val="center"/>
          </w:tcPr>
          <w:p w14:paraId="1DDC7EA5">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执行标准</w:t>
            </w:r>
          </w:p>
        </w:tc>
      </w:tr>
      <w:tr w14:paraId="35291C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89" w:type="dxa"/>
            <w:vMerge w:val="restart"/>
            <w:noWrap w:val="0"/>
            <w:vAlign w:val="center"/>
          </w:tcPr>
          <w:p w14:paraId="3AF752A4">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大气环境</w:t>
            </w:r>
          </w:p>
        </w:tc>
        <w:tc>
          <w:tcPr>
            <w:tcW w:w="1530" w:type="dxa"/>
            <w:noWrap w:val="0"/>
            <w:vAlign w:val="center"/>
          </w:tcPr>
          <w:p w14:paraId="14A6C9A8">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预处理车间排气筒</w:t>
            </w:r>
          </w:p>
          <w:p w14:paraId="669207D3">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DA001</w:t>
            </w:r>
          </w:p>
        </w:tc>
        <w:tc>
          <w:tcPr>
            <w:tcW w:w="1275" w:type="dxa"/>
            <w:noWrap w:val="0"/>
            <w:vAlign w:val="center"/>
          </w:tcPr>
          <w:p w14:paraId="08491F44">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颗粒物</w:t>
            </w:r>
          </w:p>
        </w:tc>
        <w:tc>
          <w:tcPr>
            <w:tcW w:w="2520" w:type="dxa"/>
            <w:noWrap w:val="0"/>
            <w:vAlign w:val="center"/>
          </w:tcPr>
          <w:p w14:paraId="0EB2924E">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lang w:eastAsia="zh-CN"/>
              </w:rPr>
              <w:t>集气装置</w:t>
            </w:r>
            <w:r>
              <w:rPr>
                <w:rFonts w:hint="default" w:ascii="Times New Roman" w:hAnsi="Times New Roman" w:eastAsia="宋体" w:cs="Times New Roman"/>
                <w:color w:val="auto"/>
                <w:spacing w:val="0"/>
                <w:position w:val="0"/>
                <w:sz w:val="21"/>
                <w:szCs w:val="21"/>
                <w:highlight w:val="none"/>
              </w:rPr>
              <w:t>+布袋除尘器+15m排气筒</w:t>
            </w:r>
          </w:p>
        </w:tc>
        <w:tc>
          <w:tcPr>
            <w:tcW w:w="2386" w:type="dxa"/>
            <w:noWrap w:val="0"/>
            <w:vAlign w:val="center"/>
          </w:tcPr>
          <w:p w14:paraId="02858616">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《大气污染物综合排放标准》（GB16297-1996）表2新污染源大气污染物排放二级标准限值</w:t>
            </w:r>
          </w:p>
        </w:tc>
      </w:tr>
      <w:tr w14:paraId="62E0B8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89" w:type="dxa"/>
            <w:vMerge w:val="continue"/>
            <w:noWrap w:val="0"/>
            <w:vAlign w:val="center"/>
          </w:tcPr>
          <w:p w14:paraId="74B0E7DD">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p>
        </w:tc>
        <w:tc>
          <w:tcPr>
            <w:tcW w:w="1530" w:type="dxa"/>
            <w:noWrap w:val="0"/>
            <w:vAlign w:val="center"/>
          </w:tcPr>
          <w:p w14:paraId="41D7AABC">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浸出车间排气筒</w:t>
            </w:r>
          </w:p>
          <w:p w14:paraId="60E5497F">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DA00</w:t>
            </w:r>
            <w:r>
              <w:rPr>
                <w:rFonts w:hint="default" w:ascii="Times New Roman" w:hAnsi="Times New Roman" w:eastAsia="宋体" w:cs="Times New Roman"/>
                <w:color w:val="auto"/>
                <w:spacing w:val="0"/>
                <w:position w:val="0"/>
                <w:sz w:val="21"/>
                <w:szCs w:val="21"/>
                <w:highlight w:val="none"/>
                <w:lang w:val="en-US" w:eastAsia="zh-CN"/>
              </w:rPr>
              <w:t>2</w:t>
            </w:r>
          </w:p>
        </w:tc>
        <w:tc>
          <w:tcPr>
            <w:tcW w:w="1275" w:type="dxa"/>
            <w:noWrap w:val="0"/>
            <w:vAlign w:val="center"/>
          </w:tcPr>
          <w:p w14:paraId="3C0E8F3D">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非甲烷总烃</w:t>
            </w:r>
          </w:p>
        </w:tc>
        <w:tc>
          <w:tcPr>
            <w:tcW w:w="2520" w:type="dxa"/>
            <w:noWrap w:val="0"/>
            <w:vAlign w:val="center"/>
          </w:tcPr>
          <w:p w14:paraId="5D978BB9">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冷凝+石蜡吸收工艺+15m排气筒</w:t>
            </w:r>
          </w:p>
        </w:tc>
        <w:tc>
          <w:tcPr>
            <w:tcW w:w="2386" w:type="dxa"/>
            <w:noWrap w:val="0"/>
            <w:vAlign w:val="center"/>
          </w:tcPr>
          <w:p w14:paraId="139D24CC">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《大气污染物综合排放标准》（GB16297-1996）表2新污染源大气污染物排放二级标准限值</w:t>
            </w:r>
          </w:p>
        </w:tc>
      </w:tr>
      <w:tr w14:paraId="635E0D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89" w:type="dxa"/>
            <w:vMerge w:val="continue"/>
            <w:noWrap w:val="0"/>
            <w:vAlign w:val="center"/>
          </w:tcPr>
          <w:p w14:paraId="77F4600F">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p>
        </w:tc>
        <w:tc>
          <w:tcPr>
            <w:tcW w:w="1530" w:type="dxa"/>
            <w:vMerge w:val="restart"/>
            <w:noWrap w:val="0"/>
            <w:vAlign w:val="center"/>
          </w:tcPr>
          <w:p w14:paraId="7D7C6F87">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精炼车间排气筒</w:t>
            </w:r>
          </w:p>
          <w:p w14:paraId="79B94567">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DA00</w:t>
            </w:r>
            <w:r>
              <w:rPr>
                <w:rFonts w:hint="default" w:ascii="Times New Roman" w:hAnsi="Times New Roman" w:eastAsia="宋体" w:cs="Times New Roman"/>
                <w:color w:val="auto"/>
                <w:spacing w:val="0"/>
                <w:position w:val="0"/>
                <w:sz w:val="21"/>
                <w:szCs w:val="21"/>
                <w:highlight w:val="none"/>
                <w:lang w:val="en-US" w:eastAsia="zh-CN"/>
              </w:rPr>
              <w:t>3</w:t>
            </w:r>
          </w:p>
        </w:tc>
        <w:tc>
          <w:tcPr>
            <w:tcW w:w="1275" w:type="dxa"/>
            <w:noWrap w:val="0"/>
            <w:vAlign w:val="center"/>
          </w:tcPr>
          <w:p w14:paraId="442B3CF6">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非甲烷总烃</w:t>
            </w:r>
          </w:p>
        </w:tc>
        <w:tc>
          <w:tcPr>
            <w:tcW w:w="2520" w:type="dxa"/>
            <w:vMerge w:val="restart"/>
            <w:noWrap w:val="0"/>
            <w:vAlign w:val="center"/>
          </w:tcPr>
          <w:p w14:paraId="23E33D56">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石蜡吸收+活性炭吸附+15m高排气筒</w:t>
            </w:r>
          </w:p>
        </w:tc>
        <w:tc>
          <w:tcPr>
            <w:tcW w:w="2386" w:type="dxa"/>
            <w:noWrap w:val="0"/>
            <w:vAlign w:val="center"/>
          </w:tcPr>
          <w:p w14:paraId="5BBF8C18">
            <w:pPr>
              <w:pStyle w:val="73"/>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《大气污染物综合排放标准》（GB16297-1996）表2新污染源大气污染物排放二级标准限值</w:t>
            </w:r>
          </w:p>
        </w:tc>
      </w:tr>
      <w:tr w14:paraId="7BC04F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89" w:type="dxa"/>
            <w:vMerge w:val="continue"/>
            <w:noWrap w:val="0"/>
            <w:vAlign w:val="center"/>
          </w:tcPr>
          <w:p w14:paraId="0313C5CC">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cs="Times New Roman"/>
                <w:color w:val="auto"/>
                <w:sz w:val="21"/>
                <w:szCs w:val="21"/>
                <w:highlight w:val="none"/>
              </w:rPr>
            </w:pPr>
          </w:p>
        </w:tc>
        <w:tc>
          <w:tcPr>
            <w:tcW w:w="1530" w:type="dxa"/>
            <w:vMerge w:val="continue"/>
            <w:noWrap w:val="0"/>
            <w:vAlign w:val="center"/>
          </w:tcPr>
          <w:p w14:paraId="43B15C7B">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cs="Times New Roman"/>
                <w:color w:val="auto"/>
                <w:sz w:val="21"/>
                <w:szCs w:val="21"/>
                <w:highlight w:val="none"/>
              </w:rPr>
            </w:pPr>
          </w:p>
        </w:tc>
        <w:tc>
          <w:tcPr>
            <w:tcW w:w="1275" w:type="dxa"/>
            <w:noWrap w:val="0"/>
            <w:vAlign w:val="center"/>
          </w:tcPr>
          <w:p w14:paraId="3DFC8B80">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cs="Times New Roman"/>
                <w:color w:val="auto"/>
                <w:spacing w:val="0"/>
                <w:position w:val="0"/>
                <w:sz w:val="21"/>
                <w:szCs w:val="21"/>
                <w:highlight w:val="none"/>
                <w:lang w:val="en-US" w:eastAsia="zh-CN"/>
              </w:rPr>
              <w:t>臭气浓度</w:t>
            </w:r>
          </w:p>
        </w:tc>
        <w:tc>
          <w:tcPr>
            <w:tcW w:w="2520" w:type="dxa"/>
            <w:vMerge w:val="continue"/>
            <w:noWrap w:val="0"/>
            <w:vAlign w:val="center"/>
          </w:tcPr>
          <w:p w14:paraId="1AF4AC45">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p>
        </w:tc>
        <w:tc>
          <w:tcPr>
            <w:tcW w:w="2386" w:type="dxa"/>
            <w:noWrap w:val="0"/>
            <w:vAlign w:val="center"/>
          </w:tcPr>
          <w:p w14:paraId="687C3F0B">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《恶臭污染物排放标准》（GB14554-1993）中二级排放标准限值</w:t>
            </w:r>
          </w:p>
        </w:tc>
      </w:tr>
      <w:tr w14:paraId="1A7C8A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89" w:type="dxa"/>
            <w:vMerge w:val="continue"/>
            <w:noWrap w:val="0"/>
            <w:vAlign w:val="center"/>
          </w:tcPr>
          <w:p w14:paraId="05DF7AA0">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p>
        </w:tc>
        <w:tc>
          <w:tcPr>
            <w:tcW w:w="1530" w:type="dxa"/>
            <w:noWrap w:val="0"/>
            <w:vAlign w:val="center"/>
          </w:tcPr>
          <w:p w14:paraId="54D0653A">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生物质锅炉烟囱</w:t>
            </w:r>
          </w:p>
          <w:p w14:paraId="25A6ADFF">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DA00</w:t>
            </w:r>
            <w:r>
              <w:rPr>
                <w:rFonts w:hint="default" w:ascii="Times New Roman" w:hAnsi="Times New Roman" w:eastAsia="宋体" w:cs="Times New Roman"/>
                <w:color w:val="auto"/>
                <w:spacing w:val="0"/>
                <w:position w:val="0"/>
                <w:sz w:val="21"/>
                <w:szCs w:val="21"/>
                <w:highlight w:val="none"/>
                <w:lang w:val="en-US" w:eastAsia="zh-CN"/>
              </w:rPr>
              <w:t>4</w:t>
            </w:r>
          </w:p>
        </w:tc>
        <w:tc>
          <w:tcPr>
            <w:tcW w:w="1275" w:type="dxa"/>
            <w:noWrap w:val="0"/>
            <w:vAlign w:val="center"/>
          </w:tcPr>
          <w:p w14:paraId="1FB7493D">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Style w:val="36"/>
                <w:rFonts w:hint="default" w:ascii="Times New Roman" w:hAnsi="Times New Roman" w:eastAsia="宋体" w:cs="Times New Roman"/>
                <w:color w:val="auto"/>
                <w:spacing w:val="0"/>
                <w:kern w:val="0"/>
                <w:position w:val="0"/>
                <w:sz w:val="21"/>
                <w:szCs w:val="21"/>
                <w:highlight w:val="none"/>
                <w:lang w:val="en-US" w:eastAsia="zh-CN"/>
              </w:rPr>
              <w:t>颗粒物、二氧化硫、氮氧化物</w:t>
            </w:r>
          </w:p>
        </w:tc>
        <w:tc>
          <w:tcPr>
            <w:tcW w:w="2520" w:type="dxa"/>
            <w:noWrap w:val="0"/>
            <w:vAlign w:val="center"/>
          </w:tcPr>
          <w:p w14:paraId="68146195">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多管旋风除尘器+布袋除尘器</w:t>
            </w:r>
            <w:r>
              <w:rPr>
                <w:rFonts w:hint="default" w:ascii="Times New Roman" w:hAnsi="Times New Roman" w:cs="Times New Roman"/>
                <w:color w:val="auto"/>
                <w:spacing w:val="0"/>
                <w:position w:val="0"/>
                <w:sz w:val="21"/>
                <w:szCs w:val="21"/>
                <w:highlight w:val="none"/>
                <w:lang w:val="en-US" w:eastAsia="zh-CN"/>
              </w:rPr>
              <w:t>+40m高烟囱</w:t>
            </w:r>
          </w:p>
        </w:tc>
        <w:tc>
          <w:tcPr>
            <w:tcW w:w="2386" w:type="dxa"/>
            <w:noWrap w:val="0"/>
            <w:vAlign w:val="center"/>
          </w:tcPr>
          <w:p w14:paraId="6EEC9946">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《锅炉大气污染物排放标准》（GB13271-2014）表2中燃煤锅炉标准限值</w:t>
            </w:r>
          </w:p>
        </w:tc>
      </w:tr>
      <w:tr w14:paraId="76721E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89" w:type="dxa"/>
            <w:vMerge w:val="continue"/>
            <w:noWrap w:val="0"/>
            <w:vAlign w:val="center"/>
          </w:tcPr>
          <w:p w14:paraId="104A5FCF">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p>
        </w:tc>
        <w:tc>
          <w:tcPr>
            <w:tcW w:w="1530" w:type="dxa"/>
            <w:noWrap w:val="0"/>
            <w:vAlign w:val="center"/>
          </w:tcPr>
          <w:p w14:paraId="16EE0570">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污水处理站排气筒</w:t>
            </w:r>
          </w:p>
          <w:p w14:paraId="5BC476AE">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DA005</w:t>
            </w:r>
          </w:p>
        </w:tc>
        <w:tc>
          <w:tcPr>
            <w:tcW w:w="1275" w:type="dxa"/>
            <w:noWrap w:val="0"/>
            <w:vAlign w:val="center"/>
          </w:tcPr>
          <w:p w14:paraId="7EBCA8E6">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Style w:val="36"/>
                <w:rFonts w:hint="default" w:ascii="Times New Roman" w:hAnsi="Times New Roman" w:eastAsia="宋体" w:cs="Times New Roman"/>
                <w:color w:val="auto"/>
                <w:spacing w:val="0"/>
                <w:kern w:val="0"/>
                <w:position w:val="0"/>
                <w:sz w:val="21"/>
                <w:szCs w:val="21"/>
                <w:highlight w:val="none"/>
                <w:lang w:val="en-US" w:eastAsia="zh-CN"/>
              </w:rPr>
            </w:pPr>
            <w:r>
              <w:rPr>
                <w:rFonts w:hint="default" w:ascii="Times New Roman" w:hAnsi="Times New Roman" w:eastAsia="宋体" w:cs="Times New Roman"/>
                <w:color w:val="auto"/>
                <w:spacing w:val="0"/>
                <w:w w:val="100"/>
                <w:kern w:val="0"/>
                <w:position w:val="0"/>
                <w:sz w:val="21"/>
                <w:szCs w:val="21"/>
                <w:highlight w:val="none"/>
                <w:lang w:val="en-US" w:eastAsia="zh-CN"/>
              </w:rPr>
              <w:t>氨、硫化氢、臭气浓度</w:t>
            </w:r>
          </w:p>
        </w:tc>
        <w:tc>
          <w:tcPr>
            <w:tcW w:w="2520" w:type="dxa"/>
            <w:noWrap w:val="0"/>
            <w:vAlign w:val="center"/>
          </w:tcPr>
          <w:p w14:paraId="143F1BD6">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活性炭吸附+15m高排气筒</w:t>
            </w:r>
          </w:p>
        </w:tc>
        <w:tc>
          <w:tcPr>
            <w:tcW w:w="2386" w:type="dxa"/>
            <w:noWrap w:val="0"/>
            <w:vAlign w:val="center"/>
          </w:tcPr>
          <w:p w14:paraId="543A77B1">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《恶臭污染物排放标准》（GB14554-1993）中二级排放标准限值</w:t>
            </w:r>
          </w:p>
        </w:tc>
      </w:tr>
      <w:tr w14:paraId="64EF36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89" w:type="dxa"/>
            <w:vMerge w:val="continue"/>
            <w:noWrap w:val="0"/>
            <w:vAlign w:val="center"/>
          </w:tcPr>
          <w:p w14:paraId="4DE05A76">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p>
        </w:tc>
        <w:tc>
          <w:tcPr>
            <w:tcW w:w="1530" w:type="dxa"/>
            <w:vMerge w:val="restart"/>
            <w:noWrap w:val="0"/>
            <w:vAlign w:val="center"/>
          </w:tcPr>
          <w:p w14:paraId="5B0DA9F5">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无组织</w:t>
            </w:r>
          </w:p>
        </w:tc>
        <w:tc>
          <w:tcPr>
            <w:tcW w:w="1275" w:type="dxa"/>
            <w:noWrap w:val="0"/>
            <w:vAlign w:val="center"/>
          </w:tcPr>
          <w:p w14:paraId="75A40724">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颗粒物</w:t>
            </w:r>
          </w:p>
        </w:tc>
        <w:tc>
          <w:tcPr>
            <w:tcW w:w="2520" w:type="dxa"/>
            <w:noWrap w:val="0"/>
            <w:vAlign w:val="center"/>
          </w:tcPr>
          <w:p w14:paraId="1C35F6D1">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密闭车间</w:t>
            </w:r>
          </w:p>
        </w:tc>
        <w:tc>
          <w:tcPr>
            <w:tcW w:w="2386" w:type="dxa"/>
            <w:noWrap w:val="0"/>
            <w:vAlign w:val="center"/>
          </w:tcPr>
          <w:p w14:paraId="1B0D5ADE">
            <w:pPr>
              <w:pStyle w:val="73"/>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《大气污染物综合排放标准》（GB16297-1996）表2标准</w:t>
            </w:r>
          </w:p>
        </w:tc>
      </w:tr>
      <w:tr w14:paraId="7ED264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89" w:type="dxa"/>
            <w:vMerge w:val="continue"/>
            <w:noWrap w:val="0"/>
            <w:vAlign w:val="center"/>
          </w:tcPr>
          <w:p w14:paraId="340AF719">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p>
        </w:tc>
        <w:tc>
          <w:tcPr>
            <w:tcW w:w="1530" w:type="dxa"/>
            <w:vMerge w:val="continue"/>
            <w:noWrap w:val="0"/>
            <w:vAlign w:val="center"/>
          </w:tcPr>
          <w:p w14:paraId="552D909C">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p>
        </w:tc>
        <w:tc>
          <w:tcPr>
            <w:tcW w:w="1275" w:type="dxa"/>
            <w:noWrap w:val="0"/>
            <w:vAlign w:val="center"/>
          </w:tcPr>
          <w:p w14:paraId="3E42EB26">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lang w:eastAsia="zh-CN"/>
              </w:rPr>
              <w:t>臭气浓度</w:t>
            </w:r>
          </w:p>
        </w:tc>
        <w:tc>
          <w:tcPr>
            <w:tcW w:w="2520" w:type="dxa"/>
            <w:noWrap w:val="0"/>
            <w:vAlign w:val="center"/>
          </w:tcPr>
          <w:p w14:paraId="0111C22A">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lang w:eastAsia="zh-CN"/>
              </w:rPr>
              <w:t>密闭车间，车间内安装排风扇，本项目浸出工艺系统设置负压吸风系统密闭车间，车间内安装排风扇，本项目浸出工艺系统设置负压吸风系统</w:t>
            </w:r>
          </w:p>
        </w:tc>
        <w:tc>
          <w:tcPr>
            <w:tcW w:w="2386" w:type="dxa"/>
            <w:noWrap w:val="0"/>
            <w:vAlign w:val="center"/>
          </w:tcPr>
          <w:p w14:paraId="7A616279">
            <w:pPr>
              <w:pStyle w:val="73"/>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lang w:eastAsia="zh-CN"/>
              </w:rPr>
              <w:t>《恶臭污染物排放标准》（</w:t>
            </w:r>
            <w:r>
              <w:rPr>
                <w:rFonts w:hint="default" w:ascii="Times New Roman" w:hAnsi="Times New Roman" w:eastAsia="宋体" w:cs="Times New Roman"/>
                <w:color w:val="auto"/>
                <w:spacing w:val="0"/>
                <w:position w:val="0"/>
                <w:sz w:val="21"/>
                <w:szCs w:val="21"/>
                <w:highlight w:val="none"/>
                <w:lang w:val="en-US" w:eastAsia="zh-CN"/>
              </w:rPr>
              <w:t>GB14544-93</w:t>
            </w:r>
            <w:r>
              <w:rPr>
                <w:rFonts w:hint="default" w:ascii="Times New Roman" w:hAnsi="Times New Roman" w:eastAsia="宋体" w:cs="Times New Roman"/>
                <w:color w:val="auto"/>
                <w:spacing w:val="0"/>
                <w:position w:val="0"/>
                <w:sz w:val="21"/>
                <w:szCs w:val="21"/>
                <w:highlight w:val="none"/>
                <w:lang w:eastAsia="zh-CN"/>
              </w:rPr>
              <w:t>）中表</w:t>
            </w:r>
            <w:r>
              <w:rPr>
                <w:rFonts w:hint="default" w:ascii="Times New Roman" w:hAnsi="Times New Roman" w:eastAsia="宋体" w:cs="Times New Roman"/>
                <w:color w:val="auto"/>
                <w:spacing w:val="0"/>
                <w:position w:val="0"/>
                <w:sz w:val="21"/>
                <w:szCs w:val="21"/>
                <w:highlight w:val="none"/>
                <w:lang w:val="en-US" w:eastAsia="zh-CN"/>
              </w:rPr>
              <w:t>1新改扩建二级标准</w:t>
            </w:r>
          </w:p>
        </w:tc>
      </w:tr>
      <w:tr w14:paraId="336B1E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89" w:type="dxa"/>
            <w:vMerge w:val="continue"/>
            <w:noWrap w:val="0"/>
            <w:vAlign w:val="center"/>
          </w:tcPr>
          <w:p w14:paraId="3C3AE604">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p>
        </w:tc>
        <w:tc>
          <w:tcPr>
            <w:tcW w:w="1530" w:type="dxa"/>
            <w:vMerge w:val="continue"/>
            <w:noWrap w:val="0"/>
            <w:vAlign w:val="center"/>
          </w:tcPr>
          <w:p w14:paraId="153CE4BA">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p>
        </w:tc>
        <w:tc>
          <w:tcPr>
            <w:tcW w:w="1275" w:type="dxa"/>
            <w:noWrap w:val="0"/>
            <w:vAlign w:val="center"/>
          </w:tcPr>
          <w:p w14:paraId="48D82F24">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textAlignment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非甲烷总烃</w:t>
            </w:r>
          </w:p>
        </w:tc>
        <w:tc>
          <w:tcPr>
            <w:tcW w:w="2520" w:type="dxa"/>
            <w:noWrap w:val="0"/>
            <w:vAlign w:val="center"/>
          </w:tcPr>
          <w:p w14:paraId="25C21405">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正己烷储罐采用地埋式；采用原装进口的填料和密封垫片，经常巡检泵、管件阀门、进料口等并及时处理。</w:t>
            </w:r>
          </w:p>
        </w:tc>
        <w:tc>
          <w:tcPr>
            <w:tcW w:w="2386" w:type="dxa"/>
            <w:noWrap w:val="0"/>
            <w:vAlign w:val="center"/>
          </w:tcPr>
          <w:p w14:paraId="431F069A">
            <w:pPr>
              <w:pStyle w:val="73"/>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kern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《大气污染物综合排放标准》（GB16297-1996）表2标准；《挥发性有机物无组织排放控制标准》（GB 37822-2019）附录A限值</w:t>
            </w:r>
          </w:p>
        </w:tc>
      </w:tr>
      <w:tr w14:paraId="1FBDD1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89" w:type="dxa"/>
            <w:noWrap w:val="0"/>
            <w:vAlign w:val="center"/>
          </w:tcPr>
          <w:p w14:paraId="48F05860">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地表水环境</w:t>
            </w:r>
          </w:p>
        </w:tc>
        <w:tc>
          <w:tcPr>
            <w:tcW w:w="1530" w:type="dxa"/>
            <w:noWrap w:val="0"/>
            <w:vAlign w:val="center"/>
          </w:tcPr>
          <w:p w14:paraId="2C2F5FD0">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DW001</w:t>
            </w:r>
          </w:p>
        </w:tc>
        <w:tc>
          <w:tcPr>
            <w:tcW w:w="1275" w:type="dxa"/>
            <w:noWrap w:val="0"/>
            <w:vAlign w:val="center"/>
          </w:tcPr>
          <w:p w14:paraId="5426D158">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COD、BOD</w:t>
            </w:r>
            <w:r>
              <w:rPr>
                <w:rFonts w:hint="default" w:ascii="Times New Roman" w:hAnsi="Times New Roman" w:eastAsia="宋体" w:cs="Times New Roman"/>
                <w:color w:val="auto"/>
                <w:spacing w:val="0"/>
                <w:position w:val="0"/>
                <w:sz w:val="21"/>
                <w:szCs w:val="21"/>
                <w:highlight w:val="none"/>
                <w:vertAlign w:val="subscript"/>
              </w:rPr>
              <w:t>5</w:t>
            </w:r>
            <w:r>
              <w:rPr>
                <w:rFonts w:hint="default" w:ascii="Times New Roman" w:hAnsi="Times New Roman" w:eastAsia="宋体" w:cs="Times New Roman"/>
                <w:color w:val="auto"/>
                <w:spacing w:val="0"/>
                <w:position w:val="0"/>
                <w:sz w:val="21"/>
                <w:szCs w:val="21"/>
                <w:highlight w:val="none"/>
              </w:rPr>
              <w:t>、NH</w:t>
            </w:r>
            <w:r>
              <w:rPr>
                <w:rFonts w:hint="default" w:ascii="Times New Roman" w:hAnsi="Times New Roman" w:eastAsia="宋体" w:cs="Times New Roman"/>
                <w:color w:val="auto"/>
                <w:spacing w:val="0"/>
                <w:position w:val="0"/>
                <w:sz w:val="21"/>
                <w:szCs w:val="21"/>
                <w:highlight w:val="none"/>
                <w:vertAlign w:val="subscript"/>
              </w:rPr>
              <w:t>3</w:t>
            </w:r>
            <w:r>
              <w:rPr>
                <w:rFonts w:hint="default" w:ascii="Times New Roman" w:hAnsi="Times New Roman" w:eastAsia="宋体" w:cs="Times New Roman"/>
                <w:color w:val="auto"/>
                <w:spacing w:val="0"/>
                <w:position w:val="0"/>
                <w:sz w:val="21"/>
                <w:szCs w:val="21"/>
                <w:highlight w:val="none"/>
              </w:rPr>
              <w:t>-N、SS、TN、TP、动植物油</w:t>
            </w:r>
          </w:p>
        </w:tc>
        <w:tc>
          <w:tcPr>
            <w:tcW w:w="2520" w:type="dxa"/>
            <w:noWrap w:val="0"/>
            <w:vAlign w:val="center"/>
          </w:tcPr>
          <w:p w14:paraId="36ABDCB4">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生活污水、锅炉排污水、软化水处理浓水、冷却水排污水直接通过市政管网排入桦川县污水处理厂</w:t>
            </w:r>
            <w:r>
              <w:rPr>
                <w:rFonts w:hint="default" w:ascii="Times New Roman" w:hAnsi="Times New Roman" w:cs="Times New Roman"/>
                <w:color w:val="auto"/>
                <w:spacing w:val="0"/>
                <w:position w:val="0"/>
                <w:sz w:val="21"/>
                <w:szCs w:val="21"/>
                <w:highlight w:val="none"/>
                <w:lang w:eastAsia="zh-CN"/>
              </w:rPr>
              <w:t>，浸出废水、精炼废水经厂区内污水处理站处理后</w:t>
            </w:r>
            <w:r>
              <w:rPr>
                <w:rFonts w:hint="default" w:ascii="Times New Roman" w:hAnsi="Times New Roman" w:eastAsia="宋体" w:cs="Times New Roman"/>
                <w:color w:val="auto"/>
                <w:spacing w:val="0"/>
                <w:position w:val="0"/>
                <w:sz w:val="21"/>
                <w:szCs w:val="21"/>
                <w:highlight w:val="none"/>
              </w:rPr>
              <w:t>通过市政管网排入桦川县污水处理厂</w:t>
            </w:r>
          </w:p>
        </w:tc>
        <w:tc>
          <w:tcPr>
            <w:tcW w:w="2386" w:type="dxa"/>
            <w:noWrap w:val="0"/>
            <w:vAlign w:val="center"/>
          </w:tcPr>
          <w:p w14:paraId="6B2DBFD0">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《食品加工制造业水污染物排放标准》（GB 46817-2025）表1中间接排放标准及桦川县污水处理厂进水指标</w:t>
            </w:r>
          </w:p>
        </w:tc>
      </w:tr>
      <w:tr w14:paraId="411061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89" w:type="dxa"/>
            <w:noWrap w:val="0"/>
            <w:vAlign w:val="center"/>
          </w:tcPr>
          <w:p w14:paraId="07B0A01E">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声环境</w:t>
            </w:r>
          </w:p>
        </w:tc>
        <w:tc>
          <w:tcPr>
            <w:tcW w:w="1530" w:type="dxa"/>
            <w:noWrap w:val="0"/>
            <w:vAlign w:val="center"/>
          </w:tcPr>
          <w:p w14:paraId="44AB570E">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设备噪声</w:t>
            </w:r>
          </w:p>
        </w:tc>
        <w:tc>
          <w:tcPr>
            <w:tcW w:w="1275" w:type="dxa"/>
            <w:noWrap w:val="0"/>
            <w:vAlign w:val="center"/>
          </w:tcPr>
          <w:p w14:paraId="57DEBC00">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dB</w:t>
            </w:r>
            <w:r>
              <w:rPr>
                <w:rFonts w:hint="default" w:ascii="Times New Roman" w:hAnsi="Times New Roman" w:cs="Times New Roman"/>
                <w:color w:val="auto"/>
                <w:spacing w:val="0"/>
                <w:position w:val="0"/>
                <w:sz w:val="21"/>
                <w:szCs w:val="21"/>
                <w:highlight w:val="none"/>
                <w:lang w:eastAsia="zh-CN"/>
              </w:rPr>
              <w:t>（</w:t>
            </w:r>
            <w:r>
              <w:rPr>
                <w:rFonts w:hint="default" w:ascii="Times New Roman" w:hAnsi="Times New Roman" w:cs="Times New Roman"/>
                <w:color w:val="auto"/>
                <w:spacing w:val="0"/>
                <w:position w:val="0"/>
                <w:sz w:val="21"/>
                <w:szCs w:val="21"/>
                <w:highlight w:val="none"/>
                <w:lang w:val="en-US" w:eastAsia="zh-CN"/>
              </w:rPr>
              <w:t>A</w:t>
            </w:r>
            <w:r>
              <w:rPr>
                <w:rFonts w:hint="default" w:ascii="Times New Roman" w:hAnsi="Times New Roman" w:cs="Times New Roman"/>
                <w:color w:val="auto"/>
                <w:spacing w:val="0"/>
                <w:position w:val="0"/>
                <w:sz w:val="21"/>
                <w:szCs w:val="21"/>
                <w:highlight w:val="none"/>
                <w:lang w:eastAsia="zh-CN"/>
              </w:rPr>
              <w:t>）</w:t>
            </w:r>
          </w:p>
        </w:tc>
        <w:tc>
          <w:tcPr>
            <w:tcW w:w="2520" w:type="dxa"/>
            <w:noWrap w:val="0"/>
            <w:vAlign w:val="center"/>
          </w:tcPr>
          <w:p w14:paraId="222F7BA0">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选择低噪声设备，隔声降噪措施</w:t>
            </w:r>
          </w:p>
        </w:tc>
        <w:tc>
          <w:tcPr>
            <w:tcW w:w="2386" w:type="dxa"/>
            <w:noWrap w:val="0"/>
            <w:vAlign w:val="center"/>
          </w:tcPr>
          <w:p w14:paraId="55A32483">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《工业企业厂界环境噪声排放标准》（GB12348-</w:t>
            </w:r>
          </w:p>
          <w:p w14:paraId="128C1EC7">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2008）</w:t>
            </w:r>
            <w:r>
              <w:rPr>
                <w:rFonts w:hint="default" w:ascii="Times New Roman" w:hAnsi="Times New Roman" w:eastAsia="宋体" w:cs="Times New Roman"/>
                <w:color w:val="auto"/>
                <w:spacing w:val="0"/>
                <w:position w:val="0"/>
                <w:sz w:val="21"/>
                <w:szCs w:val="21"/>
                <w:highlight w:val="none"/>
                <w:lang w:val="en-US" w:eastAsia="zh-CN"/>
              </w:rPr>
              <w:t>3</w:t>
            </w:r>
            <w:r>
              <w:rPr>
                <w:rFonts w:hint="default" w:ascii="Times New Roman" w:hAnsi="Times New Roman" w:eastAsia="宋体" w:cs="Times New Roman"/>
                <w:color w:val="auto"/>
                <w:spacing w:val="0"/>
                <w:position w:val="0"/>
                <w:sz w:val="21"/>
                <w:szCs w:val="21"/>
                <w:highlight w:val="none"/>
              </w:rPr>
              <w:t>类标准</w:t>
            </w:r>
          </w:p>
        </w:tc>
      </w:tr>
      <w:tr w14:paraId="17CB4C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89" w:type="dxa"/>
            <w:noWrap w:val="0"/>
            <w:vAlign w:val="center"/>
          </w:tcPr>
          <w:p w14:paraId="04BE73EB">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电磁辐射</w:t>
            </w:r>
          </w:p>
        </w:tc>
        <w:tc>
          <w:tcPr>
            <w:tcW w:w="1530" w:type="dxa"/>
            <w:noWrap w:val="0"/>
            <w:vAlign w:val="center"/>
          </w:tcPr>
          <w:p w14:paraId="42BAD54D">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w:t>
            </w:r>
          </w:p>
        </w:tc>
        <w:tc>
          <w:tcPr>
            <w:tcW w:w="1275" w:type="dxa"/>
            <w:noWrap w:val="0"/>
            <w:vAlign w:val="center"/>
          </w:tcPr>
          <w:p w14:paraId="019D1326">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w:t>
            </w:r>
          </w:p>
        </w:tc>
        <w:tc>
          <w:tcPr>
            <w:tcW w:w="2520" w:type="dxa"/>
            <w:noWrap w:val="0"/>
            <w:vAlign w:val="center"/>
          </w:tcPr>
          <w:p w14:paraId="4842A9EE">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w:t>
            </w:r>
          </w:p>
        </w:tc>
        <w:tc>
          <w:tcPr>
            <w:tcW w:w="2386" w:type="dxa"/>
            <w:noWrap w:val="0"/>
            <w:vAlign w:val="center"/>
          </w:tcPr>
          <w:p w14:paraId="168D2076">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w:t>
            </w:r>
          </w:p>
        </w:tc>
      </w:tr>
      <w:tr w14:paraId="275B0E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89" w:type="dxa"/>
            <w:noWrap w:val="0"/>
            <w:vAlign w:val="center"/>
          </w:tcPr>
          <w:p w14:paraId="1C9E0814">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固体废物</w:t>
            </w:r>
          </w:p>
        </w:tc>
        <w:tc>
          <w:tcPr>
            <w:tcW w:w="7711" w:type="dxa"/>
            <w:gridSpan w:val="4"/>
            <w:noWrap w:val="0"/>
            <w:vAlign w:val="center"/>
          </w:tcPr>
          <w:p w14:paraId="586419F3">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bCs/>
                <w:color w:val="auto"/>
                <w:spacing w:val="0"/>
                <w:position w:val="0"/>
                <w:sz w:val="21"/>
                <w:szCs w:val="21"/>
                <w:highlight w:val="none"/>
                <w:lang w:val="en-US" w:eastAsia="zh-CN"/>
              </w:rPr>
              <w:t>生活垃圾交由市政环卫部门处置；预处理车间清理杂质、预处理车间收集粉尘集中收集后定期清运至市政主管部门指定地点进行处置；油角、脂肪酸外售综合利用；废白土集中收集交由厂家回收处理；锅炉炉渣、锅炉除尘器收尘集中收集后外售综合利用；废离子交换树脂更换时交由厂家回收利用；废布袋更换时交由厂家回收利用；污水处理站污泥定期清运至市政主管部门指定地点进行处置；污水处理站废活性炭定期清运至市政主管部门指定地点进行处置。精炼车间废活性炭和废机油属于危险废物，暂存于危险废物贮存库内，交由有资质单位处理。</w:t>
            </w:r>
          </w:p>
        </w:tc>
      </w:tr>
      <w:tr w14:paraId="264633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89" w:type="dxa"/>
            <w:noWrap w:val="0"/>
            <w:vAlign w:val="center"/>
          </w:tcPr>
          <w:p w14:paraId="1B99757E">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土壤及地下水污染防治措施</w:t>
            </w:r>
          </w:p>
        </w:tc>
        <w:tc>
          <w:tcPr>
            <w:tcW w:w="7711" w:type="dxa"/>
            <w:gridSpan w:val="4"/>
            <w:noWrap w:val="0"/>
            <w:vAlign w:val="center"/>
          </w:tcPr>
          <w:p w14:paraId="391A1576">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采取分区防渗措施，地下溶剂库、</w:t>
            </w:r>
            <w:r>
              <w:rPr>
                <w:rFonts w:hint="default" w:ascii="Times New Roman" w:hAnsi="Times New Roman" w:cs="Times New Roman"/>
                <w:color w:val="auto"/>
                <w:spacing w:val="0"/>
                <w:position w:val="0"/>
                <w:sz w:val="21"/>
                <w:szCs w:val="21"/>
                <w:highlight w:val="none"/>
                <w:lang w:val="en-US" w:eastAsia="zh-CN"/>
              </w:rPr>
              <w:t>储油</w:t>
            </w:r>
            <w:r>
              <w:rPr>
                <w:rFonts w:hint="default" w:ascii="Times New Roman" w:hAnsi="Times New Roman" w:eastAsia="宋体" w:cs="Times New Roman"/>
                <w:color w:val="auto"/>
                <w:spacing w:val="0"/>
                <w:position w:val="0"/>
                <w:sz w:val="21"/>
                <w:szCs w:val="21"/>
                <w:highlight w:val="none"/>
              </w:rPr>
              <w:t>罐区</w:t>
            </w:r>
            <w:r>
              <w:rPr>
                <w:rFonts w:hint="default" w:ascii="Times New Roman" w:hAnsi="Times New Roman"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污水处理站、危险废物贮存库</w:t>
            </w:r>
            <w:r>
              <w:rPr>
                <w:rFonts w:hint="default" w:ascii="Times New Roman" w:hAnsi="Times New Roman" w:eastAsia="宋体" w:cs="Times New Roman"/>
                <w:color w:val="auto"/>
                <w:spacing w:val="0"/>
                <w:position w:val="0"/>
                <w:sz w:val="21"/>
                <w:szCs w:val="21"/>
                <w:highlight w:val="none"/>
                <w:lang w:val="en-US" w:eastAsia="zh-CN"/>
              </w:rPr>
              <w:t>为重点防渗区，</w:t>
            </w:r>
            <w:r>
              <w:rPr>
                <w:rFonts w:hint="default" w:ascii="Times New Roman" w:hAnsi="Times New Roman" w:eastAsia="宋体" w:cs="Times New Roman"/>
                <w:color w:val="auto"/>
                <w:spacing w:val="0"/>
                <w:position w:val="0"/>
                <w:sz w:val="21"/>
                <w:szCs w:val="21"/>
                <w:highlight w:val="none"/>
              </w:rPr>
              <w:t>采用防渗水泥地面+2.0mm厚高密度聚乙烯进行防渗处理，达到等效黏土Mb≥6m，渗透系数K≤1×10</w:t>
            </w:r>
            <w:r>
              <w:rPr>
                <w:rFonts w:hint="default" w:ascii="Times New Roman" w:hAnsi="Times New Roman" w:eastAsia="宋体" w:cs="Times New Roman"/>
                <w:color w:val="auto"/>
                <w:spacing w:val="0"/>
                <w:position w:val="0"/>
                <w:sz w:val="21"/>
                <w:szCs w:val="21"/>
                <w:highlight w:val="none"/>
                <w:vertAlign w:val="superscript"/>
              </w:rPr>
              <w:t>-10</w:t>
            </w:r>
            <w:r>
              <w:rPr>
                <w:rFonts w:hint="default" w:ascii="Times New Roman" w:hAnsi="Times New Roman" w:eastAsia="宋体" w:cs="Times New Roman"/>
                <w:color w:val="auto"/>
                <w:spacing w:val="0"/>
                <w:position w:val="0"/>
                <w:sz w:val="21"/>
                <w:szCs w:val="21"/>
                <w:highlight w:val="none"/>
              </w:rPr>
              <w:t>cm/s，本项目溶剂储罐区和储油罐区设置围堰，围堰进行重点防渗，采用防渗水泥地面+2.0mm厚高密度聚乙烯进行防渗处理，达到等效黏土Mb≥6m，渗透系数K≤1×10</w:t>
            </w:r>
            <w:r>
              <w:rPr>
                <w:rFonts w:hint="default" w:ascii="Times New Roman" w:hAnsi="Times New Roman" w:eastAsia="宋体" w:cs="Times New Roman"/>
                <w:color w:val="auto"/>
                <w:spacing w:val="0"/>
                <w:position w:val="0"/>
                <w:sz w:val="21"/>
                <w:szCs w:val="21"/>
                <w:highlight w:val="none"/>
                <w:vertAlign w:val="superscript"/>
              </w:rPr>
              <w:t>-10</w:t>
            </w:r>
            <w:r>
              <w:rPr>
                <w:rFonts w:hint="default" w:ascii="Times New Roman" w:hAnsi="Times New Roman" w:eastAsia="宋体" w:cs="Times New Roman"/>
                <w:color w:val="auto"/>
                <w:spacing w:val="0"/>
                <w:position w:val="0"/>
                <w:sz w:val="21"/>
                <w:szCs w:val="21"/>
                <w:highlight w:val="none"/>
              </w:rPr>
              <w:t>cm/s；预处理车间、浸出车间、精炼车间、包装车间</w:t>
            </w:r>
            <w:r>
              <w:rPr>
                <w:rFonts w:hint="default" w:ascii="Times New Roman" w:hAnsi="Times New Roman" w:eastAsia="宋体" w:cs="Times New Roman"/>
                <w:color w:val="auto"/>
                <w:spacing w:val="0"/>
                <w:position w:val="0"/>
                <w:sz w:val="21"/>
                <w:szCs w:val="21"/>
                <w:highlight w:val="none"/>
                <w:lang w:val="en-US" w:eastAsia="zh-CN"/>
              </w:rPr>
              <w:t>为</w:t>
            </w:r>
            <w:r>
              <w:rPr>
                <w:rFonts w:hint="default" w:ascii="Times New Roman" w:hAnsi="Times New Roman" w:eastAsia="宋体" w:cs="Times New Roman"/>
                <w:color w:val="auto"/>
                <w:spacing w:val="0"/>
                <w:position w:val="0"/>
                <w:sz w:val="21"/>
                <w:szCs w:val="21"/>
                <w:highlight w:val="none"/>
              </w:rPr>
              <w:t>一般防渗</w:t>
            </w:r>
            <w:r>
              <w:rPr>
                <w:rFonts w:hint="default" w:ascii="Times New Roman" w:hAnsi="Times New Roman" w:eastAsia="宋体" w:cs="Times New Roman"/>
                <w:color w:val="auto"/>
                <w:spacing w:val="0"/>
                <w:position w:val="0"/>
                <w:sz w:val="21"/>
                <w:szCs w:val="21"/>
                <w:highlight w:val="none"/>
                <w:lang w:val="en-US" w:eastAsia="zh-CN"/>
              </w:rPr>
              <w:t>区</w:t>
            </w:r>
            <w:r>
              <w:rPr>
                <w:rFonts w:hint="default" w:ascii="Times New Roman" w:hAnsi="Times New Roman" w:eastAsia="宋体" w:cs="Times New Roman"/>
                <w:color w:val="auto"/>
                <w:spacing w:val="0"/>
                <w:position w:val="0"/>
                <w:sz w:val="21"/>
                <w:szCs w:val="21"/>
                <w:highlight w:val="none"/>
              </w:rPr>
              <w:t>，采取粘土铺底，再上层铺水泥进行硬化，达到等效黏土Mb≥1.5m，K≤1.0×10</w:t>
            </w:r>
            <w:r>
              <w:rPr>
                <w:rFonts w:hint="default" w:ascii="Times New Roman" w:hAnsi="Times New Roman" w:eastAsia="宋体" w:cs="Times New Roman"/>
                <w:color w:val="auto"/>
                <w:spacing w:val="0"/>
                <w:position w:val="0"/>
                <w:sz w:val="21"/>
                <w:szCs w:val="21"/>
                <w:highlight w:val="none"/>
                <w:vertAlign w:val="superscript"/>
              </w:rPr>
              <w:t>-7</w:t>
            </w:r>
            <w:r>
              <w:rPr>
                <w:rFonts w:hint="default" w:ascii="Times New Roman" w:hAnsi="Times New Roman" w:eastAsia="宋体" w:cs="Times New Roman"/>
                <w:color w:val="auto"/>
                <w:spacing w:val="0"/>
                <w:position w:val="0"/>
                <w:sz w:val="21"/>
                <w:szCs w:val="21"/>
                <w:highlight w:val="none"/>
              </w:rPr>
              <w:t>cm/s。</w:t>
            </w:r>
            <w:r>
              <w:rPr>
                <w:rFonts w:hint="default" w:ascii="Times New Roman" w:hAnsi="Times New Roman" w:cs="Times New Roman"/>
                <w:color w:val="auto"/>
                <w:spacing w:val="0"/>
                <w:position w:val="0"/>
                <w:sz w:val="21"/>
                <w:szCs w:val="21"/>
                <w:highlight w:val="none"/>
                <w:lang w:val="en-US" w:eastAsia="zh-CN"/>
              </w:rPr>
              <w:t>除重点防渗区和一般防渗区外为简单防渗区，采取水泥地面硬化。</w:t>
            </w:r>
          </w:p>
        </w:tc>
      </w:tr>
      <w:tr w14:paraId="61C0DD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89" w:type="dxa"/>
            <w:noWrap w:val="0"/>
            <w:vAlign w:val="center"/>
          </w:tcPr>
          <w:p w14:paraId="2E99995E">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生态保护措施</w:t>
            </w:r>
          </w:p>
        </w:tc>
        <w:tc>
          <w:tcPr>
            <w:tcW w:w="7711" w:type="dxa"/>
            <w:gridSpan w:val="4"/>
            <w:noWrap w:val="0"/>
            <w:vAlign w:val="center"/>
          </w:tcPr>
          <w:p w14:paraId="4D88C220">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无</w:t>
            </w:r>
          </w:p>
        </w:tc>
      </w:tr>
      <w:tr w14:paraId="463462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89" w:type="dxa"/>
            <w:noWrap w:val="0"/>
            <w:vAlign w:val="center"/>
          </w:tcPr>
          <w:p w14:paraId="6FD4200E">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环境风险</w:t>
            </w:r>
          </w:p>
          <w:p w14:paraId="731F85C1">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防范措施</w:t>
            </w:r>
          </w:p>
        </w:tc>
        <w:tc>
          <w:tcPr>
            <w:tcW w:w="7711" w:type="dxa"/>
            <w:gridSpan w:val="4"/>
            <w:noWrap w:val="0"/>
            <w:vAlign w:val="center"/>
          </w:tcPr>
          <w:p w14:paraId="2BD09457">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420" w:firstLineChars="200"/>
              <w:jc w:val="left"/>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为防止环境风险事故的发生，企业拟采取以下风险防范措施：</w:t>
            </w:r>
          </w:p>
          <w:p w14:paraId="100CE213">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420" w:firstLineChars="200"/>
              <w:jc w:val="left"/>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（1）管理措施</w:t>
            </w:r>
          </w:p>
          <w:p w14:paraId="38B2C74F">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420" w:firstLineChars="200"/>
              <w:jc w:val="left"/>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①制订安全、防火制度，各岗位操作规范，环境管理巡查制度等，严格落实各项防火、用电安全和环境风险防范措施，加强对职工的安全教育，向项目区职工传授消防灭火知识等。</w:t>
            </w:r>
          </w:p>
          <w:p w14:paraId="2FC93892">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420" w:firstLineChars="200"/>
              <w:jc w:val="left"/>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②严格人员管理</w:t>
            </w:r>
          </w:p>
          <w:p w14:paraId="6D1FAEE3">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420" w:firstLineChars="200"/>
              <w:jc w:val="left"/>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人为因素往往是事故发生的主要原因，因此严格管理，做好人的工作是预防事故发生的重要环节。主要内容包括：加强项目区职工的风险意识和环境意识教育，增强安全、环境意识。提高人的责任心和主动性；强化管理人员岗位责任制，严格各项操作规程和奖惩制度，对操作人员进行系统的岗位培训，使每个操作人员都能够熟悉工作岗位责任及操作规程；设置专职或兼职环保监督管理员，负责本项目区的安全和环保问题，对事故易发部位、地点必须经常检查，杜绝事故隐患，发现问题及时处置并立即向有关部门报告。</w:t>
            </w:r>
          </w:p>
          <w:p w14:paraId="3EB30D44">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420" w:firstLineChars="200"/>
              <w:jc w:val="left"/>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③完善安全措施</w:t>
            </w:r>
          </w:p>
          <w:p w14:paraId="70D1C787">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420" w:firstLineChars="200"/>
              <w:jc w:val="left"/>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完善的安全措施是保障安全</w:t>
            </w:r>
            <w:r>
              <w:rPr>
                <w:rFonts w:hint="default" w:ascii="Times New Roman" w:hAnsi="Times New Roman" w:cs="Times New Roman"/>
                <w:color w:val="auto"/>
                <w:spacing w:val="0"/>
                <w:position w:val="0"/>
                <w:sz w:val="21"/>
                <w:szCs w:val="21"/>
                <w:highlight w:val="none"/>
                <w:lang w:eastAsia="zh-CN"/>
              </w:rPr>
              <w:t>运营</w:t>
            </w:r>
            <w:r>
              <w:rPr>
                <w:rFonts w:hint="default" w:ascii="Times New Roman" w:hAnsi="Times New Roman" w:eastAsia="宋体" w:cs="Times New Roman"/>
                <w:color w:val="auto"/>
                <w:spacing w:val="0"/>
                <w:position w:val="0"/>
                <w:sz w:val="21"/>
                <w:szCs w:val="21"/>
                <w:highlight w:val="none"/>
              </w:rPr>
              <w:t>的重要组成部分，对项目区实行全员、全过程、全方位的安全管理，制定安全管理规章和安全管理措施。</w:t>
            </w:r>
          </w:p>
          <w:p w14:paraId="61FD121B">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420" w:firstLineChars="200"/>
              <w:jc w:val="left"/>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（2）技术措施</w:t>
            </w:r>
          </w:p>
          <w:p w14:paraId="042F55C0">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420" w:firstLineChars="200"/>
              <w:jc w:val="left"/>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①工艺技术安全措施：选择合适的设备和管道密封型材质，避免泄漏事故发生；工程等级要严格执行国家及行业标准，严格执行相关标准，满足防火防渗要求；选择质量好的阀门和管件，保证长周期安全运行。</w:t>
            </w:r>
          </w:p>
          <w:p w14:paraId="56FEF057">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420" w:firstLineChars="200"/>
              <w:jc w:val="left"/>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②项目区内的各类电气设备均选用相应防火等级的产品。电缆敷设及配电间的设计均考虑防火要求，项目区内的所有电气设备均选用防火型，设计防雷、防静电措施，配置相应防火等级的电气设备和灯具，仪表选用质量安全型。</w:t>
            </w:r>
          </w:p>
          <w:p w14:paraId="544262EF">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420" w:firstLineChars="200"/>
              <w:jc w:val="left"/>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③项目区各装置按防火规范和火灾自动报警系统设计规范要求，设置一套火灾自动报警系统。</w:t>
            </w:r>
            <w:r>
              <w:rPr>
                <w:rFonts w:hint="default" w:ascii="Times New Roman" w:hAnsi="Times New Roman" w:cs="Times New Roman"/>
                <w:color w:val="auto"/>
                <w:spacing w:val="0"/>
                <w:position w:val="0"/>
                <w:sz w:val="21"/>
                <w:szCs w:val="21"/>
                <w:highlight w:val="none"/>
                <w:lang w:eastAsia="zh-CN"/>
              </w:rPr>
              <w:t>一旦</w:t>
            </w:r>
            <w:r>
              <w:rPr>
                <w:rFonts w:hint="default" w:ascii="Times New Roman" w:hAnsi="Times New Roman" w:eastAsia="宋体" w:cs="Times New Roman"/>
                <w:color w:val="auto"/>
                <w:spacing w:val="0"/>
                <w:position w:val="0"/>
                <w:sz w:val="21"/>
                <w:szCs w:val="21"/>
                <w:highlight w:val="none"/>
              </w:rPr>
              <w:t>发现火灾危险情况，及时发出报警信号，操作人员应高度注意，采取适时补救措施。</w:t>
            </w:r>
          </w:p>
          <w:p w14:paraId="1582C27B">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420" w:firstLineChars="200"/>
              <w:jc w:val="left"/>
              <w:textAlignment w:val="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lang w:val="en-US" w:eastAsia="zh-CN"/>
              </w:rPr>
              <w:t>3</w:t>
            </w:r>
            <w:r>
              <w:rPr>
                <w:rFonts w:hint="default" w:ascii="Times New Roman" w:hAnsi="Times New Roman" w:eastAsia="宋体" w:cs="Times New Roman"/>
                <w:color w:val="auto"/>
                <w:spacing w:val="0"/>
                <w:position w:val="0"/>
                <w:sz w:val="21"/>
                <w:szCs w:val="21"/>
                <w:highlight w:val="none"/>
                <w:lang w:eastAsia="zh-CN"/>
              </w:rPr>
              <w:t>）风险防范</w:t>
            </w:r>
          </w:p>
          <w:p w14:paraId="01B0E546">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420" w:firstLineChars="200"/>
              <w:jc w:val="left"/>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①罐区进行合理布局，加强通风，远离热源、高温、明火，避免阳光直射，采取防火、防爆、防静电、防雷等措施，设置明显的安全警示标志。专人进行管理，非操作人员不得随意进入，配备消防设施和个人防护用品。</w:t>
            </w:r>
          </w:p>
          <w:p w14:paraId="267D7B18">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420" w:firstLineChars="200"/>
              <w:jc w:val="left"/>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②定期对罐区和锅炉房进行检查，减少</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跑、冒、滴、漏</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现象发生。</w:t>
            </w:r>
          </w:p>
          <w:p w14:paraId="34892C3A">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420" w:firstLineChars="200"/>
              <w:jc w:val="left"/>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③罐区地面进行硬化和必要的防渗处理，</w:t>
            </w:r>
            <w:r>
              <w:rPr>
                <w:rFonts w:hint="default" w:ascii="Times New Roman" w:hAnsi="Times New Roman" w:eastAsia="宋体" w:cs="Times New Roman"/>
                <w:color w:val="auto"/>
                <w:spacing w:val="0"/>
                <w:position w:val="0"/>
                <w:sz w:val="21"/>
                <w:szCs w:val="21"/>
                <w:highlight w:val="none"/>
                <w:lang w:eastAsia="zh-CN"/>
              </w:rPr>
              <w:t>避免</w:t>
            </w:r>
            <w:r>
              <w:rPr>
                <w:rFonts w:hint="default" w:ascii="Times New Roman" w:hAnsi="Times New Roman" w:eastAsia="宋体" w:cs="Times New Roman"/>
                <w:color w:val="auto"/>
                <w:spacing w:val="0"/>
                <w:position w:val="0"/>
                <w:sz w:val="21"/>
                <w:szCs w:val="21"/>
                <w:highlight w:val="none"/>
              </w:rPr>
              <w:t>物料渗漏时对地下水</w:t>
            </w:r>
            <w:r>
              <w:rPr>
                <w:rFonts w:hint="default" w:ascii="Times New Roman" w:hAnsi="Times New Roman" w:cs="Times New Roman"/>
                <w:color w:val="auto"/>
                <w:spacing w:val="0"/>
                <w:position w:val="0"/>
                <w:sz w:val="21"/>
                <w:szCs w:val="21"/>
                <w:highlight w:val="none"/>
                <w:lang w:eastAsia="zh-CN"/>
              </w:rPr>
              <w:t>造成</w:t>
            </w:r>
            <w:r>
              <w:rPr>
                <w:rFonts w:hint="default" w:ascii="Times New Roman" w:hAnsi="Times New Roman" w:eastAsia="宋体" w:cs="Times New Roman"/>
                <w:color w:val="auto"/>
                <w:spacing w:val="0"/>
                <w:position w:val="0"/>
                <w:sz w:val="21"/>
                <w:szCs w:val="21"/>
                <w:highlight w:val="none"/>
              </w:rPr>
              <w:t>影响。</w:t>
            </w:r>
          </w:p>
          <w:p w14:paraId="3EDE3071">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420" w:firstLineChars="200"/>
              <w:jc w:val="left"/>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④配备火灾自动报警系统，减小危险物质发生泄漏或火灾时对外环境的影响。</w:t>
            </w:r>
          </w:p>
          <w:p w14:paraId="21A9CF55">
            <w:pPr>
              <w:pStyle w:val="87"/>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420" w:firstLineChars="200"/>
              <w:jc w:val="left"/>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lang w:val="en-GB"/>
              </w:rPr>
              <w:fldChar w:fldCharType="begin"/>
            </w:r>
            <w:r>
              <w:rPr>
                <w:rFonts w:hint="default" w:ascii="Times New Roman" w:hAnsi="Times New Roman" w:eastAsia="宋体" w:cs="Times New Roman"/>
                <w:color w:val="auto"/>
                <w:spacing w:val="0"/>
                <w:position w:val="0"/>
                <w:sz w:val="21"/>
                <w:szCs w:val="21"/>
                <w:highlight w:val="none"/>
                <w:lang w:val="en-GB"/>
              </w:rPr>
              <w:instrText xml:space="preserve"> = 5 \* GB3 \* MERGEFORMAT </w:instrText>
            </w:r>
            <w:r>
              <w:rPr>
                <w:rFonts w:hint="default" w:ascii="Times New Roman" w:hAnsi="Times New Roman" w:eastAsia="宋体" w:cs="Times New Roman"/>
                <w:color w:val="auto"/>
                <w:spacing w:val="0"/>
                <w:position w:val="0"/>
                <w:sz w:val="21"/>
                <w:szCs w:val="21"/>
                <w:highlight w:val="none"/>
                <w:lang w:val="en-GB"/>
              </w:rPr>
              <w:fldChar w:fldCharType="separate"/>
            </w:r>
            <w:r>
              <w:rPr>
                <w:rFonts w:hint="default" w:ascii="Times New Roman" w:hAnsi="Times New Roman" w:eastAsia="宋体" w:cs="Times New Roman"/>
                <w:color w:val="auto"/>
                <w:spacing w:val="0"/>
                <w:position w:val="0"/>
                <w:sz w:val="21"/>
                <w:szCs w:val="21"/>
                <w:highlight w:val="none"/>
              </w:rPr>
              <w:t>⑤</w:t>
            </w:r>
            <w:r>
              <w:rPr>
                <w:rFonts w:hint="default" w:ascii="Times New Roman" w:hAnsi="Times New Roman" w:eastAsia="宋体" w:cs="Times New Roman"/>
                <w:color w:val="auto"/>
                <w:spacing w:val="0"/>
                <w:position w:val="0"/>
                <w:sz w:val="21"/>
                <w:szCs w:val="21"/>
                <w:highlight w:val="none"/>
                <w:lang w:val="en-GB"/>
              </w:rPr>
              <w:fldChar w:fldCharType="end"/>
            </w:r>
            <w:r>
              <w:rPr>
                <w:rFonts w:hint="default" w:ascii="Times New Roman" w:hAnsi="Times New Roman" w:eastAsia="宋体" w:cs="Times New Roman"/>
                <w:color w:val="auto"/>
                <w:spacing w:val="0"/>
                <w:position w:val="0"/>
                <w:sz w:val="21"/>
                <w:szCs w:val="21"/>
                <w:highlight w:val="none"/>
                <w:lang w:val="en-GB" w:eastAsia="zh-CN"/>
              </w:rPr>
              <w:t>在正己烷埋地储罐上方约</w:t>
            </w:r>
            <w:r>
              <w:rPr>
                <w:rFonts w:hint="default" w:ascii="Times New Roman" w:hAnsi="Times New Roman" w:eastAsia="宋体" w:cs="Times New Roman"/>
                <w:color w:val="auto"/>
                <w:spacing w:val="0"/>
                <w:position w:val="0"/>
                <w:sz w:val="21"/>
                <w:szCs w:val="21"/>
                <w:highlight w:val="none"/>
                <w:lang w:val="en-US" w:eastAsia="zh-CN"/>
              </w:rPr>
              <w:t>0.5m处设置可燃气体报警设备。</w:t>
            </w:r>
          </w:p>
        </w:tc>
      </w:tr>
      <w:tr w14:paraId="7D1205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60" w:hRule="atLeast"/>
          <w:jc w:val="center"/>
        </w:trPr>
        <w:tc>
          <w:tcPr>
            <w:tcW w:w="1089" w:type="dxa"/>
            <w:noWrap w:val="0"/>
            <w:vAlign w:val="center"/>
          </w:tcPr>
          <w:p w14:paraId="77DC2683">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其他环境</w:t>
            </w:r>
          </w:p>
          <w:p w14:paraId="5CB2B001">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管理要求</w:t>
            </w:r>
          </w:p>
        </w:tc>
        <w:tc>
          <w:tcPr>
            <w:tcW w:w="7711" w:type="dxa"/>
            <w:gridSpan w:val="4"/>
            <w:noWrap w:val="0"/>
            <w:vAlign w:val="center"/>
          </w:tcPr>
          <w:p w14:paraId="4DDB1407">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420" w:firstLineChars="200"/>
              <w:jc w:val="left"/>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（1）本项目配套建设的环境保护设施必须与主体工程同时设计、同时施工、同时建成和投产使用，项目建成后</w:t>
            </w:r>
            <w:r>
              <w:rPr>
                <w:rFonts w:hint="default" w:ascii="Times New Roman" w:hAnsi="Times New Roman" w:cs="Times New Roman"/>
                <w:color w:val="auto"/>
                <w:spacing w:val="0"/>
                <w:position w:val="0"/>
                <w:sz w:val="21"/>
                <w:szCs w:val="21"/>
                <w:highlight w:val="none"/>
                <w:lang w:eastAsia="zh-CN"/>
              </w:rPr>
              <w:t>及时</w:t>
            </w:r>
            <w:r>
              <w:rPr>
                <w:rFonts w:hint="default" w:ascii="Times New Roman" w:hAnsi="Times New Roman" w:eastAsia="宋体" w:cs="Times New Roman"/>
                <w:color w:val="auto"/>
                <w:spacing w:val="0"/>
                <w:position w:val="0"/>
                <w:sz w:val="21"/>
                <w:szCs w:val="21"/>
                <w:highlight w:val="none"/>
              </w:rPr>
              <w:t>进行排污许可证申报，并按规定程序实施竣工环境保护验收，验收合格方可投入生产。</w:t>
            </w:r>
          </w:p>
          <w:p w14:paraId="19AF5530">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420" w:firstLineChars="200"/>
              <w:jc w:val="left"/>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（2）按环保部门有关规定与环保要求，搞好厂区的环境管理，实施厂、车间、工段的三级管理体制。全体员工参与，隐患自除，责任自负，避免对周边环境的影响。</w:t>
            </w:r>
          </w:p>
          <w:p w14:paraId="1F6B13C9">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420" w:firstLineChars="200"/>
              <w:jc w:val="left"/>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（3）加大力度</w:t>
            </w:r>
            <w:r>
              <w:rPr>
                <w:rFonts w:hint="default" w:ascii="Times New Roman" w:hAnsi="Times New Roman" w:cs="Times New Roman"/>
                <w:color w:val="auto"/>
                <w:spacing w:val="0"/>
                <w:position w:val="0"/>
                <w:sz w:val="21"/>
                <w:szCs w:val="21"/>
                <w:highlight w:val="none"/>
                <w:lang w:eastAsia="zh-CN"/>
              </w:rPr>
              <w:t>增强</w:t>
            </w:r>
            <w:r>
              <w:rPr>
                <w:rFonts w:hint="default" w:ascii="Times New Roman" w:hAnsi="Times New Roman" w:eastAsia="宋体" w:cs="Times New Roman"/>
                <w:color w:val="auto"/>
                <w:spacing w:val="0"/>
                <w:position w:val="0"/>
                <w:sz w:val="21"/>
                <w:szCs w:val="21"/>
                <w:highlight w:val="none"/>
              </w:rPr>
              <w:t>全体职工的环保意识，对重要装置在岗职工进行技术培训的同时，还应对其进行有关的环保法、环保事故发生后的应急措施等方面的培训，努力做到持证上岗，完善自身管理。</w:t>
            </w:r>
          </w:p>
          <w:p w14:paraId="7F195A69">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420" w:firstLineChars="200"/>
              <w:jc w:val="left"/>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（4）加强环境管理，制定与环保有关的完善的规章制度，切实落到实处。</w:t>
            </w:r>
          </w:p>
          <w:p w14:paraId="6A3E8FCF">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420" w:firstLineChars="200"/>
              <w:jc w:val="left"/>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（5）编制应急预案。</w:t>
            </w:r>
          </w:p>
          <w:p w14:paraId="00DE82F4">
            <w:pPr>
              <w:keepNext w:val="0"/>
              <w:keepLines w:val="0"/>
              <w:pageBreakBefore w:val="0"/>
              <w:widowControl w:val="0"/>
              <w:kinsoku/>
              <w:wordWrap/>
              <w:overflowPunct/>
              <w:topLinePunct w:val="0"/>
              <w:autoSpaceDE/>
              <w:autoSpaceDN/>
              <w:bidi w:val="0"/>
              <w:adjustRightInd w:val="0"/>
              <w:snapToGrid w:val="0"/>
              <w:spacing w:beforeAutospacing="0" w:afterAutospacing="0" w:line="320" w:lineRule="exact"/>
              <w:ind w:left="0" w:leftChars="0" w:right="0" w:rightChars="0" w:firstLine="420" w:firstLineChars="200"/>
              <w:jc w:val="left"/>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（6）根据《固定污染源排污许可分类管理名录（2019年版）》，在启动生产之前应按相关规定及时在全国排污许可管理平台上办理相应排污许可手续。</w:t>
            </w:r>
          </w:p>
        </w:tc>
      </w:tr>
    </w:tbl>
    <w:p w14:paraId="0363F23F">
      <w:pPr>
        <w:pStyle w:val="23"/>
        <w:keepNext w:val="0"/>
        <w:keepLines w:val="0"/>
        <w:pageBreakBefore w:val="0"/>
        <w:kinsoku/>
        <w:wordWrap/>
        <w:overflowPunct/>
        <w:topLinePunct w:val="0"/>
        <w:bidi w:val="0"/>
        <w:adjustRightInd w:val="0"/>
        <w:snapToGrid w:val="0"/>
        <w:spacing w:before="0" w:beforeAutospacing="0" w:after="0" w:afterAutospacing="0"/>
        <w:ind w:left="0" w:leftChars="0" w:right="0" w:rightChars="0"/>
        <w:jc w:val="center"/>
        <w:outlineLvl w:val="0"/>
        <w:rPr>
          <w:rFonts w:hint="default" w:ascii="Times New Roman" w:hAnsi="Times New Roman" w:eastAsia="宋体" w:cs="Times New Roman"/>
          <w:snapToGrid w:val="0"/>
          <w:color w:val="auto"/>
          <w:spacing w:val="0"/>
          <w:position w:val="0"/>
          <w:sz w:val="30"/>
          <w:szCs w:val="30"/>
          <w:highlight w:val="none"/>
        </w:rPr>
      </w:pPr>
      <w:r>
        <w:rPr>
          <w:rFonts w:hint="default" w:ascii="Times New Roman" w:hAnsi="Times New Roman" w:eastAsia="宋体" w:cs="Times New Roman"/>
          <w:snapToGrid w:val="0"/>
          <w:color w:val="auto"/>
          <w:spacing w:val="0"/>
          <w:position w:val="0"/>
          <w:highlight w:val="none"/>
        </w:rPr>
        <w:br w:type="page"/>
      </w:r>
      <w:bookmarkStart w:id="25" w:name="_Toc30623"/>
      <w:r>
        <w:rPr>
          <w:rFonts w:hint="default" w:ascii="Times New Roman" w:hAnsi="Times New Roman" w:eastAsia="宋体" w:cs="Times New Roman"/>
          <w:snapToGrid w:val="0"/>
          <w:color w:val="auto"/>
          <w:spacing w:val="0"/>
          <w:position w:val="0"/>
          <w:sz w:val="30"/>
          <w:szCs w:val="30"/>
          <w:highlight w:val="none"/>
        </w:rPr>
        <w:t>六、结论</w:t>
      </w:r>
      <w:bookmarkEnd w:id="25"/>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05CC22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71" w:hRule="atLeast"/>
          <w:jc w:val="center"/>
        </w:trPr>
        <w:tc>
          <w:tcPr>
            <w:tcW w:w="8865" w:type="dxa"/>
            <w:noWrap w:val="0"/>
            <w:vAlign w:val="top"/>
          </w:tcPr>
          <w:p w14:paraId="24FD9772">
            <w:pPr>
              <w:keepNext w:val="0"/>
              <w:keepLines w:val="0"/>
              <w:pageBreakBefore w:val="0"/>
              <w:widowControl w:val="0"/>
              <w:kinsoku/>
              <w:wordWrap/>
              <w:overflowPunct/>
              <w:topLinePunct w:val="0"/>
              <w:autoSpaceDE/>
              <w:autoSpaceDN/>
              <w:bidi w:val="0"/>
              <w:adjustRightInd w:val="0"/>
              <w:snapToGrid w:val="0"/>
              <w:spacing w:beforeAutospacing="0" w:afterAutospacing="0" w:line="520" w:lineRule="exact"/>
              <w:ind w:left="0" w:leftChars="0" w:right="0" w:rightChars="0" w:firstLine="480" w:firstLineChars="200"/>
              <w:jc w:val="both"/>
              <w:textAlignment w:val="auto"/>
              <w:rPr>
                <w:rFonts w:hint="default" w:ascii="Times New Roman" w:hAnsi="Times New Roman" w:eastAsia="宋体" w:cs="Times New Roman"/>
                <w:color w:val="auto"/>
                <w:spacing w:val="0"/>
                <w:position w:val="0"/>
                <w:sz w:val="24"/>
                <w:highlight w:val="none"/>
              </w:rPr>
            </w:pPr>
            <w:r>
              <w:rPr>
                <w:rFonts w:hint="default" w:ascii="Times New Roman" w:hAnsi="Times New Roman" w:eastAsia="宋体" w:cs="Times New Roman"/>
                <w:color w:val="auto"/>
                <w:spacing w:val="0"/>
                <w:position w:val="0"/>
                <w:sz w:val="24"/>
                <w:szCs w:val="24"/>
                <w:highlight w:val="none"/>
              </w:rPr>
              <w:t>黑龙江龙粮油脂有限公司10万吨米糠及3万吨大豆制油加工项目位于黑龙江省佳木斯市桦川县悦来镇悦来大街南段（桦川县泰丰植物油脂有限公司院内），通过本项目所在地环境现状调查、污染分析、环境影响分析可知，本项目建设符合国家产业政策，选址基本可行、厂区布局合理。采用的污染防治措施技术可行，可确保废水、废气、噪声达标排放，固废妥善处置。项目投产后具有良好的经济效益和一定的社会效益。只要在工程建设中，严格执行建设项目</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三同时</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制度，使各项环保治理措施得以落实，在工程运行过程中加强生产安全管理，从环境保护角度论证，本项目的建设是可行的。</w:t>
            </w:r>
          </w:p>
        </w:tc>
      </w:tr>
    </w:tbl>
    <w:p w14:paraId="418876D2">
      <w:pPr>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pacing w:val="0"/>
          <w:position w:val="0"/>
          <w:highlight w:val="none"/>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27397D49">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textAlignment w:val="auto"/>
        <w:outlineLvl w:val="9"/>
        <w:rPr>
          <w:rFonts w:hint="default" w:ascii="Times New Roman" w:hAnsi="Times New Roman" w:eastAsia="宋体" w:cs="Times New Roman"/>
          <w:snapToGrid w:val="0"/>
          <w:color w:val="auto"/>
          <w:spacing w:val="0"/>
          <w:position w:val="0"/>
          <w:sz w:val="24"/>
          <w:szCs w:val="24"/>
          <w:highlight w:val="none"/>
        </w:rPr>
      </w:pPr>
      <w:bookmarkStart w:id="26" w:name="_Toc4034"/>
      <w:r>
        <w:rPr>
          <w:rFonts w:hint="default" w:ascii="Times New Roman" w:hAnsi="Times New Roman" w:eastAsia="宋体" w:cs="Times New Roman"/>
          <w:b/>
          <w:bCs/>
          <w:snapToGrid w:val="0"/>
          <w:color w:val="auto"/>
          <w:spacing w:val="0"/>
          <w:position w:val="0"/>
          <w:sz w:val="24"/>
          <w:szCs w:val="24"/>
          <w:highlight w:val="none"/>
        </w:rPr>
        <w:t>附表</w:t>
      </w:r>
      <w:bookmarkEnd w:id="26"/>
    </w:p>
    <w:p w14:paraId="73AF0F14">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0"/>
        <w:rPr>
          <w:rFonts w:hint="default" w:ascii="Times New Roman" w:hAnsi="Times New Roman" w:eastAsia="宋体" w:cs="Times New Roman"/>
          <w:b/>
          <w:bCs/>
          <w:snapToGrid w:val="0"/>
          <w:color w:val="auto"/>
          <w:spacing w:val="0"/>
          <w:position w:val="0"/>
          <w:sz w:val="24"/>
          <w:szCs w:val="24"/>
          <w:highlight w:val="none"/>
        </w:rPr>
      </w:pPr>
      <w:bookmarkStart w:id="27" w:name="_Toc31307"/>
      <w:r>
        <w:rPr>
          <w:rFonts w:hint="default" w:ascii="Times New Roman" w:hAnsi="Times New Roman" w:eastAsia="宋体" w:cs="Times New Roman"/>
          <w:b/>
          <w:bCs/>
          <w:snapToGrid w:val="0"/>
          <w:color w:val="auto"/>
          <w:spacing w:val="0"/>
          <w:position w:val="0"/>
          <w:sz w:val="24"/>
          <w:szCs w:val="24"/>
          <w:highlight w:val="none"/>
        </w:rPr>
        <w:t>建设项目污染物排放量汇总表</w:t>
      </w:r>
      <w:bookmarkEnd w:id="27"/>
    </w:p>
    <w:tbl>
      <w:tblPr>
        <w:tblStyle w:val="29"/>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2295"/>
        <w:gridCol w:w="1322"/>
        <w:gridCol w:w="1067"/>
        <w:gridCol w:w="1470"/>
        <w:gridCol w:w="1530"/>
        <w:gridCol w:w="1560"/>
        <w:gridCol w:w="1890"/>
        <w:gridCol w:w="1565"/>
      </w:tblGrid>
      <w:tr w14:paraId="0DDE96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089" w:type="dxa"/>
            <w:tcBorders>
              <w:tl2br w:val="single" w:color="auto" w:sz="4" w:space="0"/>
            </w:tcBorders>
            <w:noWrap w:val="0"/>
            <w:tcMar>
              <w:left w:w="28" w:type="dxa"/>
              <w:right w:w="28" w:type="dxa"/>
            </w:tcMar>
            <w:vAlign w:val="top"/>
          </w:tcPr>
          <w:p w14:paraId="0953A607">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right"/>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项目</w:t>
            </w:r>
          </w:p>
          <w:p w14:paraId="7E7CC39D">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both"/>
              <w:rPr>
                <w:rFonts w:hint="default" w:ascii="Times New Roman" w:hAnsi="Times New Roman" w:eastAsia="宋体" w:cs="Times New Roman"/>
                <w:snapToGrid w:val="0"/>
                <w:color w:val="auto"/>
                <w:spacing w:val="0"/>
                <w:kern w:val="21"/>
                <w:position w:val="0"/>
                <w:szCs w:val="21"/>
                <w:highlight w:val="none"/>
              </w:rPr>
            </w:pPr>
          </w:p>
          <w:p w14:paraId="4C50E390">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both"/>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分类</w:t>
            </w:r>
          </w:p>
        </w:tc>
        <w:tc>
          <w:tcPr>
            <w:tcW w:w="2295" w:type="dxa"/>
            <w:noWrap w:val="0"/>
            <w:tcMar>
              <w:left w:w="28" w:type="dxa"/>
              <w:right w:w="28" w:type="dxa"/>
            </w:tcMar>
            <w:vAlign w:val="center"/>
          </w:tcPr>
          <w:p w14:paraId="4D85751A">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污染物名称</w:t>
            </w:r>
          </w:p>
        </w:tc>
        <w:tc>
          <w:tcPr>
            <w:tcW w:w="1322" w:type="dxa"/>
            <w:noWrap w:val="0"/>
            <w:tcMar>
              <w:left w:w="28" w:type="dxa"/>
              <w:right w:w="28" w:type="dxa"/>
            </w:tcMar>
            <w:vAlign w:val="center"/>
          </w:tcPr>
          <w:p w14:paraId="31887954">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现有工程排放量（固体废物产生量）</w:t>
            </w:r>
            <w:r>
              <w:rPr>
                <w:rFonts w:hint="default" w:ascii="Times New Roman" w:hAnsi="Times New Roman" w:eastAsia="宋体" w:cs="Times New Roman"/>
                <w:snapToGrid w:val="0"/>
                <w:color w:val="auto"/>
                <w:spacing w:val="0"/>
                <w:kern w:val="21"/>
                <w:position w:val="0"/>
                <w:szCs w:val="21"/>
                <w:highlight w:val="none"/>
              </w:rPr>
              <w:fldChar w:fldCharType="begin"/>
            </w:r>
            <w:r>
              <w:rPr>
                <w:rFonts w:hint="default" w:ascii="Times New Roman" w:hAnsi="Times New Roman" w:eastAsia="宋体" w:cs="Times New Roman"/>
                <w:snapToGrid w:val="0"/>
                <w:color w:val="auto"/>
                <w:spacing w:val="0"/>
                <w:kern w:val="21"/>
                <w:position w:val="0"/>
                <w:szCs w:val="21"/>
                <w:highlight w:val="none"/>
              </w:rPr>
              <w:instrText xml:space="preserve"> = 1 \* GB3 \* MERGEFORMAT </w:instrText>
            </w:r>
            <w:r>
              <w:rPr>
                <w:rFonts w:hint="default" w:ascii="Times New Roman" w:hAnsi="Times New Roman" w:eastAsia="宋体" w:cs="Times New Roman"/>
                <w:snapToGrid w:val="0"/>
                <w:color w:val="auto"/>
                <w:spacing w:val="0"/>
                <w:kern w:val="21"/>
                <w:position w:val="0"/>
                <w:szCs w:val="21"/>
                <w:highlight w:val="none"/>
              </w:rPr>
              <w:fldChar w:fldCharType="separate"/>
            </w:r>
            <w:r>
              <w:rPr>
                <w:rFonts w:hint="default" w:ascii="Times New Roman" w:hAnsi="Times New Roman" w:eastAsia="宋体" w:cs="Times New Roman"/>
                <w:color w:val="auto"/>
                <w:spacing w:val="0"/>
                <w:kern w:val="2"/>
                <w:position w:val="0"/>
                <w:szCs w:val="21"/>
                <w:highlight w:val="none"/>
              </w:rPr>
              <w:t>①</w:t>
            </w:r>
            <w:r>
              <w:rPr>
                <w:rFonts w:hint="default" w:ascii="Times New Roman" w:hAnsi="Times New Roman" w:eastAsia="宋体" w:cs="Times New Roman"/>
                <w:snapToGrid w:val="0"/>
                <w:color w:val="auto"/>
                <w:spacing w:val="0"/>
                <w:kern w:val="21"/>
                <w:position w:val="0"/>
                <w:szCs w:val="21"/>
                <w:highlight w:val="none"/>
              </w:rPr>
              <w:fldChar w:fldCharType="end"/>
            </w:r>
          </w:p>
        </w:tc>
        <w:tc>
          <w:tcPr>
            <w:tcW w:w="1067" w:type="dxa"/>
            <w:noWrap w:val="0"/>
            <w:tcMar>
              <w:left w:w="28" w:type="dxa"/>
              <w:right w:w="28" w:type="dxa"/>
            </w:tcMar>
            <w:vAlign w:val="center"/>
          </w:tcPr>
          <w:p w14:paraId="29CD1025">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现有工程许可排放量</w:t>
            </w:r>
            <w:r>
              <w:rPr>
                <w:rFonts w:hint="default" w:ascii="Times New Roman" w:hAnsi="Times New Roman" w:eastAsia="宋体" w:cs="Times New Roman"/>
                <w:snapToGrid w:val="0"/>
                <w:color w:val="auto"/>
                <w:spacing w:val="0"/>
                <w:kern w:val="21"/>
                <w:position w:val="0"/>
                <w:szCs w:val="21"/>
                <w:highlight w:val="none"/>
              </w:rPr>
              <w:fldChar w:fldCharType="begin"/>
            </w:r>
            <w:r>
              <w:rPr>
                <w:rFonts w:hint="default" w:ascii="Times New Roman" w:hAnsi="Times New Roman" w:eastAsia="宋体" w:cs="Times New Roman"/>
                <w:snapToGrid w:val="0"/>
                <w:color w:val="auto"/>
                <w:spacing w:val="0"/>
                <w:kern w:val="21"/>
                <w:position w:val="0"/>
                <w:szCs w:val="21"/>
                <w:highlight w:val="none"/>
              </w:rPr>
              <w:instrText xml:space="preserve"> = 2 \* GB3 \* MERGEFORMAT </w:instrText>
            </w:r>
            <w:r>
              <w:rPr>
                <w:rFonts w:hint="default" w:ascii="Times New Roman" w:hAnsi="Times New Roman" w:eastAsia="宋体" w:cs="Times New Roman"/>
                <w:snapToGrid w:val="0"/>
                <w:color w:val="auto"/>
                <w:spacing w:val="0"/>
                <w:kern w:val="21"/>
                <w:position w:val="0"/>
                <w:szCs w:val="21"/>
                <w:highlight w:val="none"/>
              </w:rPr>
              <w:fldChar w:fldCharType="separate"/>
            </w:r>
            <w:r>
              <w:rPr>
                <w:rFonts w:hint="default" w:ascii="Times New Roman" w:hAnsi="Times New Roman" w:eastAsia="宋体" w:cs="Times New Roman"/>
                <w:snapToGrid w:val="0"/>
                <w:color w:val="auto"/>
                <w:spacing w:val="0"/>
                <w:kern w:val="21"/>
                <w:position w:val="0"/>
                <w:szCs w:val="21"/>
                <w:highlight w:val="none"/>
              </w:rPr>
              <w:t>②</w:t>
            </w:r>
            <w:r>
              <w:rPr>
                <w:rFonts w:hint="default" w:ascii="Times New Roman" w:hAnsi="Times New Roman" w:eastAsia="宋体" w:cs="Times New Roman"/>
                <w:snapToGrid w:val="0"/>
                <w:color w:val="auto"/>
                <w:spacing w:val="0"/>
                <w:kern w:val="21"/>
                <w:position w:val="0"/>
                <w:szCs w:val="21"/>
                <w:highlight w:val="none"/>
              </w:rPr>
              <w:fldChar w:fldCharType="end"/>
            </w:r>
          </w:p>
        </w:tc>
        <w:tc>
          <w:tcPr>
            <w:tcW w:w="1470" w:type="dxa"/>
            <w:noWrap w:val="0"/>
            <w:tcMar>
              <w:left w:w="28" w:type="dxa"/>
              <w:right w:w="28" w:type="dxa"/>
            </w:tcMar>
            <w:vAlign w:val="center"/>
          </w:tcPr>
          <w:p w14:paraId="158CCD4F">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在建工程排放量（固体废物产生量）</w:t>
            </w:r>
            <w:r>
              <w:rPr>
                <w:rFonts w:hint="default" w:ascii="Times New Roman" w:hAnsi="Times New Roman" w:eastAsia="宋体" w:cs="Times New Roman"/>
                <w:snapToGrid w:val="0"/>
                <w:color w:val="auto"/>
                <w:spacing w:val="0"/>
                <w:kern w:val="21"/>
                <w:position w:val="0"/>
                <w:szCs w:val="21"/>
                <w:highlight w:val="none"/>
              </w:rPr>
              <w:fldChar w:fldCharType="begin"/>
            </w:r>
            <w:r>
              <w:rPr>
                <w:rFonts w:hint="default" w:ascii="Times New Roman" w:hAnsi="Times New Roman" w:eastAsia="宋体" w:cs="Times New Roman"/>
                <w:snapToGrid w:val="0"/>
                <w:color w:val="auto"/>
                <w:spacing w:val="0"/>
                <w:kern w:val="21"/>
                <w:position w:val="0"/>
                <w:szCs w:val="21"/>
                <w:highlight w:val="none"/>
              </w:rPr>
              <w:instrText xml:space="preserve"> = 3 \* GB3 \* MERGEFORMAT </w:instrText>
            </w:r>
            <w:r>
              <w:rPr>
                <w:rFonts w:hint="default" w:ascii="Times New Roman" w:hAnsi="Times New Roman" w:eastAsia="宋体" w:cs="Times New Roman"/>
                <w:snapToGrid w:val="0"/>
                <w:color w:val="auto"/>
                <w:spacing w:val="0"/>
                <w:kern w:val="21"/>
                <w:position w:val="0"/>
                <w:szCs w:val="21"/>
                <w:highlight w:val="none"/>
              </w:rPr>
              <w:fldChar w:fldCharType="separate"/>
            </w:r>
            <w:r>
              <w:rPr>
                <w:rFonts w:hint="default" w:ascii="Times New Roman" w:hAnsi="Times New Roman" w:eastAsia="宋体" w:cs="Times New Roman"/>
                <w:color w:val="auto"/>
                <w:spacing w:val="0"/>
                <w:kern w:val="2"/>
                <w:position w:val="0"/>
                <w:szCs w:val="21"/>
                <w:highlight w:val="none"/>
              </w:rPr>
              <w:t>③</w:t>
            </w:r>
            <w:r>
              <w:rPr>
                <w:rFonts w:hint="default" w:ascii="Times New Roman" w:hAnsi="Times New Roman" w:eastAsia="宋体" w:cs="Times New Roman"/>
                <w:snapToGrid w:val="0"/>
                <w:color w:val="auto"/>
                <w:spacing w:val="0"/>
                <w:kern w:val="21"/>
                <w:position w:val="0"/>
                <w:szCs w:val="21"/>
                <w:highlight w:val="none"/>
              </w:rPr>
              <w:fldChar w:fldCharType="end"/>
            </w:r>
          </w:p>
        </w:tc>
        <w:tc>
          <w:tcPr>
            <w:tcW w:w="1530" w:type="dxa"/>
            <w:noWrap w:val="0"/>
            <w:tcMar>
              <w:left w:w="28" w:type="dxa"/>
              <w:right w:w="28" w:type="dxa"/>
            </w:tcMar>
            <w:vAlign w:val="center"/>
          </w:tcPr>
          <w:p w14:paraId="153D225F">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本项目排放量（固体废物产生量）</w:t>
            </w:r>
            <w:r>
              <w:rPr>
                <w:rFonts w:hint="default" w:ascii="Times New Roman" w:hAnsi="Times New Roman" w:eastAsia="宋体" w:cs="Times New Roman"/>
                <w:snapToGrid w:val="0"/>
                <w:color w:val="auto"/>
                <w:spacing w:val="0"/>
                <w:kern w:val="21"/>
                <w:position w:val="0"/>
                <w:szCs w:val="21"/>
                <w:highlight w:val="none"/>
              </w:rPr>
              <w:fldChar w:fldCharType="begin"/>
            </w:r>
            <w:r>
              <w:rPr>
                <w:rFonts w:hint="default" w:ascii="Times New Roman" w:hAnsi="Times New Roman" w:eastAsia="宋体" w:cs="Times New Roman"/>
                <w:snapToGrid w:val="0"/>
                <w:color w:val="auto"/>
                <w:spacing w:val="0"/>
                <w:kern w:val="21"/>
                <w:position w:val="0"/>
                <w:szCs w:val="21"/>
                <w:highlight w:val="none"/>
              </w:rPr>
              <w:instrText xml:space="preserve"> = 4 \* GB3 \* MERGEFORMAT </w:instrText>
            </w:r>
            <w:r>
              <w:rPr>
                <w:rFonts w:hint="default" w:ascii="Times New Roman" w:hAnsi="Times New Roman" w:eastAsia="宋体" w:cs="Times New Roman"/>
                <w:snapToGrid w:val="0"/>
                <w:color w:val="auto"/>
                <w:spacing w:val="0"/>
                <w:kern w:val="21"/>
                <w:position w:val="0"/>
                <w:szCs w:val="21"/>
                <w:highlight w:val="none"/>
              </w:rPr>
              <w:fldChar w:fldCharType="separate"/>
            </w:r>
            <w:r>
              <w:rPr>
                <w:rFonts w:hint="default" w:ascii="Times New Roman" w:hAnsi="Times New Roman" w:eastAsia="宋体" w:cs="Times New Roman"/>
                <w:color w:val="auto"/>
                <w:spacing w:val="0"/>
                <w:kern w:val="2"/>
                <w:position w:val="0"/>
                <w:szCs w:val="21"/>
                <w:highlight w:val="none"/>
              </w:rPr>
              <w:t>④</w:t>
            </w:r>
            <w:r>
              <w:rPr>
                <w:rFonts w:hint="default" w:ascii="Times New Roman" w:hAnsi="Times New Roman" w:eastAsia="宋体" w:cs="Times New Roman"/>
                <w:snapToGrid w:val="0"/>
                <w:color w:val="auto"/>
                <w:spacing w:val="0"/>
                <w:kern w:val="21"/>
                <w:position w:val="0"/>
                <w:szCs w:val="21"/>
                <w:highlight w:val="none"/>
              </w:rPr>
              <w:fldChar w:fldCharType="end"/>
            </w:r>
          </w:p>
        </w:tc>
        <w:tc>
          <w:tcPr>
            <w:tcW w:w="1560" w:type="dxa"/>
            <w:noWrap w:val="0"/>
            <w:tcMar>
              <w:left w:w="28" w:type="dxa"/>
              <w:right w:w="28" w:type="dxa"/>
            </w:tcMar>
            <w:vAlign w:val="center"/>
          </w:tcPr>
          <w:p w14:paraId="6E1A5B13">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以新带老削减量（新建项目不填）</w:t>
            </w:r>
            <w:r>
              <w:rPr>
                <w:rFonts w:hint="default" w:ascii="Times New Roman" w:hAnsi="Times New Roman" w:eastAsia="宋体" w:cs="Times New Roman"/>
                <w:snapToGrid w:val="0"/>
                <w:color w:val="auto"/>
                <w:spacing w:val="0"/>
                <w:kern w:val="21"/>
                <w:position w:val="0"/>
                <w:szCs w:val="21"/>
                <w:highlight w:val="none"/>
              </w:rPr>
              <w:fldChar w:fldCharType="begin"/>
            </w:r>
            <w:r>
              <w:rPr>
                <w:rFonts w:hint="default" w:ascii="Times New Roman" w:hAnsi="Times New Roman" w:eastAsia="宋体" w:cs="Times New Roman"/>
                <w:snapToGrid w:val="0"/>
                <w:color w:val="auto"/>
                <w:spacing w:val="0"/>
                <w:kern w:val="21"/>
                <w:position w:val="0"/>
                <w:szCs w:val="21"/>
                <w:highlight w:val="none"/>
              </w:rPr>
              <w:instrText xml:space="preserve"> = 5 \* GB3 \* MERGEFORMAT </w:instrText>
            </w:r>
            <w:r>
              <w:rPr>
                <w:rFonts w:hint="default" w:ascii="Times New Roman" w:hAnsi="Times New Roman" w:eastAsia="宋体" w:cs="Times New Roman"/>
                <w:snapToGrid w:val="0"/>
                <w:color w:val="auto"/>
                <w:spacing w:val="0"/>
                <w:kern w:val="21"/>
                <w:position w:val="0"/>
                <w:szCs w:val="21"/>
                <w:highlight w:val="none"/>
              </w:rPr>
              <w:fldChar w:fldCharType="separate"/>
            </w:r>
            <w:r>
              <w:rPr>
                <w:rFonts w:hint="default" w:ascii="Times New Roman" w:hAnsi="Times New Roman" w:eastAsia="宋体" w:cs="Times New Roman"/>
                <w:color w:val="auto"/>
                <w:spacing w:val="0"/>
                <w:kern w:val="2"/>
                <w:position w:val="0"/>
                <w:szCs w:val="21"/>
                <w:highlight w:val="none"/>
              </w:rPr>
              <w:t>⑤</w:t>
            </w:r>
            <w:r>
              <w:rPr>
                <w:rFonts w:hint="default" w:ascii="Times New Roman" w:hAnsi="Times New Roman" w:eastAsia="宋体" w:cs="Times New Roman"/>
                <w:snapToGrid w:val="0"/>
                <w:color w:val="auto"/>
                <w:spacing w:val="0"/>
                <w:kern w:val="21"/>
                <w:position w:val="0"/>
                <w:szCs w:val="21"/>
                <w:highlight w:val="none"/>
              </w:rPr>
              <w:fldChar w:fldCharType="end"/>
            </w:r>
          </w:p>
        </w:tc>
        <w:tc>
          <w:tcPr>
            <w:tcW w:w="1890" w:type="dxa"/>
            <w:noWrap w:val="0"/>
            <w:tcMar>
              <w:left w:w="28" w:type="dxa"/>
              <w:right w:w="28" w:type="dxa"/>
            </w:tcMar>
            <w:vAlign w:val="center"/>
          </w:tcPr>
          <w:p w14:paraId="3DEE0448">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本项目建成后全厂排放量（固体废物产生量）</w:t>
            </w:r>
            <w:r>
              <w:rPr>
                <w:rFonts w:hint="default" w:ascii="Times New Roman" w:hAnsi="Times New Roman" w:eastAsia="宋体" w:cs="Times New Roman"/>
                <w:snapToGrid w:val="0"/>
                <w:color w:val="auto"/>
                <w:spacing w:val="0"/>
                <w:kern w:val="21"/>
                <w:position w:val="0"/>
                <w:szCs w:val="21"/>
                <w:highlight w:val="none"/>
              </w:rPr>
              <w:fldChar w:fldCharType="begin"/>
            </w:r>
            <w:r>
              <w:rPr>
                <w:rFonts w:hint="default" w:ascii="Times New Roman" w:hAnsi="Times New Roman" w:eastAsia="宋体" w:cs="Times New Roman"/>
                <w:snapToGrid w:val="0"/>
                <w:color w:val="auto"/>
                <w:spacing w:val="0"/>
                <w:kern w:val="21"/>
                <w:position w:val="0"/>
                <w:szCs w:val="21"/>
                <w:highlight w:val="none"/>
              </w:rPr>
              <w:instrText xml:space="preserve"> = 6 \* GB3 \* MERGEFORMAT </w:instrText>
            </w:r>
            <w:r>
              <w:rPr>
                <w:rFonts w:hint="default" w:ascii="Times New Roman" w:hAnsi="Times New Roman" w:eastAsia="宋体" w:cs="Times New Roman"/>
                <w:snapToGrid w:val="0"/>
                <w:color w:val="auto"/>
                <w:spacing w:val="0"/>
                <w:kern w:val="21"/>
                <w:position w:val="0"/>
                <w:szCs w:val="21"/>
                <w:highlight w:val="none"/>
              </w:rPr>
              <w:fldChar w:fldCharType="separate"/>
            </w:r>
            <w:r>
              <w:rPr>
                <w:rFonts w:hint="default" w:ascii="Times New Roman" w:hAnsi="Times New Roman" w:eastAsia="宋体" w:cs="Times New Roman"/>
                <w:color w:val="auto"/>
                <w:spacing w:val="0"/>
                <w:kern w:val="2"/>
                <w:position w:val="0"/>
                <w:szCs w:val="21"/>
                <w:highlight w:val="none"/>
              </w:rPr>
              <w:t>⑥</w:t>
            </w:r>
            <w:r>
              <w:rPr>
                <w:rFonts w:hint="default" w:ascii="Times New Roman" w:hAnsi="Times New Roman" w:eastAsia="宋体" w:cs="Times New Roman"/>
                <w:snapToGrid w:val="0"/>
                <w:color w:val="auto"/>
                <w:spacing w:val="0"/>
                <w:kern w:val="21"/>
                <w:position w:val="0"/>
                <w:szCs w:val="21"/>
                <w:highlight w:val="none"/>
              </w:rPr>
              <w:fldChar w:fldCharType="end"/>
            </w:r>
          </w:p>
        </w:tc>
        <w:tc>
          <w:tcPr>
            <w:tcW w:w="1565" w:type="dxa"/>
            <w:noWrap w:val="0"/>
            <w:tcMar>
              <w:left w:w="28" w:type="dxa"/>
              <w:right w:w="28" w:type="dxa"/>
            </w:tcMar>
            <w:vAlign w:val="center"/>
          </w:tcPr>
          <w:p w14:paraId="17355FE8">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变化量</w:t>
            </w:r>
          </w:p>
          <w:p w14:paraId="3D959277">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fldChar w:fldCharType="begin"/>
            </w:r>
            <w:r>
              <w:rPr>
                <w:rFonts w:hint="default" w:ascii="Times New Roman" w:hAnsi="Times New Roman" w:eastAsia="宋体" w:cs="Times New Roman"/>
                <w:snapToGrid w:val="0"/>
                <w:color w:val="auto"/>
                <w:spacing w:val="0"/>
                <w:kern w:val="21"/>
                <w:position w:val="0"/>
                <w:szCs w:val="21"/>
                <w:highlight w:val="none"/>
              </w:rPr>
              <w:instrText xml:space="preserve"> = 7 \* GB3 \* MERGEFORMAT </w:instrText>
            </w:r>
            <w:r>
              <w:rPr>
                <w:rFonts w:hint="default" w:ascii="Times New Roman" w:hAnsi="Times New Roman" w:eastAsia="宋体" w:cs="Times New Roman"/>
                <w:snapToGrid w:val="0"/>
                <w:color w:val="auto"/>
                <w:spacing w:val="0"/>
                <w:kern w:val="21"/>
                <w:position w:val="0"/>
                <w:szCs w:val="21"/>
                <w:highlight w:val="none"/>
              </w:rPr>
              <w:fldChar w:fldCharType="separate"/>
            </w:r>
            <w:r>
              <w:rPr>
                <w:rFonts w:hint="default" w:ascii="Times New Roman" w:hAnsi="Times New Roman" w:eastAsia="宋体" w:cs="Times New Roman"/>
                <w:color w:val="auto"/>
                <w:spacing w:val="0"/>
                <w:kern w:val="2"/>
                <w:position w:val="0"/>
                <w:szCs w:val="21"/>
                <w:highlight w:val="none"/>
              </w:rPr>
              <w:t>⑦</w:t>
            </w:r>
            <w:r>
              <w:rPr>
                <w:rFonts w:hint="default" w:ascii="Times New Roman" w:hAnsi="Times New Roman" w:eastAsia="宋体" w:cs="Times New Roman"/>
                <w:snapToGrid w:val="0"/>
                <w:color w:val="auto"/>
                <w:spacing w:val="0"/>
                <w:kern w:val="21"/>
                <w:position w:val="0"/>
                <w:szCs w:val="21"/>
                <w:highlight w:val="none"/>
              </w:rPr>
              <w:fldChar w:fldCharType="end"/>
            </w:r>
          </w:p>
        </w:tc>
      </w:tr>
      <w:tr w14:paraId="2CE21C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restart"/>
            <w:noWrap w:val="0"/>
            <w:vAlign w:val="center"/>
          </w:tcPr>
          <w:p w14:paraId="2128B2C4">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废气</w:t>
            </w:r>
          </w:p>
        </w:tc>
        <w:tc>
          <w:tcPr>
            <w:tcW w:w="2295" w:type="dxa"/>
            <w:noWrap w:val="0"/>
            <w:vAlign w:val="center"/>
          </w:tcPr>
          <w:p w14:paraId="68C94B2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颗粒物</w:t>
            </w:r>
          </w:p>
        </w:tc>
        <w:tc>
          <w:tcPr>
            <w:tcW w:w="1322" w:type="dxa"/>
            <w:noWrap w:val="0"/>
            <w:vAlign w:val="center"/>
          </w:tcPr>
          <w:p w14:paraId="1F87C474">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067" w:type="dxa"/>
            <w:noWrap w:val="0"/>
            <w:vAlign w:val="center"/>
          </w:tcPr>
          <w:p w14:paraId="74F63490">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470" w:type="dxa"/>
            <w:noWrap w:val="0"/>
            <w:vAlign w:val="center"/>
          </w:tcPr>
          <w:p w14:paraId="48D22A16">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530" w:type="dxa"/>
            <w:noWrap w:val="0"/>
            <w:vAlign w:val="center"/>
          </w:tcPr>
          <w:p w14:paraId="6F28C572">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0.207</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12B6443E">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890" w:type="dxa"/>
            <w:noWrap w:val="0"/>
            <w:vAlign w:val="center"/>
          </w:tcPr>
          <w:p w14:paraId="5745126D">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0.207</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01B2EFA5">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+0.207</w:t>
            </w:r>
            <w:r>
              <w:rPr>
                <w:rFonts w:hint="default" w:ascii="Times New Roman" w:hAnsi="Times New Roman" w:eastAsia="宋体" w:cs="Times New Roman"/>
                <w:color w:val="auto"/>
                <w:spacing w:val="0"/>
                <w:kern w:val="0"/>
                <w:position w:val="0"/>
                <w:szCs w:val="21"/>
                <w:highlight w:val="none"/>
                <w:lang w:bidi="ar"/>
              </w:rPr>
              <w:t>t/a</w:t>
            </w:r>
          </w:p>
        </w:tc>
      </w:tr>
      <w:tr w14:paraId="5A051F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continue"/>
            <w:noWrap w:val="0"/>
            <w:vAlign w:val="center"/>
          </w:tcPr>
          <w:p w14:paraId="2FC50179">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p>
        </w:tc>
        <w:tc>
          <w:tcPr>
            <w:tcW w:w="2295" w:type="dxa"/>
            <w:noWrap w:val="0"/>
            <w:vAlign w:val="center"/>
          </w:tcPr>
          <w:p w14:paraId="28B04B6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烟尘</w:t>
            </w:r>
          </w:p>
        </w:tc>
        <w:tc>
          <w:tcPr>
            <w:tcW w:w="1322" w:type="dxa"/>
            <w:noWrap w:val="0"/>
            <w:vAlign w:val="center"/>
          </w:tcPr>
          <w:p w14:paraId="32A24E04">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067" w:type="dxa"/>
            <w:noWrap w:val="0"/>
            <w:vAlign w:val="center"/>
          </w:tcPr>
          <w:p w14:paraId="6FF8940A">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470" w:type="dxa"/>
            <w:noWrap w:val="0"/>
            <w:vAlign w:val="center"/>
          </w:tcPr>
          <w:p w14:paraId="659A7765">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530" w:type="dxa"/>
            <w:noWrap w:val="0"/>
            <w:vAlign w:val="center"/>
          </w:tcPr>
          <w:p w14:paraId="7963D463">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i w:val="0"/>
                <w:iCs w:val="0"/>
                <w:color w:val="auto"/>
                <w:spacing w:val="0"/>
                <w:kern w:val="0"/>
                <w:position w:val="0"/>
                <w:sz w:val="21"/>
                <w:szCs w:val="21"/>
                <w:highlight w:val="none"/>
                <w:u w:val="none"/>
                <w:lang w:val="en-US" w:eastAsia="zh-CN" w:bidi="ar"/>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7.722</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4B4D6F67">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890" w:type="dxa"/>
            <w:noWrap w:val="0"/>
            <w:vAlign w:val="center"/>
          </w:tcPr>
          <w:p w14:paraId="633F3833">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i w:val="0"/>
                <w:iCs w:val="0"/>
                <w:color w:val="auto"/>
                <w:spacing w:val="0"/>
                <w:kern w:val="0"/>
                <w:position w:val="0"/>
                <w:sz w:val="21"/>
                <w:szCs w:val="21"/>
                <w:highlight w:val="none"/>
                <w:u w:val="none"/>
                <w:lang w:val="en-US" w:eastAsia="zh-CN" w:bidi="ar"/>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7.722</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37AFD93C">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i w:val="0"/>
                <w:iCs w:val="0"/>
                <w:color w:val="auto"/>
                <w:spacing w:val="0"/>
                <w:kern w:val="0"/>
                <w:position w:val="0"/>
                <w:sz w:val="21"/>
                <w:szCs w:val="21"/>
                <w:highlight w:val="none"/>
                <w:u w:val="none"/>
                <w:lang w:val="en-US" w:eastAsia="zh-CN" w:bidi="ar"/>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+7.722</w:t>
            </w:r>
            <w:r>
              <w:rPr>
                <w:rFonts w:hint="default" w:ascii="Times New Roman" w:hAnsi="Times New Roman" w:eastAsia="宋体" w:cs="Times New Roman"/>
                <w:color w:val="auto"/>
                <w:spacing w:val="0"/>
                <w:kern w:val="0"/>
                <w:position w:val="0"/>
                <w:szCs w:val="21"/>
                <w:highlight w:val="none"/>
                <w:lang w:bidi="ar"/>
              </w:rPr>
              <w:t>t/a</w:t>
            </w:r>
          </w:p>
        </w:tc>
      </w:tr>
      <w:tr w14:paraId="55258B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continue"/>
            <w:noWrap w:val="0"/>
            <w:vAlign w:val="center"/>
          </w:tcPr>
          <w:p w14:paraId="4FC560A9">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p>
        </w:tc>
        <w:tc>
          <w:tcPr>
            <w:tcW w:w="2295" w:type="dxa"/>
            <w:noWrap w:val="0"/>
            <w:vAlign w:val="center"/>
          </w:tcPr>
          <w:p w14:paraId="4B050091">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color w:val="auto"/>
                <w:spacing w:val="0"/>
                <w:position w:val="0"/>
                <w:szCs w:val="21"/>
                <w:highlight w:val="none"/>
              </w:rPr>
              <w:t>SO</w:t>
            </w:r>
            <w:r>
              <w:rPr>
                <w:rFonts w:hint="default" w:ascii="Times New Roman" w:hAnsi="Times New Roman" w:eastAsia="宋体" w:cs="Times New Roman"/>
                <w:color w:val="auto"/>
                <w:spacing w:val="0"/>
                <w:position w:val="0"/>
                <w:szCs w:val="21"/>
                <w:highlight w:val="none"/>
                <w:vertAlign w:val="subscript"/>
              </w:rPr>
              <w:t>2</w:t>
            </w:r>
          </w:p>
        </w:tc>
        <w:tc>
          <w:tcPr>
            <w:tcW w:w="1322" w:type="dxa"/>
            <w:noWrap w:val="0"/>
            <w:vAlign w:val="center"/>
          </w:tcPr>
          <w:p w14:paraId="496A8255">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067" w:type="dxa"/>
            <w:noWrap w:val="0"/>
            <w:vAlign w:val="center"/>
          </w:tcPr>
          <w:p w14:paraId="2CD60B9A">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470" w:type="dxa"/>
            <w:noWrap w:val="0"/>
            <w:vAlign w:val="center"/>
          </w:tcPr>
          <w:p w14:paraId="57F23379">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530" w:type="dxa"/>
            <w:noWrap w:val="0"/>
            <w:vAlign w:val="center"/>
          </w:tcPr>
          <w:p w14:paraId="420518AD">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14.479</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16622204">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890" w:type="dxa"/>
            <w:noWrap w:val="0"/>
            <w:vAlign w:val="center"/>
          </w:tcPr>
          <w:p w14:paraId="08F28C85">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14.479</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47194793">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+14.479</w:t>
            </w:r>
            <w:r>
              <w:rPr>
                <w:rFonts w:hint="default" w:ascii="Times New Roman" w:hAnsi="Times New Roman" w:eastAsia="宋体" w:cs="Times New Roman"/>
                <w:color w:val="auto"/>
                <w:spacing w:val="0"/>
                <w:kern w:val="0"/>
                <w:position w:val="0"/>
                <w:szCs w:val="21"/>
                <w:highlight w:val="none"/>
                <w:lang w:bidi="ar"/>
              </w:rPr>
              <w:t>t/a</w:t>
            </w:r>
          </w:p>
        </w:tc>
      </w:tr>
      <w:tr w14:paraId="64ED63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continue"/>
            <w:noWrap w:val="0"/>
            <w:vAlign w:val="center"/>
          </w:tcPr>
          <w:p w14:paraId="30303266">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p>
        </w:tc>
        <w:tc>
          <w:tcPr>
            <w:tcW w:w="2295" w:type="dxa"/>
            <w:noWrap w:val="0"/>
            <w:vAlign w:val="center"/>
          </w:tcPr>
          <w:p w14:paraId="232030D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spacing w:val="0"/>
                <w:position w:val="0"/>
                <w:szCs w:val="21"/>
                <w:highlight w:val="none"/>
              </w:rPr>
              <w:t>NOx</w:t>
            </w:r>
          </w:p>
        </w:tc>
        <w:tc>
          <w:tcPr>
            <w:tcW w:w="1322" w:type="dxa"/>
            <w:noWrap w:val="0"/>
            <w:vAlign w:val="center"/>
          </w:tcPr>
          <w:p w14:paraId="7AE9CF7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067" w:type="dxa"/>
            <w:noWrap w:val="0"/>
            <w:vAlign w:val="center"/>
          </w:tcPr>
          <w:p w14:paraId="02F9397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470" w:type="dxa"/>
            <w:noWrap w:val="0"/>
            <w:vAlign w:val="center"/>
          </w:tcPr>
          <w:p w14:paraId="3B020B9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530" w:type="dxa"/>
            <w:noWrap w:val="0"/>
            <w:vAlign w:val="center"/>
          </w:tcPr>
          <w:p w14:paraId="7D3F9F94">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33.918</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5B5D130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890" w:type="dxa"/>
            <w:noWrap w:val="0"/>
            <w:vAlign w:val="center"/>
          </w:tcPr>
          <w:p w14:paraId="5AF5A258">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33.918</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0813C043">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+33.918</w:t>
            </w:r>
            <w:r>
              <w:rPr>
                <w:rFonts w:hint="default" w:ascii="Times New Roman" w:hAnsi="Times New Roman" w:eastAsia="宋体" w:cs="Times New Roman"/>
                <w:color w:val="auto"/>
                <w:spacing w:val="0"/>
                <w:kern w:val="0"/>
                <w:position w:val="0"/>
                <w:szCs w:val="21"/>
                <w:highlight w:val="none"/>
                <w:lang w:bidi="ar"/>
              </w:rPr>
              <w:t>t/a</w:t>
            </w:r>
          </w:p>
        </w:tc>
      </w:tr>
      <w:tr w14:paraId="612B56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continue"/>
            <w:noWrap w:val="0"/>
            <w:vAlign w:val="center"/>
          </w:tcPr>
          <w:p w14:paraId="40AC4CA0">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p>
        </w:tc>
        <w:tc>
          <w:tcPr>
            <w:tcW w:w="2295" w:type="dxa"/>
            <w:noWrap w:val="0"/>
            <w:vAlign w:val="center"/>
          </w:tcPr>
          <w:p w14:paraId="0D68F43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spacing w:val="0"/>
                <w:position w:val="0"/>
                <w:szCs w:val="21"/>
                <w:highlight w:val="none"/>
                <w:lang w:eastAsia="zh-CN"/>
              </w:rPr>
            </w:pPr>
            <w:r>
              <w:rPr>
                <w:rFonts w:hint="default" w:ascii="Times New Roman" w:hAnsi="Times New Roman" w:eastAsia="宋体" w:cs="Times New Roman"/>
                <w:color w:val="auto"/>
                <w:spacing w:val="0"/>
                <w:position w:val="0"/>
                <w:szCs w:val="21"/>
                <w:highlight w:val="none"/>
              </w:rPr>
              <w:t>非甲烷总烃</w:t>
            </w:r>
            <w:r>
              <w:rPr>
                <w:rFonts w:hint="default" w:ascii="Times New Roman" w:hAnsi="Times New Roman" w:cs="Times New Roman"/>
                <w:color w:val="auto"/>
                <w:spacing w:val="0"/>
                <w:position w:val="0"/>
                <w:szCs w:val="21"/>
                <w:highlight w:val="none"/>
                <w:lang w:eastAsia="zh-CN"/>
              </w:rPr>
              <w:t>（</w:t>
            </w:r>
            <w:r>
              <w:rPr>
                <w:rFonts w:hint="default" w:ascii="Times New Roman" w:hAnsi="Times New Roman" w:cs="Times New Roman"/>
                <w:color w:val="auto"/>
                <w:spacing w:val="0"/>
                <w:position w:val="0"/>
                <w:szCs w:val="21"/>
                <w:highlight w:val="none"/>
                <w:lang w:val="en-US" w:eastAsia="zh-CN"/>
              </w:rPr>
              <w:t>有组织</w:t>
            </w:r>
            <w:r>
              <w:rPr>
                <w:rFonts w:hint="default" w:ascii="Times New Roman" w:hAnsi="Times New Roman" w:cs="Times New Roman"/>
                <w:color w:val="auto"/>
                <w:spacing w:val="0"/>
                <w:position w:val="0"/>
                <w:szCs w:val="21"/>
                <w:highlight w:val="none"/>
                <w:lang w:eastAsia="zh-CN"/>
              </w:rPr>
              <w:t>）</w:t>
            </w:r>
          </w:p>
        </w:tc>
        <w:tc>
          <w:tcPr>
            <w:tcW w:w="1322" w:type="dxa"/>
            <w:noWrap w:val="0"/>
            <w:vAlign w:val="center"/>
          </w:tcPr>
          <w:p w14:paraId="314CC4CC">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067" w:type="dxa"/>
            <w:noWrap w:val="0"/>
            <w:vAlign w:val="center"/>
          </w:tcPr>
          <w:p w14:paraId="657DCC12">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470" w:type="dxa"/>
            <w:noWrap w:val="0"/>
            <w:vAlign w:val="center"/>
          </w:tcPr>
          <w:p w14:paraId="77356413">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530" w:type="dxa"/>
            <w:noWrap w:val="0"/>
            <w:vAlign w:val="center"/>
          </w:tcPr>
          <w:p w14:paraId="4E4BDF8B">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i w:val="0"/>
                <w:iCs w:val="0"/>
                <w:color w:val="auto"/>
                <w:spacing w:val="0"/>
                <w:kern w:val="0"/>
                <w:position w:val="0"/>
                <w:sz w:val="21"/>
                <w:szCs w:val="21"/>
                <w:highlight w:val="none"/>
                <w:u w:val="none"/>
                <w:lang w:val="en-US" w:eastAsia="zh-CN" w:bidi="ar"/>
              </w:rPr>
              <w:t>0.</w:t>
            </w:r>
            <w:r>
              <w:rPr>
                <w:rFonts w:hint="default" w:ascii="Times New Roman" w:hAnsi="Times New Roman" w:cs="Times New Roman"/>
                <w:i w:val="0"/>
                <w:iCs w:val="0"/>
                <w:color w:val="auto"/>
                <w:spacing w:val="0"/>
                <w:kern w:val="0"/>
                <w:position w:val="0"/>
                <w:sz w:val="21"/>
                <w:szCs w:val="21"/>
                <w:highlight w:val="none"/>
                <w:u w:val="none"/>
                <w:lang w:val="en-US" w:eastAsia="zh-CN" w:bidi="ar"/>
              </w:rPr>
              <w:t>125</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19E2D770">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890" w:type="dxa"/>
            <w:noWrap w:val="0"/>
            <w:vAlign w:val="center"/>
          </w:tcPr>
          <w:p w14:paraId="17CC6434">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i w:val="0"/>
                <w:iCs w:val="0"/>
                <w:color w:val="auto"/>
                <w:spacing w:val="0"/>
                <w:kern w:val="0"/>
                <w:position w:val="0"/>
                <w:sz w:val="21"/>
                <w:szCs w:val="21"/>
                <w:highlight w:val="none"/>
                <w:u w:val="none"/>
                <w:lang w:val="en-US" w:eastAsia="zh-CN" w:bidi="ar"/>
              </w:rPr>
              <w:t>0.</w:t>
            </w:r>
            <w:r>
              <w:rPr>
                <w:rFonts w:hint="default" w:ascii="Times New Roman" w:hAnsi="Times New Roman" w:cs="Times New Roman"/>
                <w:i w:val="0"/>
                <w:iCs w:val="0"/>
                <w:color w:val="auto"/>
                <w:spacing w:val="0"/>
                <w:kern w:val="0"/>
                <w:position w:val="0"/>
                <w:sz w:val="21"/>
                <w:szCs w:val="21"/>
                <w:highlight w:val="none"/>
                <w:u w:val="none"/>
                <w:lang w:val="en-US" w:eastAsia="zh-CN" w:bidi="ar"/>
              </w:rPr>
              <w:t>125</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777A7864">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i w:val="0"/>
                <w:iCs w:val="0"/>
                <w:color w:val="auto"/>
                <w:spacing w:val="0"/>
                <w:kern w:val="0"/>
                <w:position w:val="0"/>
                <w:sz w:val="21"/>
                <w:szCs w:val="21"/>
                <w:highlight w:val="none"/>
                <w:u w:val="none"/>
                <w:lang w:val="en-US" w:eastAsia="zh-CN" w:bidi="ar"/>
              </w:rPr>
              <w:t>+0.</w:t>
            </w:r>
            <w:r>
              <w:rPr>
                <w:rFonts w:hint="default" w:ascii="Times New Roman" w:hAnsi="Times New Roman" w:cs="Times New Roman"/>
                <w:i w:val="0"/>
                <w:iCs w:val="0"/>
                <w:color w:val="auto"/>
                <w:spacing w:val="0"/>
                <w:kern w:val="0"/>
                <w:position w:val="0"/>
                <w:sz w:val="21"/>
                <w:szCs w:val="21"/>
                <w:highlight w:val="none"/>
                <w:u w:val="none"/>
                <w:lang w:val="en-US" w:eastAsia="zh-CN" w:bidi="ar"/>
              </w:rPr>
              <w:t>125</w:t>
            </w:r>
            <w:r>
              <w:rPr>
                <w:rFonts w:hint="default" w:ascii="Times New Roman" w:hAnsi="Times New Roman" w:eastAsia="宋体" w:cs="Times New Roman"/>
                <w:color w:val="auto"/>
                <w:spacing w:val="0"/>
                <w:kern w:val="0"/>
                <w:position w:val="0"/>
                <w:szCs w:val="21"/>
                <w:highlight w:val="none"/>
                <w:lang w:bidi="ar"/>
              </w:rPr>
              <w:t>t/a</w:t>
            </w:r>
          </w:p>
        </w:tc>
      </w:tr>
      <w:tr w14:paraId="595E0A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continue"/>
            <w:noWrap w:val="0"/>
            <w:vAlign w:val="center"/>
          </w:tcPr>
          <w:p w14:paraId="4B2B224F">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p>
        </w:tc>
        <w:tc>
          <w:tcPr>
            <w:tcW w:w="2295" w:type="dxa"/>
            <w:noWrap w:val="0"/>
            <w:vAlign w:val="center"/>
          </w:tcPr>
          <w:p w14:paraId="0A1C694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非甲烷总烃（无组织）</w:t>
            </w:r>
          </w:p>
        </w:tc>
        <w:tc>
          <w:tcPr>
            <w:tcW w:w="1322" w:type="dxa"/>
            <w:noWrap w:val="0"/>
            <w:vAlign w:val="center"/>
          </w:tcPr>
          <w:p w14:paraId="5AC068F3">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067" w:type="dxa"/>
            <w:noWrap w:val="0"/>
            <w:vAlign w:val="center"/>
          </w:tcPr>
          <w:p w14:paraId="079DDDDB">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470" w:type="dxa"/>
            <w:noWrap w:val="0"/>
            <w:vAlign w:val="center"/>
          </w:tcPr>
          <w:p w14:paraId="053E72A4">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530" w:type="dxa"/>
            <w:noWrap w:val="0"/>
            <w:vAlign w:val="center"/>
          </w:tcPr>
          <w:p w14:paraId="56E4E7CA">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i w:val="0"/>
                <w:iCs w:val="0"/>
                <w:color w:val="auto"/>
                <w:spacing w:val="0"/>
                <w:kern w:val="0"/>
                <w:position w:val="0"/>
                <w:sz w:val="21"/>
                <w:szCs w:val="21"/>
                <w:highlight w:val="none"/>
                <w:u w:val="none"/>
                <w:lang w:val="en-US" w:eastAsia="zh-CN" w:bidi="ar"/>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0.002</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4E36B566">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890" w:type="dxa"/>
            <w:noWrap w:val="0"/>
            <w:vAlign w:val="center"/>
          </w:tcPr>
          <w:p w14:paraId="39BE9FC6">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i w:val="0"/>
                <w:iCs w:val="0"/>
                <w:color w:val="auto"/>
                <w:spacing w:val="0"/>
                <w:kern w:val="0"/>
                <w:position w:val="0"/>
                <w:sz w:val="21"/>
                <w:szCs w:val="21"/>
                <w:highlight w:val="none"/>
                <w:u w:val="none"/>
                <w:lang w:val="en-US" w:eastAsia="zh-CN" w:bidi="ar"/>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0.002</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46623AE6">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i w:val="0"/>
                <w:iCs w:val="0"/>
                <w:color w:val="auto"/>
                <w:spacing w:val="0"/>
                <w:kern w:val="0"/>
                <w:position w:val="0"/>
                <w:sz w:val="21"/>
                <w:szCs w:val="21"/>
                <w:highlight w:val="none"/>
                <w:u w:val="none"/>
                <w:lang w:val="en-US" w:eastAsia="zh-CN" w:bidi="ar"/>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+0.002</w:t>
            </w:r>
            <w:r>
              <w:rPr>
                <w:rFonts w:hint="default" w:ascii="Times New Roman" w:hAnsi="Times New Roman" w:eastAsia="宋体" w:cs="Times New Roman"/>
                <w:color w:val="auto"/>
                <w:spacing w:val="0"/>
                <w:kern w:val="0"/>
                <w:position w:val="0"/>
                <w:szCs w:val="21"/>
                <w:highlight w:val="none"/>
                <w:lang w:bidi="ar"/>
              </w:rPr>
              <w:t>t/a</w:t>
            </w:r>
          </w:p>
        </w:tc>
      </w:tr>
      <w:tr w14:paraId="13844E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continue"/>
            <w:noWrap w:val="0"/>
            <w:vAlign w:val="center"/>
          </w:tcPr>
          <w:p w14:paraId="79F46E3B">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p>
        </w:tc>
        <w:tc>
          <w:tcPr>
            <w:tcW w:w="2295" w:type="dxa"/>
            <w:noWrap w:val="0"/>
            <w:vAlign w:val="center"/>
          </w:tcPr>
          <w:p w14:paraId="2BED1CFB">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氨</w:t>
            </w:r>
            <w:r>
              <w:rPr>
                <w:rFonts w:hint="default" w:ascii="Times New Roman" w:hAnsi="Times New Roman" w:cs="Times New Roman"/>
                <w:color w:val="auto"/>
                <w:spacing w:val="0"/>
                <w:position w:val="0"/>
                <w:szCs w:val="21"/>
                <w:highlight w:val="none"/>
                <w:lang w:eastAsia="zh-CN"/>
              </w:rPr>
              <w:t>（</w:t>
            </w:r>
            <w:r>
              <w:rPr>
                <w:rFonts w:hint="default" w:ascii="Times New Roman" w:hAnsi="Times New Roman" w:cs="Times New Roman"/>
                <w:color w:val="auto"/>
                <w:spacing w:val="0"/>
                <w:position w:val="0"/>
                <w:szCs w:val="21"/>
                <w:highlight w:val="none"/>
                <w:lang w:val="en-US" w:eastAsia="zh-CN"/>
              </w:rPr>
              <w:t>有组织</w:t>
            </w:r>
            <w:r>
              <w:rPr>
                <w:rFonts w:hint="default" w:ascii="Times New Roman" w:hAnsi="Times New Roman" w:cs="Times New Roman"/>
                <w:color w:val="auto"/>
                <w:spacing w:val="0"/>
                <w:position w:val="0"/>
                <w:szCs w:val="21"/>
                <w:highlight w:val="none"/>
                <w:lang w:eastAsia="zh-CN"/>
              </w:rPr>
              <w:t>）</w:t>
            </w:r>
          </w:p>
        </w:tc>
        <w:tc>
          <w:tcPr>
            <w:tcW w:w="1322" w:type="dxa"/>
            <w:noWrap w:val="0"/>
            <w:vAlign w:val="center"/>
          </w:tcPr>
          <w:p w14:paraId="3E5735C8">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067" w:type="dxa"/>
            <w:noWrap w:val="0"/>
            <w:vAlign w:val="center"/>
          </w:tcPr>
          <w:p w14:paraId="78D518CD">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470" w:type="dxa"/>
            <w:noWrap w:val="0"/>
            <w:vAlign w:val="center"/>
          </w:tcPr>
          <w:p w14:paraId="68AD6F4C">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530" w:type="dxa"/>
            <w:shd w:val="clear" w:color="auto" w:fill="auto"/>
            <w:noWrap w:val="0"/>
            <w:vAlign w:val="center"/>
          </w:tcPr>
          <w:p w14:paraId="308ACEFF">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lang w:val="en-US" w:eastAsia="zh-CN"/>
              </w:rPr>
              <w:t>0.0065</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786DA37A">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890" w:type="dxa"/>
            <w:noWrap w:val="0"/>
            <w:vAlign w:val="center"/>
          </w:tcPr>
          <w:p w14:paraId="04BDC150">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spacing w:val="0"/>
                <w:kern w:val="0"/>
                <w:position w:val="0"/>
                <w:sz w:val="21"/>
                <w:szCs w:val="21"/>
                <w:highlight w:val="none"/>
                <w:u w:val="none"/>
                <w:lang w:val="en-US" w:eastAsia="zh-CN" w:bidi="ar"/>
              </w:rPr>
            </w:pPr>
            <w:r>
              <w:rPr>
                <w:rFonts w:hint="default" w:ascii="Times New Roman" w:hAnsi="Times New Roman" w:cs="Times New Roman"/>
                <w:color w:val="auto"/>
                <w:spacing w:val="0"/>
                <w:position w:val="0"/>
                <w:sz w:val="21"/>
                <w:szCs w:val="21"/>
                <w:highlight w:val="none"/>
                <w:lang w:val="en-US" w:eastAsia="zh-CN"/>
              </w:rPr>
              <w:t>0.0065</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62249DF6">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spacing w:val="0"/>
                <w:kern w:val="0"/>
                <w:position w:val="0"/>
                <w:sz w:val="21"/>
                <w:szCs w:val="21"/>
                <w:highlight w:val="none"/>
                <w:u w:val="none"/>
                <w:lang w:val="en-US" w:eastAsia="zh-CN" w:bidi="ar"/>
              </w:rPr>
            </w:pPr>
            <w:r>
              <w:rPr>
                <w:rFonts w:hint="default" w:ascii="Times New Roman" w:hAnsi="Times New Roman" w:cs="Times New Roman"/>
                <w:color w:val="auto"/>
                <w:spacing w:val="0"/>
                <w:position w:val="0"/>
                <w:sz w:val="21"/>
                <w:szCs w:val="21"/>
                <w:highlight w:val="none"/>
                <w:lang w:val="en-US" w:eastAsia="zh-CN"/>
              </w:rPr>
              <w:t>+0.0065</w:t>
            </w:r>
            <w:r>
              <w:rPr>
                <w:rFonts w:hint="default" w:ascii="Times New Roman" w:hAnsi="Times New Roman" w:eastAsia="宋体" w:cs="Times New Roman"/>
                <w:color w:val="auto"/>
                <w:spacing w:val="0"/>
                <w:kern w:val="0"/>
                <w:position w:val="0"/>
                <w:szCs w:val="21"/>
                <w:highlight w:val="none"/>
                <w:lang w:bidi="ar"/>
              </w:rPr>
              <w:t>t/a</w:t>
            </w:r>
          </w:p>
        </w:tc>
      </w:tr>
      <w:tr w14:paraId="6D3C42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continue"/>
            <w:noWrap w:val="0"/>
            <w:vAlign w:val="center"/>
          </w:tcPr>
          <w:p w14:paraId="4780FD68">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p>
        </w:tc>
        <w:tc>
          <w:tcPr>
            <w:tcW w:w="2295" w:type="dxa"/>
            <w:noWrap w:val="0"/>
            <w:vAlign w:val="center"/>
          </w:tcPr>
          <w:p w14:paraId="3750C4D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cs="Times New Roman"/>
                <w:color w:val="auto"/>
                <w:spacing w:val="0"/>
                <w:position w:val="0"/>
                <w:szCs w:val="21"/>
                <w:highlight w:val="none"/>
                <w:lang w:val="en-US" w:eastAsia="zh-CN"/>
              </w:rPr>
            </w:pPr>
            <w:r>
              <w:rPr>
                <w:rFonts w:hint="default" w:ascii="Times New Roman" w:hAnsi="Times New Roman" w:cs="Times New Roman"/>
                <w:color w:val="auto"/>
                <w:spacing w:val="0"/>
                <w:position w:val="0"/>
                <w:szCs w:val="21"/>
                <w:highlight w:val="none"/>
                <w:lang w:val="en-US" w:eastAsia="zh-CN"/>
              </w:rPr>
              <w:t>硫化氢</w:t>
            </w:r>
            <w:r>
              <w:rPr>
                <w:rFonts w:hint="default" w:ascii="Times New Roman" w:hAnsi="Times New Roman" w:cs="Times New Roman"/>
                <w:color w:val="auto"/>
                <w:spacing w:val="0"/>
                <w:position w:val="0"/>
                <w:szCs w:val="21"/>
                <w:highlight w:val="none"/>
                <w:lang w:eastAsia="zh-CN"/>
              </w:rPr>
              <w:t>（</w:t>
            </w:r>
            <w:r>
              <w:rPr>
                <w:rFonts w:hint="default" w:ascii="Times New Roman" w:hAnsi="Times New Roman" w:cs="Times New Roman"/>
                <w:color w:val="auto"/>
                <w:spacing w:val="0"/>
                <w:position w:val="0"/>
                <w:szCs w:val="21"/>
                <w:highlight w:val="none"/>
                <w:lang w:val="en-US" w:eastAsia="zh-CN"/>
              </w:rPr>
              <w:t>有组织</w:t>
            </w:r>
            <w:r>
              <w:rPr>
                <w:rFonts w:hint="default" w:ascii="Times New Roman" w:hAnsi="Times New Roman" w:cs="Times New Roman"/>
                <w:color w:val="auto"/>
                <w:spacing w:val="0"/>
                <w:position w:val="0"/>
                <w:szCs w:val="21"/>
                <w:highlight w:val="none"/>
                <w:lang w:eastAsia="zh-CN"/>
              </w:rPr>
              <w:t>）</w:t>
            </w:r>
          </w:p>
        </w:tc>
        <w:tc>
          <w:tcPr>
            <w:tcW w:w="1322" w:type="dxa"/>
            <w:noWrap w:val="0"/>
            <w:vAlign w:val="center"/>
          </w:tcPr>
          <w:p w14:paraId="0E00A54C">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067" w:type="dxa"/>
            <w:noWrap w:val="0"/>
            <w:vAlign w:val="center"/>
          </w:tcPr>
          <w:p w14:paraId="06A1277F">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470" w:type="dxa"/>
            <w:noWrap w:val="0"/>
            <w:vAlign w:val="center"/>
          </w:tcPr>
          <w:p w14:paraId="6F4E561A">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530" w:type="dxa"/>
            <w:shd w:val="clear" w:color="auto" w:fill="auto"/>
            <w:noWrap w:val="0"/>
            <w:vAlign w:val="center"/>
          </w:tcPr>
          <w:p w14:paraId="6AAEDFAE">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lang w:val="en-US" w:eastAsia="zh-CN"/>
              </w:rPr>
              <w:t>0.0003</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073664F2">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890" w:type="dxa"/>
            <w:noWrap w:val="0"/>
            <w:vAlign w:val="center"/>
          </w:tcPr>
          <w:p w14:paraId="6F067D11">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spacing w:val="0"/>
                <w:kern w:val="0"/>
                <w:position w:val="0"/>
                <w:sz w:val="21"/>
                <w:szCs w:val="21"/>
                <w:highlight w:val="none"/>
                <w:u w:val="none"/>
                <w:lang w:val="en-US" w:eastAsia="zh-CN" w:bidi="ar"/>
              </w:rPr>
            </w:pPr>
            <w:r>
              <w:rPr>
                <w:rFonts w:hint="default" w:ascii="Times New Roman" w:hAnsi="Times New Roman" w:cs="Times New Roman"/>
                <w:color w:val="auto"/>
                <w:spacing w:val="0"/>
                <w:position w:val="0"/>
                <w:sz w:val="21"/>
                <w:szCs w:val="21"/>
                <w:highlight w:val="none"/>
                <w:lang w:val="en-US" w:eastAsia="zh-CN"/>
              </w:rPr>
              <w:t>0.0003</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49ABAA20">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spacing w:val="0"/>
                <w:kern w:val="0"/>
                <w:position w:val="0"/>
                <w:sz w:val="21"/>
                <w:szCs w:val="21"/>
                <w:highlight w:val="none"/>
                <w:u w:val="none"/>
                <w:lang w:val="en-US" w:eastAsia="zh-CN" w:bidi="ar"/>
              </w:rPr>
            </w:pPr>
            <w:r>
              <w:rPr>
                <w:rFonts w:hint="default" w:ascii="Times New Roman" w:hAnsi="Times New Roman" w:cs="Times New Roman"/>
                <w:color w:val="auto"/>
                <w:spacing w:val="0"/>
                <w:position w:val="0"/>
                <w:sz w:val="21"/>
                <w:szCs w:val="21"/>
                <w:highlight w:val="none"/>
                <w:lang w:val="en-US" w:eastAsia="zh-CN"/>
              </w:rPr>
              <w:t>+0.0003</w:t>
            </w:r>
            <w:r>
              <w:rPr>
                <w:rFonts w:hint="default" w:ascii="Times New Roman" w:hAnsi="Times New Roman" w:eastAsia="宋体" w:cs="Times New Roman"/>
                <w:color w:val="auto"/>
                <w:spacing w:val="0"/>
                <w:kern w:val="0"/>
                <w:position w:val="0"/>
                <w:szCs w:val="21"/>
                <w:highlight w:val="none"/>
                <w:lang w:bidi="ar"/>
              </w:rPr>
              <w:t>t/a</w:t>
            </w:r>
          </w:p>
        </w:tc>
      </w:tr>
      <w:tr w14:paraId="0B7399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continue"/>
            <w:noWrap w:val="0"/>
            <w:vAlign w:val="center"/>
          </w:tcPr>
          <w:p w14:paraId="382F819D">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p>
        </w:tc>
        <w:tc>
          <w:tcPr>
            <w:tcW w:w="2295" w:type="dxa"/>
            <w:shd w:val="clear" w:color="auto" w:fill="auto"/>
            <w:noWrap w:val="0"/>
            <w:vAlign w:val="center"/>
          </w:tcPr>
          <w:p w14:paraId="713985C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氨（无组织）</w:t>
            </w:r>
          </w:p>
        </w:tc>
        <w:tc>
          <w:tcPr>
            <w:tcW w:w="1322" w:type="dxa"/>
            <w:noWrap w:val="0"/>
            <w:vAlign w:val="center"/>
          </w:tcPr>
          <w:p w14:paraId="54CF34BF">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067" w:type="dxa"/>
            <w:noWrap w:val="0"/>
            <w:vAlign w:val="center"/>
          </w:tcPr>
          <w:p w14:paraId="4C2876EA">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470" w:type="dxa"/>
            <w:noWrap w:val="0"/>
            <w:vAlign w:val="center"/>
          </w:tcPr>
          <w:p w14:paraId="427B63A8">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530" w:type="dxa"/>
            <w:shd w:val="clear" w:color="auto" w:fill="auto"/>
            <w:noWrap w:val="0"/>
            <w:vAlign w:val="center"/>
          </w:tcPr>
          <w:p w14:paraId="55DE04BA">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lang w:val="en-US" w:eastAsia="zh-CN"/>
              </w:rPr>
              <w:t>0.0036</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72F961F2">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890" w:type="dxa"/>
            <w:noWrap w:val="0"/>
            <w:vAlign w:val="center"/>
          </w:tcPr>
          <w:p w14:paraId="49550DB4">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spacing w:val="0"/>
                <w:kern w:val="0"/>
                <w:position w:val="0"/>
                <w:sz w:val="21"/>
                <w:szCs w:val="21"/>
                <w:highlight w:val="none"/>
                <w:u w:val="none"/>
                <w:lang w:val="en-US" w:eastAsia="zh-CN" w:bidi="ar"/>
              </w:rPr>
            </w:pPr>
            <w:r>
              <w:rPr>
                <w:rFonts w:hint="default" w:ascii="Times New Roman" w:hAnsi="Times New Roman" w:cs="Times New Roman"/>
                <w:color w:val="auto"/>
                <w:spacing w:val="0"/>
                <w:position w:val="0"/>
                <w:sz w:val="21"/>
                <w:szCs w:val="21"/>
                <w:highlight w:val="none"/>
                <w:lang w:val="en-US" w:eastAsia="zh-CN"/>
              </w:rPr>
              <w:t>0.0036</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4D956099">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spacing w:val="0"/>
                <w:kern w:val="0"/>
                <w:position w:val="0"/>
                <w:sz w:val="21"/>
                <w:szCs w:val="21"/>
                <w:highlight w:val="none"/>
                <w:u w:val="none"/>
                <w:lang w:val="en-US" w:eastAsia="zh-CN" w:bidi="ar"/>
              </w:rPr>
            </w:pPr>
            <w:r>
              <w:rPr>
                <w:rFonts w:hint="default" w:ascii="Times New Roman" w:hAnsi="Times New Roman" w:cs="Times New Roman"/>
                <w:color w:val="auto"/>
                <w:spacing w:val="0"/>
                <w:position w:val="0"/>
                <w:sz w:val="21"/>
                <w:szCs w:val="21"/>
                <w:highlight w:val="none"/>
                <w:lang w:val="en-US" w:eastAsia="zh-CN"/>
              </w:rPr>
              <w:t>+0.0036</w:t>
            </w:r>
            <w:r>
              <w:rPr>
                <w:rFonts w:hint="default" w:ascii="Times New Roman" w:hAnsi="Times New Roman" w:eastAsia="宋体" w:cs="Times New Roman"/>
                <w:color w:val="auto"/>
                <w:spacing w:val="0"/>
                <w:kern w:val="0"/>
                <w:position w:val="0"/>
                <w:szCs w:val="21"/>
                <w:highlight w:val="none"/>
                <w:lang w:bidi="ar"/>
              </w:rPr>
              <w:t>t/a</w:t>
            </w:r>
          </w:p>
        </w:tc>
      </w:tr>
      <w:tr w14:paraId="05EEFA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continue"/>
            <w:noWrap w:val="0"/>
            <w:vAlign w:val="center"/>
          </w:tcPr>
          <w:p w14:paraId="56DADCD6">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p>
        </w:tc>
        <w:tc>
          <w:tcPr>
            <w:tcW w:w="2295" w:type="dxa"/>
            <w:shd w:val="clear" w:color="auto" w:fill="auto"/>
            <w:noWrap w:val="0"/>
            <w:vAlign w:val="center"/>
          </w:tcPr>
          <w:p w14:paraId="69C8F01B">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cs="Times New Roman"/>
                <w:color w:val="auto"/>
                <w:spacing w:val="0"/>
                <w:position w:val="0"/>
                <w:szCs w:val="21"/>
                <w:highlight w:val="none"/>
                <w:lang w:val="en-US" w:eastAsia="zh-CN"/>
              </w:rPr>
              <w:t>硫化氢（无组织）</w:t>
            </w:r>
          </w:p>
        </w:tc>
        <w:tc>
          <w:tcPr>
            <w:tcW w:w="1322" w:type="dxa"/>
            <w:noWrap w:val="0"/>
            <w:vAlign w:val="center"/>
          </w:tcPr>
          <w:p w14:paraId="6525A70B">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067" w:type="dxa"/>
            <w:noWrap w:val="0"/>
            <w:vAlign w:val="center"/>
          </w:tcPr>
          <w:p w14:paraId="70F65AD4">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470" w:type="dxa"/>
            <w:noWrap w:val="0"/>
            <w:vAlign w:val="center"/>
          </w:tcPr>
          <w:p w14:paraId="7DA44E44">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530" w:type="dxa"/>
            <w:shd w:val="clear" w:color="auto" w:fill="auto"/>
            <w:noWrap w:val="0"/>
            <w:vAlign w:val="center"/>
          </w:tcPr>
          <w:p w14:paraId="5DFE3111">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0"/>
                <w:position w:val="0"/>
                <w:sz w:val="21"/>
                <w:szCs w:val="21"/>
                <w:highlight w:val="none"/>
                <w:lang w:val="en-US" w:eastAsia="zh-CN" w:bidi="ar-SA"/>
              </w:rPr>
            </w:pPr>
            <w:r>
              <w:rPr>
                <w:rFonts w:hint="default" w:ascii="Times New Roman" w:hAnsi="Times New Roman" w:cs="Times New Roman"/>
                <w:color w:val="auto"/>
                <w:spacing w:val="0"/>
                <w:position w:val="0"/>
                <w:sz w:val="21"/>
                <w:szCs w:val="21"/>
                <w:highlight w:val="none"/>
                <w:lang w:val="en-US" w:eastAsia="zh-CN"/>
              </w:rPr>
              <w:t>0.0001</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575E0AA5">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890" w:type="dxa"/>
            <w:noWrap w:val="0"/>
            <w:vAlign w:val="center"/>
          </w:tcPr>
          <w:p w14:paraId="226D213B">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spacing w:val="0"/>
                <w:kern w:val="0"/>
                <w:position w:val="0"/>
                <w:sz w:val="21"/>
                <w:szCs w:val="21"/>
                <w:highlight w:val="none"/>
                <w:u w:val="none"/>
                <w:lang w:val="en-US" w:eastAsia="zh-CN" w:bidi="ar"/>
              </w:rPr>
            </w:pPr>
            <w:r>
              <w:rPr>
                <w:rFonts w:hint="default" w:ascii="Times New Roman" w:hAnsi="Times New Roman" w:cs="Times New Roman"/>
                <w:color w:val="auto"/>
                <w:spacing w:val="0"/>
                <w:position w:val="0"/>
                <w:sz w:val="21"/>
                <w:szCs w:val="21"/>
                <w:highlight w:val="none"/>
                <w:lang w:val="en-US" w:eastAsia="zh-CN"/>
              </w:rPr>
              <w:t>0.0001</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2DE5E5E1">
            <w:pPr>
              <w:pStyle w:val="9"/>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spacing w:val="0"/>
                <w:kern w:val="0"/>
                <w:position w:val="0"/>
                <w:sz w:val="21"/>
                <w:szCs w:val="21"/>
                <w:highlight w:val="none"/>
                <w:u w:val="none"/>
                <w:lang w:val="en-US" w:eastAsia="zh-CN" w:bidi="ar"/>
              </w:rPr>
            </w:pPr>
            <w:r>
              <w:rPr>
                <w:rFonts w:hint="default" w:ascii="Times New Roman" w:hAnsi="Times New Roman" w:cs="Times New Roman"/>
                <w:color w:val="auto"/>
                <w:spacing w:val="0"/>
                <w:position w:val="0"/>
                <w:sz w:val="21"/>
                <w:szCs w:val="21"/>
                <w:highlight w:val="none"/>
                <w:lang w:val="en-US" w:eastAsia="zh-CN"/>
              </w:rPr>
              <w:t>+0.0001</w:t>
            </w:r>
            <w:r>
              <w:rPr>
                <w:rFonts w:hint="default" w:ascii="Times New Roman" w:hAnsi="Times New Roman" w:eastAsia="宋体" w:cs="Times New Roman"/>
                <w:color w:val="auto"/>
                <w:spacing w:val="0"/>
                <w:kern w:val="0"/>
                <w:position w:val="0"/>
                <w:szCs w:val="21"/>
                <w:highlight w:val="none"/>
                <w:lang w:bidi="ar"/>
              </w:rPr>
              <w:t>t/a</w:t>
            </w:r>
          </w:p>
        </w:tc>
      </w:tr>
      <w:tr w14:paraId="1A9189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continue"/>
            <w:noWrap w:val="0"/>
            <w:vAlign w:val="center"/>
          </w:tcPr>
          <w:p w14:paraId="252565B3">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p>
        </w:tc>
        <w:tc>
          <w:tcPr>
            <w:tcW w:w="2295" w:type="dxa"/>
            <w:noWrap w:val="0"/>
            <w:vAlign w:val="center"/>
          </w:tcPr>
          <w:p w14:paraId="2E1440E2">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pacing w:val="0"/>
                <w:position w:val="0"/>
                <w:szCs w:val="21"/>
                <w:highlight w:val="none"/>
              </w:rPr>
              <w:t>工业粉尘</w:t>
            </w:r>
          </w:p>
        </w:tc>
        <w:tc>
          <w:tcPr>
            <w:tcW w:w="1322" w:type="dxa"/>
            <w:noWrap w:val="0"/>
            <w:vAlign w:val="center"/>
          </w:tcPr>
          <w:p w14:paraId="70D320B1">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067" w:type="dxa"/>
            <w:noWrap w:val="0"/>
            <w:vAlign w:val="center"/>
          </w:tcPr>
          <w:p w14:paraId="212A1F27">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470" w:type="dxa"/>
            <w:noWrap w:val="0"/>
            <w:vAlign w:val="center"/>
          </w:tcPr>
          <w:p w14:paraId="349CF5B0">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530" w:type="dxa"/>
            <w:noWrap w:val="0"/>
            <w:vAlign w:val="center"/>
          </w:tcPr>
          <w:p w14:paraId="1F49BA7D">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i w:val="0"/>
                <w:iCs w:val="0"/>
                <w:color w:val="auto"/>
                <w:spacing w:val="0"/>
                <w:kern w:val="0"/>
                <w:position w:val="0"/>
                <w:sz w:val="21"/>
                <w:szCs w:val="21"/>
                <w:highlight w:val="none"/>
                <w:u w:val="none"/>
                <w:lang w:val="en-US" w:eastAsia="zh-CN" w:bidi="ar"/>
              </w:rPr>
              <w:t>0.</w:t>
            </w:r>
            <w:r>
              <w:rPr>
                <w:rFonts w:hint="default" w:ascii="Times New Roman" w:hAnsi="Times New Roman" w:cs="Times New Roman"/>
                <w:i w:val="0"/>
                <w:iCs w:val="0"/>
                <w:color w:val="auto"/>
                <w:spacing w:val="0"/>
                <w:kern w:val="0"/>
                <w:position w:val="0"/>
                <w:sz w:val="21"/>
                <w:szCs w:val="21"/>
                <w:highlight w:val="none"/>
                <w:u w:val="none"/>
                <w:lang w:val="en-US" w:eastAsia="zh-CN" w:bidi="ar"/>
              </w:rPr>
              <w:t>023</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70872C7A">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890" w:type="dxa"/>
            <w:noWrap w:val="0"/>
            <w:vAlign w:val="center"/>
          </w:tcPr>
          <w:p w14:paraId="552391F2">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i w:val="0"/>
                <w:iCs w:val="0"/>
                <w:color w:val="auto"/>
                <w:spacing w:val="0"/>
                <w:kern w:val="0"/>
                <w:position w:val="0"/>
                <w:sz w:val="21"/>
                <w:szCs w:val="21"/>
                <w:highlight w:val="none"/>
                <w:u w:val="none"/>
                <w:lang w:val="en-US" w:eastAsia="zh-CN" w:bidi="ar"/>
              </w:rPr>
              <w:t>0.</w:t>
            </w:r>
            <w:r>
              <w:rPr>
                <w:rFonts w:hint="default" w:ascii="Times New Roman" w:hAnsi="Times New Roman" w:cs="Times New Roman"/>
                <w:i w:val="0"/>
                <w:iCs w:val="0"/>
                <w:color w:val="auto"/>
                <w:spacing w:val="0"/>
                <w:kern w:val="0"/>
                <w:position w:val="0"/>
                <w:sz w:val="21"/>
                <w:szCs w:val="21"/>
                <w:highlight w:val="none"/>
                <w:u w:val="none"/>
                <w:lang w:val="en-US" w:eastAsia="zh-CN" w:bidi="ar"/>
              </w:rPr>
              <w:t>023</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58712CEA">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i w:val="0"/>
                <w:iCs w:val="0"/>
                <w:color w:val="auto"/>
                <w:spacing w:val="0"/>
                <w:kern w:val="0"/>
                <w:position w:val="0"/>
                <w:sz w:val="21"/>
                <w:szCs w:val="21"/>
                <w:highlight w:val="none"/>
                <w:u w:val="none"/>
                <w:lang w:val="en-US" w:eastAsia="zh-CN" w:bidi="ar"/>
              </w:rPr>
              <w:t>+0.</w:t>
            </w:r>
            <w:r>
              <w:rPr>
                <w:rFonts w:hint="default" w:ascii="Times New Roman" w:hAnsi="Times New Roman" w:cs="Times New Roman"/>
                <w:i w:val="0"/>
                <w:iCs w:val="0"/>
                <w:color w:val="auto"/>
                <w:spacing w:val="0"/>
                <w:kern w:val="0"/>
                <w:position w:val="0"/>
                <w:sz w:val="21"/>
                <w:szCs w:val="21"/>
                <w:highlight w:val="none"/>
                <w:u w:val="none"/>
                <w:lang w:val="en-US" w:eastAsia="zh-CN" w:bidi="ar"/>
              </w:rPr>
              <w:t>023</w:t>
            </w:r>
            <w:r>
              <w:rPr>
                <w:rFonts w:hint="default" w:ascii="Times New Roman" w:hAnsi="Times New Roman" w:eastAsia="宋体" w:cs="Times New Roman"/>
                <w:color w:val="auto"/>
                <w:spacing w:val="0"/>
                <w:kern w:val="0"/>
                <w:position w:val="0"/>
                <w:szCs w:val="21"/>
                <w:highlight w:val="none"/>
                <w:lang w:bidi="ar"/>
              </w:rPr>
              <w:t>t/a</w:t>
            </w:r>
          </w:p>
        </w:tc>
      </w:tr>
      <w:tr w14:paraId="7F13F5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restart"/>
            <w:noWrap w:val="0"/>
            <w:vAlign w:val="center"/>
          </w:tcPr>
          <w:p w14:paraId="2ABBCEAB">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废水</w:t>
            </w:r>
          </w:p>
        </w:tc>
        <w:tc>
          <w:tcPr>
            <w:tcW w:w="2295" w:type="dxa"/>
            <w:noWrap w:val="0"/>
            <w:vAlign w:val="center"/>
          </w:tcPr>
          <w:p w14:paraId="20F9A446">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color w:val="auto"/>
                <w:spacing w:val="0"/>
                <w:position w:val="0"/>
                <w:szCs w:val="21"/>
                <w:highlight w:val="none"/>
              </w:rPr>
              <w:t>COD</w:t>
            </w:r>
          </w:p>
        </w:tc>
        <w:tc>
          <w:tcPr>
            <w:tcW w:w="1322" w:type="dxa"/>
            <w:noWrap w:val="0"/>
            <w:vAlign w:val="center"/>
          </w:tcPr>
          <w:p w14:paraId="24BAB439">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067" w:type="dxa"/>
            <w:noWrap w:val="0"/>
            <w:vAlign w:val="center"/>
          </w:tcPr>
          <w:p w14:paraId="19EF45E9">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470" w:type="dxa"/>
            <w:noWrap w:val="0"/>
            <w:vAlign w:val="center"/>
          </w:tcPr>
          <w:p w14:paraId="2AD57965">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530" w:type="dxa"/>
            <w:noWrap w:val="0"/>
            <w:vAlign w:val="center"/>
          </w:tcPr>
          <w:p w14:paraId="22FB028E">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5.337</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114313E8">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890" w:type="dxa"/>
            <w:noWrap w:val="0"/>
            <w:vAlign w:val="center"/>
          </w:tcPr>
          <w:p w14:paraId="12ABF61D">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5.337</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173F370E">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+5.337</w:t>
            </w:r>
            <w:r>
              <w:rPr>
                <w:rFonts w:hint="default" w:ascii="Times New Roman" w:hAnsi="Times New Roman" w:eastAsia="宋体" w:cs="Times New Roman"/>
                <w:color w:val="auto"/>
                <w:spacing w:val="0"/>
                <w:kern w:val="0"/>
                <w:position w:val="0"/>
                <w:szCs w:val="21"/>
                <w:highlight w:val="none"/>
                <w:lang w:bidi="ar"/>
              </w:rPr>
              <w:t>t/a</w:t>
            </w:r>
          </w:p>
        </w:tc>
      </w:tr>
      <w:tr w14:paraId="3AB890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continue"/>
            <w:noWrap w:val="0"/>
            <w:vAlign w:val="center"/>
          </w:tcPr>
          <w:p w14:paraId="4C5324DE">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p>
        </w:tc>
        <w:tc>
          <w:tcPr>
            <w:tcW w:w="2295" w:type="dxa"/>
            <w:noWrap w:val="0"/>
            <w:vAlign w:val="center"/>
          </w:tcPr>
          <w:p w14:paraId="2F6D0C75">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color w:val="auto"/>
                <w:spacing w:val="0"/>
                <w:position w:val="0"/>
                <w:szCs w:val="21"/>
                <w:highlight w:val="none"/>
              </w:rPr>
              <w:t>NH</w:t>
            </w:r>
            <w:r>
              <w:rPr>
                <w:rFonts w:hint="default" w:ascii="Times New Roman" w:hAnsi="Times New Roman" w:eastAsia="宋体" w:cs="Times New Roman"/>
                <w:color w:val="auto"/>
                <w:spacing w:val="0"/>
                <w:position w:val="0"/>
                <w:szCs w:val="21"/>
                <w:highlight w:val="none"/>
                <w:vertAlign w:val="subscript"/>
              </w:rPr>
              <w:t>3</w:t>
            </w:r>
            <w:r>
              <w:rPr>
                <w:rFonts w:hint="default" w:ascii="Times New Roman" w:hAnsi="Times New Roman" w:eastAsia="宋体" w:cs="Times New Roman"/>
                <w:color w:val="auto"/>
                <w:spacing w:val="0"/>
                <w:position w:val="0"/>
                <w:szCs w:val="21"/>
                <w:highlight w:val="none"/>
              </w:rPr>
              <w:t>-N</w:t>
            </w:r>
          </w:p>
        </w:tc>
        <w:tc>
          <w:tcPr>
            <w:tcW w:w="1322" w:type="dxa"/>
            <w:noWrap w:val="0"/>
            <w:vAlign w:val="center"/>
          </w:tcPr>
          <w:p w14:paraId="67BEF162">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067" w:type="dxa"/>
            <w:noWrap w:val="0"/>
            <w:vAlign w:val="center"/>
          </w:tcPr>
          <w:p w14:paraId="51CF9128">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470" w:type="dxa"/>
            <w:noWrap w:val="0"/>
            <w:vAlign w:val="center"/>
          </w:tcPr>
          <w:p w14:paraId="5B7D6F95">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530" w:type="dxa"/>
            <w:noWrap w:val="0"/>
            <w:vAlign w:val="center"/>
          </w:tcPr>
          <w:p w14:paraId="6A87C337">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0.285</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6D5192CE">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890" w:type="dxa"/>
            <w:noWrap w:val="0"/>
            <w:vAlign w:val="center"/>
          </w:tcPr>
          <w:p w14:paraId="711BA6D3">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0.285</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08327531">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i w:val="0"/>
                <w:iCs w:val="0"/>
                <w:color w:val="auto"/>
                <w:spacing w:val="0"/>
                <w:kern w:val="0"/>
                <w:position w:val="0"/>
                <w:sz w:val="21"/>
                <w:szCs w:val="21"/>
                <w:highlight w:val="none"/>
                <w:u w:val="none"/>
                <w:lang w:val="en-US" w:eastAsia="zh-CN" w:bidi="ar"/>
              </w:rPr>
              <w:t>+0.285</w:t>
            </w:r>
            <w:r>
              <w:rPr>
                <w:rFonts w:hint="default" w:ascii="Times New Roman" w:hAnsi="Times New Roman" w:eastAsia="宋体" w:cs="Times New Roman"/>
                <w:color w:val="auto"/>
                <w:spacing w:val="0"/>
                <w:kern w:val="0"/>
                <w:position w:val="0"/>
                <w:szCs w:val="21"/>
                <w:highlight w:val="none"/>
                <w:lang w:bidi="ar"/>
              </w:rPr>
              <w:t>t/a</w:t>
            </w:r>
          </w:p>
        </w:tc>
      </w:tr>
      <w:tr w14:paraId="1E17DE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restart"/>
            <w:noWrap w:val="0"/>
            <w:vAlign w:val="center"/>
          </w:tcPr>
          <w:p w14:paraId="32263949">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一般工业</w:t>
            </w:r>
          </w:p>
          <w:p w14:paraId="310F9BCD">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固体废物</w:t>
            </w:r>
          </w:p>
        </w:tc>
        <w:tc>
          <w:tcPr>
            <w:tcW w:w="2295" w:type="dxa"/>
            <w:noWrap w:val="0"/>
            <w:vAlign w:val="center"/>
          </w:tcPr>
          <w:p w14:paraId="41C258AA">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cs="Times New Roman"/>
                <w:color w:val="auto"/>
                <w:szCs w:val="21"/>
                <w:highlight w:val="none"/>
                <w:lang w:val="en-US" w:eastAsia="zh-CN"/>
              </w:rPr>
              <w:t>清理杂质</w:t>
            </w:r>
          </w:p>
        </w:tc>
        <w:tc>
          <w:tcPr>
            <w:tcW w:w="1322" w:type="dxa"/>
            <w:noWrap w:val="0"/>
            <w:vAlign w:val="center"/>
          </w:tcPr>
          <w:p w14:paraId="374AC259">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067" w:type="dxa"/>
            <w:noWrap w:val="0"/>
            <w:vAlign w:val="center"/>
          </w:tcPr>
          <w:p w14:paraId="2897BB62">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470" w:type="dxa"/>
            <w:noWrap w:val="0"/>
            <w:vAlign w:val="center"/>
          </w:tcPr>
          <w:p w14:paraId="16B19206">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530" w:type="dxa"/>
            <w:noWrap w:val="0"/>
            <w:vAlign w:val="center"/>
          </w:tcPr>
          <w:p w14:paraId="0D5580F0">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cs="Times New Roman"/>
                <w:color w:val="auto"/>
                <w:szCs w:val="21"/>
                <w:highlight w:val="none"/>
                <w:lang w:val="en-US" w:eastAsia="zh-CN"/>
              </w:rPr>
              <w:t>65</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1A6F69E3">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890" w:type="dxa"/>
            <w:noWrap w:val="0"/>
            <w:vAlign w:val="center"/>
          </w:tcPr>
          <w:p w14:paraId="52D96DD4">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color w:val="auto"/>
                <w:szCs w:val="21"/>
                <w:highlight w:val="none"/>
                <w:lang w:val="en-US" w:eastAsia="zh-CN"/>
              </w:rPr>
              <w:t>65</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3214C2C6">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color w:val="auto"/>
                <w:szCs w:val="21"/>
                <w:highlight w:val="none"/>
                <w:lang w:val="en-US" w:eastAsia="zh-CN"/>
              </w:rPr>
              <w:t>+65</w:t>
            </w:r>
            <w:r>
              <w:rPr>
                <w:rFonts w:hint="default" w:ascii="Times New Roman" w:hAnsi="Times New Roman" w:eastAsia="宋体" w:cs="Times New Roman"/>
                <w:color w:val="auto"/>
                <w:spacing w:val="0"/>
                <w:kern w:val="0"/>
                <w:position w:val="0"/>
                <w:szCs w:val="21"/>
                <w:highlight w:val="none"/>
                <w:lang w:bidi="ar"/>
              </w:rPr>
              <w:t>t/a</w:t>
            </w:r>
          </w:p>
        </w:tc>
      </w:tr>
      <w:tr w14:paraId="495346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continue"/>
            <w:noWrap w:val="0"/>
            <w:vAlign w:val="center"/>
          </w:tcPr>
          <w:p w14:paraId="656BE21A">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p>
        </w:tc>
        <w:tc>
          <w:tcPr>
            <w:tcW w:w="2295" w:type="dxa"/>
            <w:noWrap w:val="0"/>
            <w:vAlign w:val="center"/>
          </w:tcPr>
          <w:p w14:paraId="1F84B841">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cs="Times New Roman"/>
                <w:color w:val="auto"/>
                <w:szCs w:val="21"/>
                <w:highlight w:val="none"/>
                <w:lang w:val="en-US" w:eastAsia="zh-CN"/>
              </w:rPr>
              <w:t>收集</w:t>
            </w:r>
            <w:r>
              <w:rPr>
                <w:rFonts w:hint="default" w:ascii="Times New Roman" w:hAnsi="Times New Roman" w:eastAsia="宋体" w:cs="Times New Roman"/>
                <w:color w:val="auto"/>
                <w:szCs w:val="21"/>
                <w:highlight w:val="none"/>
              </w:rPr>
              <w:t>粉尘</w:t>
            </w:r>
          </w:p>
        </w:tc>
        <w:tc>
          <w:tcPr>
            <w:tcW w:w="1322" w:type="dxa"/>
            <w:noWrap w:val="0"/>
            <w:vAlign w:val="center"/>
          </w:tcPr>
          <w:p w14:paraId="559D69A5">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067" w:type="dxa"/>
            <w:noWrap w:val="0"/>
            <w:vAlign w:val="center"/>
          </w:tcPr>
          <w:p w14:paraId="5AC1D240">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470" w:type="dxa"/>
            <w:noWrap w:val="0"/>
            <w:vAlign w:val="center"/>
          </w:tcPr>
          <w:p w14:paraId="0472C9FB">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530" w:type="dxa"/>
            <w:noWrap w:val="0"/>
            <w:vAlign w:val="center"/>
          </w:tcPr>
          <w:p w14:paraId="5B251B70">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cs="Times New Roman"/>
                <w:color w:val="auto"/>
                <w:szCs w:val="21"/>
                <w:highlight w:val="none"/>
                <w:lang w:val="en-US" w:eastAsia="zh-CN"/>
              </w:rPr>
              <w:t>22.77</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7598517B">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890" w:type="dxa"/>
            <w:noWrap w:val="0"/>
            <w:vAlign w:val="center"/>
          </w:tcPr>
          <w:p w14:paraId="3C40B851">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color w:val="auto"/>
                <w:szCs w:val="21"/>
                <w:highlight w:val="none"/>
                <w:lang w:val="en-US" w:eastAsia="zh-CN"/>
              </w:rPr>
              <w:t>22.77</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02A9085C">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color w:val="auto"/>
                <w:szCs w:val="21"/>
                <w:highlight w:val="none"/>
                <w:lang w:val="en-US" w:eastAsia="zh-CN"/>
              </w:rPr>
              <w:t>+22.77</w:t>
            </w:r>
            <w:r>
              <w:rPr>
                <w:rFonts w:hint="default" w:ascii="Times New Roman" w:hAnsi="Times New Roman" w:eastAsia="宋体" w:cs="Times New Roman"/>
                <w:color w:val="auto"/>
                <w:spacing w:val="0"/>
                <w:kern w:val="0"/>
                <w:position w:val="0"/>
                <w:szCs w:val="21"/>
                <w:highlight w:val="none"/>
                <w:lang w:bidi="ar"/>
              </w:rPr>
              <w:t>t/a</w:t>
            </w:r>
          </w:p>
        </w:tc>
      </w:tr>
      <w:tr w14:paraId="6C2B6B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continue"/>
            <w:noWrap w:val="0"/>
            <w:vAlign w:val="center"/>
          </w:tcPr>
          <w:p w14:paraId="16AE95D2">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p>
        </w:tc>
        <w:tc>
          <w:tcPr>
            <w:tcW w:w="2295" w:type="dxa"/>
            <w:noWrap w:val="0"/>
            <w:vAlign w:val="center"/>
          </w:tcPr>
          <w:p w14:paraId="13CF8163">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cs="Times New Roman"/>
                <w:color w:val="auto"/>
                <w:szCs w:val="21"/>
                <w:highlight w:val="none"/>
                <w:lang w:val="en-US" w:eastAsia="zh-CN"/>
              </w:rPr>
              <w:t>油角</w:t>
            </w:r>
          </w:p>
        </w:tc>
        <w:tc>
          <w:tcPr>
            <w:tcW w:w="1322" w:type="dxa"/>
            <w:noWrap w:val="0"/>
            <w:vAlign w:val="center"/>
          </w:tcPr>
          <w:p w14:paraId="18864BDA">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067" w:type="dxa"/>
            <w:noWrap w:val="0"/>
            <w:vAlign w:val="center"/>
          </w:tcPr>
          <w:p w14:paraId="517F8FB4">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470" w:type="dxa"/>
            <w:noWrap w:val="0"/>
            <w:vAlign w:val="center"/>
          </w:tcPr>
          <w:p w14:paraId="637C9CBE">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530" w:type="dxa"/>
            <w:noWrap w:val="0"/>
            <w:vAlign w:val="center"/>
          </w:tcPr>
          <w:p w14:paraId="607FFB47">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cs="Times New Roman"/>
                <w:color w:val="auto"/>
                <w:szCs w:val="21"/>
                <w:highlight w:val="none"/>
                <w:lang w:val="en-US" w:eastAsia="zh-CN"/>
              </w:rPr>
              <w:t>72.18</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5AFABC89">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eastAsia="宋体" w:cs="Times New Roman"/>
                <w:snapToGrid w:val="0"/>
                <w:color w:val="auto"/>
                <w:spacing w:val="0"/>
                <w:kern w:val="21"/>
                <w:position w:val="0"/>
                <w:szCs w:val="21"/>
                <w:highlight w:val="none"/>
              </w:rPr>
              <w:t>/</w:t>
            </w:r>
          </w:p>
        </w:tc>
        <w:tc>
          <w:tcPr>
            <w:tcW w:w="1890" w:type="dxa"/>
            <w:noWrap w:val="0"/>
            <w:vAlign w:val="center"/>
          </w:tcPr>
          <w:p w14:paraId="2085446B">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color w:val="auto"/>
                <w:szCs w:val="21"/>
                <w:highlight w:val="none"/>
                <w:lang w:val="en-US" w:eastAsia="zh-CN"/>
              </w:rPr>
              <w:t>72.18</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7C72D91D">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color w:val="auto"/>
                <w:szCs w:val="21"/>
                <w:highlight w:val="none"/>
                <w:lang w:val="en-US" w:eastAsia="zh-CN"/>
              </w:rPr>
              <w:t>+72.18</w:t>
            </w:r>
            <w:r>
              <w:rPr>
                <w:rFonts w:hint="default" w:ascii="Times New Roman" w:hAnsi="Times New Roman" w:eastAsia="宋体" w:cs="Times New Roman"/>
                <w:color w:val="auto"/>
                <w:spacing w:val="0"/>
                <w:kern w:val="0"/>
                <w:position w:val="0"/>
                <w:szCs w:val="21"/>
                <w:highlight w:val="none"/>
                <w:lang w:bidi="ar"/>
              </w:rPr>
              <w:t>t/a</w:t>
            </w:r>
          </w:p>
        </w:tc>
      </w:tr>
      <w:tr w14:paraId="0A5C1A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continue"/>
            <w:noWrap w:val="0"/>
            <w:vAlign w:val="center"/>
          </w:tcPr>
          <w:p w14:paraId="14492F2B">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p>
        </w:tc>
        <w:tc>
          <w:tcPr>
            <w:tcW w:w="2295" w:type="dxa"/>
            <w:noWrap w:val="0"/>
            <w:vAlign w:val="center"/>
          </w:tcPr>
          <w:p w14:paraId="6D1EF037">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cs="Times New Roman"/>
                <w:color w:val="auto"/>
                <w:szCs w:val="21"/>
                <w:highlight w:val="none"/>
                <w:lang w:val="en-US" w:eastAsia="zh-CN"/>
              </w:rPr>
              <w:t>脂肪酸</w:t>
            </w:r>
          </w:p>
        </w:tc>
        <w:tc>
          <w:tcPr>
            <w:tcW w:w="1322" w:type="dxa"/>
            <w:noWrap w:val="0"/>
            <w:vAlign w:val="center"/>
          </w:tcPr>
          <w:p w14:paraId="55993581">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067" w:type="dxa"/>
            <w:noWrap w:val="0"/>
            <w:vAlign w:val="center"/>
          </w:tcPr>
          <w:p w14:paraId="7D7635C4">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470" w:type="dxa"/>
            <w:noWrap w:val="0"/>
            <w:vAlign w:val="center"/>
          </w:tcPr>
          <w:p w14:paraId="21081145">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530" w:type="dxa"/>
            <w:noWrap w:val="0"/>
            <w:vAlign w:val="center"/>
          </w:tcPr>
          <w:p w14:paraId="5938D68A">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cs="Times New Roman"/>
                <w:color w:val="auto"/>
                <w:szCs w:val="21"/>
                <w:highlight w:val="none"/>
                <w:lang w:val="en-US" w:eastAsia="zh-CN"/>
              </w:rPr>
              <w:t>17.82</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66D60602">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eastAsia="宋体" w:cs="Times New Roman"/>
                <w:snapToGrid w:val="0"/>
                <w:color w:val="auto"/>
                <w:spacing w:val="0"/>
                <w:kern w:val="21"/>
                <w:position w:val="0"/>
                <w:szCs w:val="21"/>
                <w:highlight w:val="none"/>
              </w:rPr>
              <w:t>/</w:t>
            </w:r>
          </w:p>
        </w:tc>
        <w:tc>
          <w:tcPr>
            <w:tcW w:w="1890" w:type="dxa"/>
            <w:noWrap w:val="0"/>
            <w:vAlign w:val="center"/>
          </w:tcPr>
          <w:p w14:paraId="1A534C7E">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color w:val="auto"/>
                <w:szCs w:val="21"/>
                <w:highlight w:val="none"/>
                <w:lang w:val="en-US" w:eastAsia="zh-CN"/>
              </w:rPr>
              <w:t>17.82</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3BBBDF2A">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color w:val="auto"/>
                <w:szCs w:val="21"/>
                <w:highlight w:val="none"/>
                <w:lang w:val="en-US" w:eastAsia="zh-CN"/>
              </w:rPr>
              <w:t>+17.82</w:t>
            </w:r>
            <w:r>
              <w:rPr>
                <w:rFonts w:hint="default" w:ascii="Times New Roman" w:hAnsi="Times New Roman" w:eastAsia="宋体" w:cs="Times New Roman"/>
                <w:color w:val="auto"/>
                <w:spacing w:val="0"/>
                <w:kern w:val="0"/>
                <w:position w:val="0"/>
                <w:szCs w:val="21"/>
                <w:highlight w:val="none"/>
                <w:lang w:bidi="ar"/>
              </w:rPr>
              <w:t>t/a</w:t>
            </w:r>
          </w:p>
        </w:tc>
      </w:tr>
      <w:tr w14:paraId="71909E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continue"/>
            <w:noWrap w:val="0"/>
            <w:vAlign w:val="center"/>
          </w:tcPr>
          <w:p w14:paraId="41842DB9">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p>
        </w:tc>
        <w:tc>
          <w:tcPr>
            <w:tcW w:w="2295" w:type="dxa"/>
            <w:noWrap w:val="0"/>
            <w:vAlign w:val="center"/>
          </w:tcPr>
          <w:p w14:paraId="79588C3D">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cs="Times New Roman"/>
                <w:color w:val="auto"/>
                <w:szCs w:val="21"/>
                <w:highlight w:val="none"/>
                <w:lang w:val="en-US" w:eastAsia="zh-CN"/>
              </w:rPr>
              <w:t>废白土</w:t>
            </w:r>
          </w:p>
        </w:tc>
        <w:tc>
          <w:tcPr>
            <w:tcW w:w="1322" w:type="dxa"/>
            <w:noWrap w:val="0"/>
            <w:vAlign w:val="center"/>
          </w:tcPr>
          <w:p w14:paraId="6784CCFA">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067" w:type="dxa"/>
            <w:noWrap w:val="0"/>
            <w:vAlign w:val="center"/>
          </w:tcPr>
          <w:p w14:paraId="66E5AD2D">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470" w:type="dxa"/>
            <w:noWrap w:val="0"/>
            <w:vAlign w:val="center"/>
          </w:tcPr>
          <w:p w14:paraId="6789B793">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530" w:type="dxa"/>
            <w:noWrap w:val="0"/>
            <w:vAlign w:val="center"/>
          </w:tcPr>
          <w:p w14:paraId="636B8F55">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cs="Times New Roman"/>
                <w:color w:val="auto"/>
                <w:szCs w:val="21"/>
                <w:highlight w:val="none"/>
                <w:lang w:val="en-US" w:eastAsia="zh-CN"/>
              </w:rPr>
              <w:t>225</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6E0EB39A">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890" w:type="dxa"/>
            <w:noWrap w:val="0"/>
            <w:vAlign w:val="center"/>
          </w:tcPr>
          <w:p w14:paraId="1DA0A4D9">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cs="Times New Roman"/>
                <w:color w:val="auto"/>
                <w:szCs w:val="21"/>
                <w:highlight w:val="none"/>
                <w:lang w:val="en-US" w:eastAsia="zh-CN"/>
              </w:rPr>
              <w:t>225</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05787FEF">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cs="Times New Roman"/>
                <w:color w:val="auto"/>
                <w:szCs w:val="21"/>
                <w:highlight w:val="none"/>
                <w:lang w:val="en-US" w:eastAsia="zh-CN"/>
              </w:rPr>
              <w:t>+225</w:t>
            </w:r>
            <w:r>
              <w:rPr>
                <w:rFonts w:hint="default" w:ascii="Times New Roman" w:hAnsi="Times New Roman" w:eastAsia="宋体" w:cs="Times New Roman"/>
                <w:color w:val="auto"/>
                <w:spacing w:val="0"/>
                <w:kern w:val="0"/>
                <w:position w:val="0"/>
                <w:szCs w:val="21"/>
                <w:highlight w:val="none"/>
                <w:lang w:bidi="ar"/>
              </w:rPr>
              <w:t>t/a</w:t>
            </w:r>
          </w:p>
        </w:tc>
      </w:tr>
      <w:tr w14:paraId="783F06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continue"/>
            <w:noWrap w:val="0"/>
            <w:vAlign w:val="center"/>
          </w:tcPr>
          <w:p w14:paraId="6D37DD95">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p>
        </w:tc>
        <w:tc>
          <w:tcPr>
            <w:tcW w:w="2295" w:type="dxa"/>
            <w:noWrap w:val="0"/>
            <w:vAlign w:val="center"/>
          </w:tcPr>
          <w:p w14:paraId="0A03B42B">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zCs w:val="21"/>
                <w:highlight w:val="none"/>
              </w:rPr>
              <w:t>锅炉</w:t>
            </w:r>
            <w:r>
              <w:rPr>
                <w:rFonts w:hint="default" w:ascii="Times New Roman" w:hAnsi="Times New Roman" w:eastAsia="宋体" w:cs="Times New Roman"/>
                <w:color w:val="auto"/>
                <w:szCs w:val="21"/>
                <w:highlight w:val="none"/>
                <w:lang w:val="en-US" w:eastAsia="zh-CN"/>
              </w:rPr>
              <w:t>炉渣</w:t>
            </w:r>
          </w:p>
        </w:tc>
        <w:tc>
          <w:tcPr>
            <w:tcW w:w="1322" w:type="dxa"/>
            <w:noWrap w:val="0"/>
            <w:vAlign w:val="center"/>
          </w:tcPr>
          <w:p w14:paraId="54DBB8B3">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067" w:type="dxa"/>
            <w:noWrap w:val="0"/>
            <w:vAlign w:val="center"/>
          </w:tcPr>
          <w:p w14:paraId="7DA6D815">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470" w:type="dxa"/>
            <w:noWrap w:val="0"/>
            <w:vAlign w:val="center"/>
          </w:tcPr>
          <w:p w14:paraId="32BB6920">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530" w:type="dxa"/>
            <w:noWrap w:val="0"/>
            <w:vAlign w:val="center"/>
          </w:tcPr>
          <w:p w14:paraId="2106A550">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cs="Times New Roman"/>
                <w:color w:val="auto"/>
                <w:szCs w:val="21"/>
                <w:highlight w:val="none"/>
                <w:lang w:val="en-US" w:eastAsia="zh-CN"/>
              </w:rPr>
              <w:t>3845.516</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56C84A78">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890" w:type="dxa"/>
            <w:noWrap w:val="0"/>
            <w:vAlign w:val="center"/>
          </w:tcPr>
          <w:p w14:paraId="65DAD1CA">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cs="Times New Roman"/>
                <w:color w:val="auto"/>
                <w:szCs w:val="21"/>
                <w:highlight w:val="none"/>
                <w:lang w:val="en-US" w:eastAsia="zh-CN"/>
              </w:rPr>
              <w:t>3845.516</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1D0965E8">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cs="Times New Roman"/>
                <w:color w:val="auto"/>
                <w:szCs w:val="21"/>
                <w:highlight w:val="none"/>
                <w:lang w:val="en-US" w:eastAsia="zh-CN"/>
              </w:rPr>
              <w:t>+3845.516</w:t>
            </w:r>
            <w:r>
              <w:rPr>
                <w:rFonts w:hint="default" w:ascii="Times New Roman" w:hAnsi="Times New Roman" w:eastAsia="宋体" w:cs="Times New Roman"/>
                <w:color w:val="auto"/>
                <w:spacing w:val="0"/>
                <w:kern w:val="0"/>
                <w:position w:val="0"/>
                <w:szCs w:val="21"/>
                <w:highlight w:val="none"/>
                <w:lang w:bidi="ar"/>
              </w:rPr>
              <w:t>t/a</w:t>
            </w:r>
          </w:p>
        </w:tc>
      </w:tr>
      <w:tr w14:paraId="278CDC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continue"/>
            <w:noWrap w:val="0"/>
            <w:vAlign w:val="center"/>
          </w:tcPr>
          <w:p w14:paraId="2DDB8B95">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p>
        </w:tc>
        <w:tc>
          <w:tcPr>
            <w:tcW w:w="2295" w:type="dxa"/>
            <w:noWrap w:val="0"/>
            <w:vAlign w:val="center"/>
          </w:tcPr>
          <w:p w14:paraId="48B10123">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zCs w:val="21"/>
                <w:highlight w:val="none"/>
              </w:rPr>
              <w:t>除尘器</w:t>
            </w:r>
            <w:r>
              <w:rPr>
                <w:rFonts w:hint="default" w:ascii="Times New Roman" w:hAnsi="Times New Roman" w:eastAsia="宋体" w:cs="Times New Roman"/>
                <w:color w:val="auto"/>
                <w:szCs w:val="21"/>
                <w:highlight w:val="none"/>
                <w:lang w:val="en-US" w:eastAsia="zh-CN"/>
              </w:rPr>
              <w:t>收集粉尘</w:t>
            </w:r>
          </w:p>
        </w:tc>
        <w:tc>
          <w:tcPr>
            <w:tcW w:w="1322" w:type="dxa"/>
            <w:noWrap w:val="0"/>
            <w:vAlign w:val="center"/>
          </w:tcPr>
          <w:p w14:paraId="098EB5AC">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067" w:type="dxa"/>
            <w:noWrap w:val="0"/>
            <w:vAlign w:val="center"/>
          </w:tcPr>
          <w:p w14:paraId="282FA48C">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470" w:type="dxa"/>
            <w:noWrap w:val="0"/>
            <w:vAlign w:val="center"/>
          </w:tcPr>
          <w:p w14:paraId="52C1E5ED">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530" w:type="dxa"/>
            <w:noWrap w:val="0"/>
            <w:vAlign w:val="center"/>
          </w:tcPr>
          <w:p w14:paraId="3F23FB5F">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cs="Times New Roman"/>
                <w:color w:val="auto"/>
                <w:szCs w:val="21"/>
                <w:highlight w:val="none"/>
                <w:lang w:val="en-US" w:eastAsia="zh-CN"/>
              </w:rPr>
              <w:t>1922.814</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772677F8">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890" w:type="dxa"/>
            <w:noWrap w:val="0"/>
            <w:vAlign w:val="center"/>
          </w:tcPr>
          <w:p w14:paraId="4EAF0E41">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cs="Times New Roman"/>
                <w:color w:val="auto"/>
                <w:szCs w:val="21"/>
                <w:highlight w:val="none"/>
                <w:lang w:val="en-US" w:eastAsia="zh-CN"/>
              </w:rPr>
              <w:t>1922.814</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685016FC">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cs="Times New Roman"/>
                <w:color w:val="auto"/>
                <w:szCs w:val="21"/>
                <w:highlight w:val="none"/>
                <w:lang w:val="en-US" w:eastAsia="zh-CN"/>
              </w:rPr>
              <w:t>+1922.814</w:t>
            </w:r>
            <w:r>
              <w:rPr>
                <w:rFonts w:hint="default" w:ascii="Times New Roman" w:hAnsi="Times New Roman" w:eastAsia="宋体" w:cs="Times New Roman"/>
                <w:color w:val="auto"/>
                <w:spacing w:val="0"/>
                <w:kern w:val="0"/>
                <w:position w:val="0"/>
                <w:szCs w:val="21"/>
                <w:highlight w:val="none"/>
                <w:lang w:bidi="ar"/>
              </w:rPr>
              <w:t>t/a</w:t>
            </w:r>
          </w:p>
        </w:tc>
      </w:tr>
      <w:tr w14:paraId="2B1330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continue"/>
            <w:noWrap w:val="0"/>
            <w:vAlign w:val="center"/>
          </w:tcPr>
          <w:p w14:paraId="266ECFD4">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p>
        </w:tc>
        <w:tc>
          <w:tcPr>
            <w:tcW w:w="2295" w:type="dxa"/>
            <w:noWrap w:val="0"/>
            <w:vAlign w:val="center"/>
          </w:tcPr>
          <w:p w14:paraId="4FAD2FAD">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szCs w:val="21"/>
                <w:highlight w:val="none"/>
              </w:rPr>
              <w:t>废离子交换树脂</w:t>
            </w:r>
          </w:p>
        </w:tc>
        <w:tc>
          <w:tcPr>
            <w:tcW w:w="1322" w:type="dxa"/>
            <w:noWrap w:val="0"/>
            <w:vAlign w:val="center"/>
          </w:tcPr>
          <w:p w14:paraId="6993344F">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067" w:type="dxa"/>
            <w:noWrap w:val="0"/>
            <w:vAlign w:val="center"/>
          </w:tcPr>
          <w:p w14:paraId="6629ECDA">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470" w:type="dxa"/>
            <w:noWrap w:val="0"/>
            <w:vAlign w:val="center"/>
          </w:tcPr>
          <w:p w14:paraId="37B09A2C">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530" w:type="dxa"/>
            <w:noWrap w:val="0"/>
            <w:vAlign w:val="center"/>
          </w:tcPr>
          <w:p w14:paraId="48C28CCE">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kern w:val="2"/>
                <w:sz w:val="21"/>
                <w:szCs w:val="21"/>
                <w:highlight w:val="none"/>
                <w:lang w:val="en-US" w:eastAsia="zh-CN" w:bidi="ar-SA"/>
              </w:rPr>
              <w:t>0.3</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0A1CB106">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890" w:type="dxa"/>
            <w:noWrap w:val="0"/>
            <w:vAlign w:val="center"/>
          </w:tcPr>
          <w:p w14:paraId="15AF050D">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kern w:val="2"/>
                <w:sz w:val="21"/>
                <w:szCs w:val="21"/>
                <w:highlight w:val="none"/>
                <w:lang w:val="en-US" w:eastAsia="zh-CN" w:bidi="ar-SA"/>
              </w:rPr>
              <w:t>0.3</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03E39CEB">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kern w:val="2"/>
                <w:sz w:val="21"/>
                <w:szCs w:val="21"/>
                <w:highlight w:val="none"/>
                <w:lang w:val="en-US" w:eastAsia="zh-CN" w:bidi="ar-SA"/>
              </w:rPr>
              <w:t>+0.3</w:t>
            </w:r>
            <w:r>
              <w:rPr>
                <w:rFonts w:hint="default" w:ascii="Times New Roman" w:hAnsi="Times New Roman" w:eastAsia="宋体" w:cs="Times New Roman"/>
                <w:color w:val="auto"/>
                <w:spacing w:val="0"/>
                <w:kern w:val="0"/>
                <w:position w:val="0"/>
                <w:szCs w:val="21"/>
                <w:highlight w:val="none"/>
                <w:lang w:bidi="ar"/>
              </w:rPr>
              <w:t>t/a</w:t>
            </w:r>
          </w:p>
        </w:tc>
      </w:tr>
      <w:tr w14:paraId="4EA091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continue"/>
            <w:noWrap w:val="0"/>
            <w:vAlign w:val="center"/>
          </w:tcPr>
          <w:p w14:paraId="31E50F38">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p>
        </w:tc>
        <w:tc>
          <w:tcPr>
            <w:tcW w:w="2295" w:type="dxa"/>
            <w:noWrap w:val="0"/>
            <w:vAlign w:val="center"/>
          </w:tcPr>
          <w:p w14:paraId="04C937DB">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cs="Times New Roman"/>
                <w:color w:val="auto"/>
                <w:szCs w:val="21"/>
                <w:highlight w:val="none"/>
                <w:lang w:val="en-US" w:eastAsia="zh-CN"/>
              </w:rPr>
              <w:t>废布袋</w:t>
            </w:r>
          </w:p>
        </w:tc>
        <w:tc>
          <w:tcPr>
            <w:tcW w:w="1322" w:type="dxa"/>
            <w:noWrap w:val="0"/>
            <w:vAlign w:val="center"/>
          </w:tcPr>
          <w:p w14:paraId="5FFA0528">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067" w:type="dxa"/>
            <w:noWrap w:val="0"/>
            <w:vAlign w:val="center"/>
          </w:tcPr>
          <w:p w14:paraId="70A98745">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470" w:type="dxa"/>
            <w:noWrap w:val="0"/>
            <w:vAlign w:val="center"/>
          </w:tcPr>
          <w:p w14:paraId="132287F5">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530" w:type="dxa"/>
            <w:noWrap w:val="0"/>
            <w:vAlign w:val="center"/>
          </w:tcPr>
          <w:p w14:paraId="61697240">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kern w:val="2"/>
                <w:sz w:val="21"/>
                <w:szCs w:val="21"/>
                <w:highlight w:val="none"/>
                <w:lang w:val="en-US" w:eastAsia="zh-CN" w:bidi="ar-SA"/>
              </w:rPr>
              <w:t>0.2</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536D62A4">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890" w:type="dxa"/>
            <w:noWrap w:val="0"/>
            <w:vAlign w:val="center"/>
          </w:tcPr>
          <w:p w14:paraId="06AE8DA1">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kern w:val="2"/>
                <w:sz w:val="21"/>
                <w:szCs w:val="21"/>
                <w:highlight w:val="none"/>
                <w:lang w:val="en-US" w:eastAsia="zh-CN" w:bidi="ar-SA"/>
              </w:rPr>
              <w:t>0.2</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1E45F721">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0"/>
                <w:kern w:val="0"/>
                <w:position w:val="0"/>
                <w:szCs w:val="21"/>
                <w:highlight w:val="none"/>
                <w:lang w:bidi="ar"/>
              </w:rPr>
            </w:pPr>
            <w:r>
              <w:rPr>
                <w:rFonts w:hint="default" w:ascii="Times New Roman" w:hAnsi="Times New Roman" w:eastAsia="宋体" w:cs="Times New Roman"/>
                <w:color w:val="auto"/>
                <w:kern w:val="2"/>
                <w:sz w:val="21"/>
                <w:szCs w:val="21"/>
                <w:highlight w:val="none"/>
                <w:lang w:val="en-US" w:eastAsia="zh-CN" w:bidi="ar-SA"/>
              </w:rPr>
              <w:t>+0.2</w:t>
            </w:r>
            <w:r>
              <w:rPr>
                <w:rFonts w:hint="default" w:ascii="Times New Roman" w:hAnsi="Times New Roman" w:eastAsia="宋体" w:cs="Times New Roman"/>
                <w:color w:val="auto"/>
                <w:spacing w:val="0"/>
                <w:kern w:val="0"/>
                <w:position w:val="0"/>
                <w:szCs w:val="21"/>
                <w:highlight w:val="none"/>
                <w:lang w:bidi="ar"/>
              </w:rPr>
              <w:t>t/a</w:t>
            </w:r>
          </w:p>
        </w:tc>
      </w:tr>
      <w:tr w14:paraId="4CE4D4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continue"/>
            <w:noWrap w:val="0"/>
            <w:vAlign w:val="center"/>
          </w:tcPr>
          <w:p w14:paraId="2A58BF7D">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p>
        </w:tc>
        <w:tc>
          <w:tcPr>
            <w:tcW w:w="2295" w:type="dxa"/>
            <w:noWrap w:val="0"/>
            <w:vAlign w:val="center"/>
          </w:tcPr>
          <w:p w14:paraId="66FB37A3">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color w:val="auto"/>
                <w:spacing w:val="0"/>
                <w:position w:val="0"/>
                <w:szCs w:val="21"/>
                <w:highlight w:val="none"/>
              </w:rPr>
            </w:pPr>
            <w:r>
              <w:rPr>
                <w:rFonts w:hint="default" w:ascii="Times New Roman" w:hAnsi="Times New Roman" w:eastAsia="宋体" w:cs="Times New Roman"/>
                <w:color w:val="auto"/>
                <w:kern w:val="0"/>
                <w:sz w:val="21"/>
                <w:szCs w:val="21"/>
                <w:highlight w:val="none"/>
                <w:lang w:val="en-US" w:eastAsia="zh-CN" w:bidi="ar-SA"/>
              </w:rPr>
              <w:t>污泥</w:t>
            </w:r>
          </w:p>
        </w:tc>
        <w:tc>
          <w:tcPr>
            <w:tcW w:w="1322" w:type="dxa"/>
            <w:noWrap w:val="0"/>
            <w:vAlign w:val="center"/>
          </w:tcPr>
          <w:p w14:paraId="3F10F5FB">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067" w:type="dxa"/>
            <w:noWrap w:val="0"/>
            <w:vAlign w:val="center"/>
          </w:tcPr>
          <w:p w14:paraId="7813BBD1">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470" w:type="dxa"/>
            <w:noWrap w:val="0"/>
            <w:vAlign w:val="center"/>
          </w:tcPr>
          <w:p w14:paraId="7702EF7A">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530" w:type="dxa"/>
            <w:noWrap w:val="0"/>
            <w:vAlign w:val="center"/>
          </w:tcPr>
          <w:p w14:paraId="21371B38">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color w:val="auto"/>
                <w:kern w:val="0"/>
                <w:sz w:val="21"/>
                <w:szCs w:val="21"/>
                <w:highlight w:val="none"/>
                <w:lang w:val="en-US" w:eastAsia="zh-CN" w:bidi="ar-SA"/>
              </w:rPr>
              <w:t>13.681</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2A022805">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890" w:type="dxa"/>
            <w:noWrap w:val="0"/>
            <w:vAlign w:val="center"/>
          </w:tcPr>
          <w:p w14:paraId="090BB2AE">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color w:val="auto"/>
                <w:kern w:val="0"/>
                <w:sz w:val="21"/>
                <w:szCs w:val="21"/>
                <w:highlight w:val="none"/>
                <w:lang w:val="en-US" w:eastAsia="zh-CN" w:bidi="ar-SA"/>
              </w:rPr>
              <w:t>13.681</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604FC206">
            <w:pPr>
              <w:pStyle w:val="73"/>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color w:val="auto"/>
                <w:kern w:val="0"/>
                <w:sz w:val="21"/>
                <w:szCs w:val="21"/>
                <w:highlight w:val="none"/>
                <w:lang w:val="en-US" w:eastAsia="zh-CN" w:bidi="ar-SA"/>
              </w:rPr>
              <w:t>+13.681</w:t>
            </w:r>
            <w:r>
              <w:rPr>
                <w:rFonts w:hint="default" w:ascii="Times New Roman" w:hAnsi="Times New Roman" w:eastAsia="宋体" w:cs="Times New Roman"/>
                <w:color w:val="auto"/>
                <w:spacing w:val="0"/>
                <w:kern w:val="0"/>
                <w:position w:val="0"/>
                <w:szCs w:val="21"/>
                <w:highlight w:val="none"/>
                <w:lang w:bidi="ar"/>
              </w:rPr>
              <w:t>t/a</w:t>
            </w:r>
          </w:p>
        </w:tc>
      </w:tr>
      <w:tr w14:paraId="21A22C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continue"/>
            <w:noWrap w:val="0"/>
            <w:vAlign w:val="center"/>
          </w:tcPr>
          <w:p w14:paraId="1BEC0C7E">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p>
        </w:tc>
        <w:tc>
          <w:tcPr>
            <w:tcW w:w="2295" w:type="dxa"/>
            <w:noWrap w:val="0"/>
            <w:vAlign w:val="center"/>
          </w:tcPr>
          <w:p w14:paraId="0733084F">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color w:val="auto"/>
                <w:szCs w:val="21"/>
                <w:highlight w:val="none"/>
                <w:lang w:val="en-US" w:eastAsia="zh-CN"/>
              </w:rPr>
              <w:t>废活性炭</w:t>
            </w:r>
          </w:p>
        </w:tc>
        <w:tc>
          <w:tcPr>
            <w:tcW w:w="1322" w:type="dxa"/>
            <w:noWrap w:val="0"/>
            <w:vAlign w:val="center"/>
          </w:tcPr>
          <w:p w14:paraId="6C844C88">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067" w:type="dxa"/>
            <w:noWrap w:val="0"/>
            <w:vAlign w:val="center"/>
          </w:tcPr>
          <w:p w14:paraId="7DAB005C">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470" w:type="dxa"/>
            <w:noWrap w:val="0"/>
            <w:vAlign w:val="center"/>
          </w:tcPr>
          <w:p w14:paraId="27F0BBE3">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530" w:type="dxa"/>
            <w:noWrap w:val="0"/>
            <w:vAlign w:val="center"/>
          </w:tcPr>
          <w:p w14:paraId="3ED32426">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color w:val="auto"/>
                <w:szCs w:val="21"/>
                <w:highlight w:val="none"/>
                <w:lang w:val="en-US" w:eastAsia="zh-CN"/>
              </w:rPr>
              <w:t>0.147</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722C440A">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890" w:type="dxa"/>
            <w:noWrap w:val="0"/>
            <w:vAlign w:val="center"/>
          </w:tcPr>
          <w:p w14:paraId="468F279C">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color w:val="auto"/>
                <w:szCs w:val="21"/>
                <w:highlight w:val="none"/>
                <w:lang w:val="en-US" w:eastAsia="zh-CN"/>
              </w:rPr>
              <w:t>0.147</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6E12692A">
            <w:pPr>
              <w:pStyle w:val="73"/>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color w:val="auto"/>
                <w:szCs w:val="21"/>
                <w:highlight w:val="none"/>
                <w:lang w:val="en-US" w:eastAsia="zh-CN"/>
              </w:rPr>
              <w:t>+0.147</w:t>
            </w:r>
            <w:r>
              <w:rPr>
                <w:rFonts w:hint="default" w:ascii="Times New Roman" w:hAnsi="Times New Roman" w:eastAsia="宋体" w:cs="Times New Roman"/>
                <w:color w:val="auto"/>
                <w:spacing w:val="0"/>
                <w:kern w:val="0"/>
                <w:position w:val="0"/>
                <w:szCs w:val="21"/>
                <w:highlight w:val="none"/>
                <w:lang w:bidi="ar"/>
              </w:rPr>
              <w:t>t/a</w:t>
            </w:r>
          </w:p>
        </w:tc>
      </w:tr>
      <w:tr w14:paraId="145525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restart"/>
            <w:noWrap w:val="0"/>
            <w:vAlign w:val="center"/>
          </w:tcPr>
          <w:p w14:paraId="3EA205CD">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危险废物</w:t>
            </w:r>
          </w:p>
        </w:tc>
        <w:tc>
          <w:tcPr>
            <w:tcW w:w="2295" w:type="dxa"/>
            <w:noWrap w:val="0"/>
            <w:vAlign w:val="center"/>
          </w:tcPr>
          <w:p w14:paraId="441DEA2D">
            <w:pPr>
              <w:pStyle w:val="9"/>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color w:val="auto"/>
                <w:kern w:val="0"/>
                <w:sz w:val="21"/>
                <w:szCs w:val="20"/>
                <w:highlight w:val="none"/>
                <w:lang w:val="en-US" w:eastAsia="zh-CN" w:bidi="ar-SA"/>
              </w:rPr>
              <w:t>废活性炭</w:t>
            </w:r>
          </w:p>
        </w:tc>
        <w:tc>
          <w:tcPr>
            <w:tcW w:w="1322" w:type="dxa"/>
            <w:noWrap w:val="0"/>
            <w:vAlign w:val="center"/>
          </w:tcPr>
          <w:p w14:paraId="18193362">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eastAsia="宋体" w:cs="Times New Roman"/>
                <w:snapToGrid w:val="0"/>
                <w:color w:val="auto"/>
                <w:spacing w:val="0"/>
                <w:kern w:val="21"/>
                <w:position w:val="0"/>
                <w:szCs w:val="21"/>
                <w:highlight w:val="none"/>
              </w:rPr>
              <w:t>/</w:t>
            </w:r>
          </w:p>
        </w:tc>
        <w:tc>
          <w:tcPr>
            <w:tcW w:w="1067" w:type="dxa"/>
            <w:noWrap w:val="0"/>
            <w:vAlign w:val="center"/>
          </w:tcPr>
          <w:p w14:paraId="15FC87C6">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470" w:type="dxa"/>
            <w:noWrap w:val="0"/>
            <w:vAlign w:val="center"/>
          </w:tcPr>
          <w:p w14:paraId="47B0C1A4">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w:t>
            </w:r>
          </w:p>
        </w:tc>
        <w:tc>
          <w:tcPr>
            <w:tcW w:w="1530" w:type="dxa"/>
            <w:noWrap w:val="0"/>
            <w:vAlign w:val="center"/>
          </w:tcPr>
          <w:p w14:paraId="0422D6A8">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color w:val="auto"/>
                <w:highlight w:val="none"/>
              </w:rPr>
              <w:t>0.</w:t>
            </w:r>
            <w:r>
              <w:rPr>
                <w:rFonts w:hint="default" w:ascii="Times New Roman" w:hAnsi="Times New Roman" w:cs="Times New Roman"/>
                <w:color w:val="auto"/>
                <w:highlight w:val="none"/>
                <w:lang w:val="en-US" w:eastAsia="zh-CN"/>
              </w:rPr>
              <w:t>418</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3CC2878D">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eastAsia="宋体" w:cs="Times New Roman"/>
                <w:snapToGrid w:val="0"/>
                <w:color w:val="auto"/>
                <w:spacing w:val="0"/>
                <w:kern w:val="21"/>
                <w:position w:val="0"/>
                <w:szCs w:val="21"/>
                <w:highlight w:val="none"/>
              </w:rPr>
              <w:t>/</w:t>
            </w:r>
          </w:p>
        </w:tc>
        <w:tc>
          <w:tcPr>
            <w:tcW w:w="1890" w:type="dxa"/>
            <w:noWrap w:val="0"/>
            <w:vAlign w:val="center"/>
          </w:tcPr>
          <w:p w14:paraId="756C6A1E">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color w:val="auto"/>
                <w:highlight w:val="none"/>
              </w:rPr>
              <w:t>0.</w:t>
            </w:r>
            <w:r>
              <w:rPr>
                <w:rFonts w:hint="default" w:ascii="Times New Roman" w:hAnsi="Times New Roman" w:cs="Times New Roman"/>
                <w:color w:val="auto"/>
                <w:highlight w:val="none"/>
                <w:lang w:val="en-US" w:eastAsia="zh-CN"/>
              </w:rPr>
              <w:t>418</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017BA683">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0.</w:t>
            </w:r>
            <w:r>
              <w:rPr>
                <w:rFonts w:hint="default" w:ascii="Times New Roman" w:hAnsi="Times New Roman" w:cs="Times New Roman"/>
                <w:color w:val="auto"/>
                <w:highlight w:val="none"/>
                <w:lang w:val="en-US" w:eastAsia="zh-CN"/>
              </w:rPr>
              <w:t>418</w:t>
            </w:r>
            <w:r>
              <w:rPr>
                <w:rFonts w:hint="default" w:ascii="Times New Roman" w:hAnsi="Times New Roman" w:eastAsia="宋体" w:cs="Times New Roman"/>
                <w:color w:val="auto"/>
                <w:spacing w:val="0"/>
                <w:kern w:val="0"/>
                <w:position w:val="0"/>
                <w:szCs w:val="21"/>
                <w:highlight w:val="none"/>
                <w:lang w:bidi="ar"/>
              </w:rPr>
              <w:t>t/a</w:t>
            </w:r>
          </w:p>
        </w:tc>
      </w:tr>
      <w:tr w14:paraId="3D9C74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89" w:type="dxa"/>
            <w:vMerge w:val="continue"/>
            <w:noWrap w:val="0"/>
            <w:vAlign w:val="center"/>
          </w:tcPr>
          <w:p w14:paraId="6EFC197A">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0"/>
                <w:kern w:val="21"/>
                <w:position w:val="0"/>
                <w:szCs w:val="21"/>
                <w:highlight w:val="none"/>
              </w:rPr>
            </w:pPr>
          </w:p>
        </w:tc>
        <w:tc>
          <w:tcPr>
            <w:tcW w:w="2295" w:type="dxa"/>
            <w:noWrap w:val="0"/>
            <w:vAlign w:val="center"/>
          </w:tcPr>
          <w:p w14:paraId="0C943AE2">
            <w:pPr>
              <w:pStyle w:val="9"/>
              <w:keepNext w:val="0"/>
              <w:keepLines w:val="0"/>
              <w:pageBreakBefore w:val="0"/>
              <w:kinsoku/>
              <w:wordWrap/>
              <w:overflowPunct/>
              <w:topLinePunct w:val="0"/>
              <w:bidi w:val="0"/>
              <w:adjustRightInd w:val="0"/>
              <w:snapToGrid w:val="0"/>
              <w:spacing w:beforeAutospacing="0" w:afterAutospacing="0"/>
              <w:ind w:left="0" w:leftChars="0" w:right="0" w:rightChars="0" w:firstLine="0" w:firstLineChars="0"/>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color w:val="auto"/>
                <w:highlight w:val="none"/>
                <w:lang w:val="en-US" w:eastAsia="zh-CN"/>
              </w:rPr>
              <w:t>废机油</w:t>
            </w:r>
          </w:p>
        </w:tc>
        <w:tc>
          <w:tcPr>
            <w:tcW w:w="1322" w:type="dxa"/>
            <w:noWrap w:val="0"/>
            <w:vAlign w:val="center"/>
          </w:tcPr>
          <w:p w14:paraId="5C795FAD">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067" w:type="dxa"/>
            <w:noWrap w:val="0"/>
            <w:vAlign w:val="center"/>
          </w:tcPr>
          <w:p w14:paraId="2C1B39E2">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470" w:type="dxa"/>
            <w:noWrap w:val="0"/>
            <w:vAlign w:val="center"/>
          </w:tcPr>
          <w:p w14:paraId="3C0ED64C">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530" w:type="dxa"/>
            <w:noWrap w:val="0"/>
            <w:vAlign w:val="center"/>
          </w:tcPr>
          <w:p w14:paraId="42943F98">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color w:val="auto"/>
                <w:highlight w:val="none"/>
                <w:lang w:val="en-US" w:eastAsia="zh-CN"/>
              </w:rPr>
              <w:t>0.1</w:t>
            </w:r>
            <w:r>
              <w:rPr>
                <w:rFonts w:hint="default" w:ascii="Times New Roman" w:hAnsi="Times New Roman" w:eastAsia="宋体" w:cs="Times New Roman"/>
                <w:color w:val="auto"/>
                <w:spacing w:val="0"/>
                <w:kern w:val="0"/>
                <w:position w:val="0"/>
                <w:szCs w:val="21"/>
                <w:highlight w:val="none"/>
                <w:lang w:bidi="ar"/>
              </w:rPr>
              <w:t>t/a</w:t>
            </w:r>
          </w:p>
        </w:tc>
        <w:tc>
          <w:tcPr>
            <w:tcW w:w="1560" w:type="dxa"/>
            <w:noWrap w:val="0"/>
            <w:vAlign w:val="center"/>
          </w:tcPr>
          <w:p w14:paraId="65CBC621">
            <w:pPr>
              <w:pStyle w:val="58"/>
              <w:keepNext w:val="0"/>
              <w:keepLines w:val="0"/>
              <w:pageBreakBefore w:val="0"/>
              <w:kinsoku/>
              <w:wordWrap/>
              <w:overflowPunct/>
              <w:topLinePunct w:val="0"/>
              <w:autoSpaceDE/>
              <w:autoSpaceDN/>
              <w:bidi w:val="0"/>
              <w:adjustRightInd w:val="0"/>
              <w:snapToGrid w:val="0"/>
              <w:spacing w:beforeLines="0" w:beforeAutospacing="0" w:afterLines="0" w:afterAutospacing="0" w:line="240" w:lineRule="auto"/>
              <w:ind w:left="0" w:leftChars="0" w:right="0" w:rightChars="0"/>
              <w:jc w:val="center"/>
              <w:rPr>
                <w:rFonts w:hint="default" w:ascii="Times New Roman" w:hAnsi="Times New Roman" w:eastAsia="宋体" w:cs="Times New Roman"/>
                <w:snapToGrid w:val="0"/>
                <w:color w:val="auto"/>
                <w:spacing w:val="0"/>
                <w:kern w:val="21"/>
                <w:position w:val="0"/>
                <w:szCs w:val="21"/>
                <w:highlight w:val="none"/>
                <w:lang w:val="en-US" w:eastAsia="zh-CN"/>
              </w:rPr>
            </w:pPr>
            <w:r>
              <w:rPr>
                <w:rFonts w:hint="default" w:ascii="Times New Roman" w:hAnsi="Times New Roman" w:cs="Times New Roman"/>
                <w:snapToGrid w:val="0"/>
                <w:color w:val="auto"/>
                <w:spacing w:val="0"/>
                <w:kern w:val="21"/>
                <w:position w:val="0"/>
                <w:szCs w:val="21"/>
                <w:highlight w:val="none"/>
                <w:lang w:val="en-US" w:eastAsia="zh-CN"/>
              </w:rPr>
              <w:t>/</w:t>
            </w:r>
          </w:p>
        </w:tc>
        <w:tc>
          <w:tcPr>
            <w:tcW w:w="1890" w:type="dxa"/>
            <w:noWrap w:val="0"/>
            <w:vAlign w:val="center"/>
          </w:tcPr>
          <w:p w14:paraId="5874BC75">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color w:val="auto"/>
                <w:highlight w:val="none"/>
                <w:lang w:val="en-US" w:eastAsia="zh-CN"/>
              </w:rPr>
              <w:t>0.1</w:t>
            </w:r>
            <w:r>
              <w:rPr>
                <w:rFonts w:hint="default" w:ascii="Times New Roman" w:hAnsi="Times New Roman" w:eastAsia="宋体" w:cs="Times New Roman"/>
                <w:color w:val="auto"/>
                <w:spacing w:val="0"/>
                <w:kern w:val="0"/>
                <w:position w:val="0"/>
                <w:szCs w:val="21"/>
                <w:highlight w:val="none"/>
                <w:lang w:bidi="ar"/>
              </w:rPr>
              <w:t>t/a</w:t>
            </w:r>
          </w:p>
        </w:tc>
        <w:tc>
          <w:tcPr>
            <w:tcW w:w="1565" w:type="dxa"/>
            <w:noWrap w:val="0"/>
            <w:vAlign w:val="center"/>
          </w:tcPr>
          <w:p w14:paraId="43E5E6B6">
            <w:pPr>
              <w:pStyle w:val="95"/>
              <w:keepNext w:val="0"/>
              <w:keepLines w:val="0"/>
              <w:pageBreakBefore w:val="0"/>
              <w:kinsoku/>
              <w:wordWrap/>
              <w:overflowPunct/>
              <w:topLinePunct w:val="0"/>
              <w:bidi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cs="Times New Roman"/>
                <w:color w:val="auto"/>
                <w:highlight w:val="none"/>
                <w:lang w:val="en-US" w:eastAsia="zh-CN"/>
              </w:rPr>
              <w:t>+0.1</w:t>
            </w:r>
            <w:r>
              <w:rPr>
                <w:rFonts w:hint="default" w:ascii="Times New Roman" w:hAnsi="Times New Roman" w:eastAsia="宋体" w:cs="Times New Roman"/>
                <w:color w:val="auto"/>
                <w:spacing w:val="0"/>
                <w:kern w:val="0"/>
                <w:position w:val="0"/>
                <w:szCs w:val="21"/>
                <w:highlight w:val="none"/>
                <w:lang w:bidi="ar"/>
              </w:rPr>
              <w:t>t/a</w:t>
            </w:r>
          </w:p>
        </w:tc>
      </w:tr>
    </w:tbl>
    <w:p w14:paraId="24EE9CE0">
      <w:pPr>
        <w:pStyle w:val="58"/>
        <w:keepNext w:val="0"/>
        <w:keepLines w:val="0"/>
        <w:pageBreakBefore w:val="0"/>
        <w:kinsoku/>
        <w:wordWrap/>
        <w:overflowPunct/>
        <w:topLinePunct w:val="0"/>
        <w:bidi w:val="0"/>
        <w:adjustRightInd w:val="0"/>
        <w:snapToGrid w:val="0"/>
        <w:spacing w:beforeLines="0" w:beforeAutospacing="0" w:afterLines="0" w:afterAutospacing="0"/>
        <w:ind w:left="0" w:leftChars="0" w:right="0" w:rightChars="0"/>
        <w:jc w:val="left"/>
        <w:rPr>
          <w:rFonts w:hint="default" w:ascii="Times New Roman" w:hAnsi="Times New Roman" w:eastAsia="宋体" w:cs="Times New Roman"/>
          <w:snapToGrid w:val="0"/>
          <w:color w:val="auto"/>
          <w:spacing w:val="0"/>
          <w:kern w:val="21"/>
          <w:position w:val="0"/>
          <w:szCs w:val="21"/>
          <w:highlight w:val="none"/>
        </w:rPr>
      </w:pPr>
      <w:r>
        <w:rPr>
          <w:rFonts w:hint="default" w:ascii="Times New Roman" w:hAnsi="Times New Roman" w:eastAsia="宋体" w:cs="Times New Roman"/>
          <w:snapToGrid w:val="0"/>
          <w:color w:val="auto"/>
          <w:spacing w:val="0"/>
          <w:kern w:val="21"/>
          <w:position w:val="0"/>
          <w:szCs w:val="21"/>
          <w:highlight w:val="none"/>
        </w:rPr>
        <w:t>注：</w:t>
      </w:r>
      <w:r>
        <w:rPr>
          <w:rFonts w:hint="default" w:ascii="Times New Roman" w:hAnsi="Times New Roman" w:eastAsia="宋体" w:cs="Times New Roman"/>
          <w:snapToGrid w:val="0"/>
          <w:color w:val="auto"/>
          <w:spacing w:val="0"/>
          <w:kern w:val="21"/>
          <w:position w:val="0"/>
          <w:szCs w:val="21"/>
          <w:highlight w:val="none"/>
        </w:rPr>
        <w:fldChar w:fldCharType="begin"/>
      </w:r>
      <w:r>
        <w:rPr>
          <w:rFonts w:hint="default" w:ascii="Times New Roman" w:hAnsi="Times New Roman" w:eastAsia="宋体" w:cs="Times New Roman"/>
          <w:snapToGrid w:val="0"/>
          <w:color w:val="auto"/>
          <w:spacing w:val="0"/>
          <w:kern w:val="21"/>
          <w:position w:val="0"/>
          <w:szCs w:val="21"/>
          <w:highlight w:val="none"/>
        </w:rPr>
        <w:instrText xml:space="preserve"> = 6 \* GB3 \* MERGEFORMAT </w:instrText>
      </w:r>
      <w:r>
        <w:rPr>
          <w:rFonts w:hint="default" w:ascii="Times New Roman" w:hAnsi="Times New Roman" w:eastAsia="宋体" w:cs="Times New Roman"/>
          <w:snapToGrid w:val="0"/>
          <w:color w:val="auto"/>
          <w:spacing w:val="0"/>
          <w:kern w:val="21"/>
          <w:position w:val="0"/>
          <w:szCs w:val="21"/>
          <w:highlight w:val="none"/>
        </w:rPr>
        <w:fldChar w:fldCharType="separate"/>
      </w:r>
      <w:r>
        <w:rPr>
          <w:rFonts w:hint="default" w:ascii="Times New Roman" w:hAnsi="Times New Roman" w:eastAsia="宋体" w:cs="Times New Roman"/>
          <w:color w:val="auto"/>
          <w:spacing w:val="0"/>
          <w:position w:val="0"/>
          <w:szCs w:val="21"/>
          <w:highlight w:val="none"/>
        </w:rPr>
        <w:t>⑥</w:t>
      </w:r>
      <w:r>
        <w:rPr>
          <w:rFonts w:hint="default" w:ascii="Times New Roman" w:hAnsi="Times New Roman" w:eastAsia="宋体" w:cs="Times New Roman"/>
          <w:snapToGrid w:val="0"/>
          <w:color w:val="auto"/>
          <w:spacing w:val="0"/>
          <w:kern w:val="21"/>
          <w:position w:val="0"/>
          <w:szCs w:val="21"/>
          <w:highlight w:val="none"/>
        </w:rPr>
        <w:fldChar w:fldCharType="end"/>
      </w:r>
      <w:r>
        <w:rPr>
          <w:rFonts w:hint="default" w:ascii="Times New Roman" w:hAnsi="Times New Roman" w:eastAsia="宋体" w:cs="Times New Roman"/>
          <w:snapToGrid w:val="0"/>
          <w:color w:val="auto"/>
          <w:spacing w:val="0"/>
          <w:kern w:val="21"/>
          <w:position w:val="0"/>
          <w:szCs w:val="21"/>
          <w:highlight w:val="none"/>
        </w:rPr>
        <w:t>=</w:t>
      </w:r>
      <w:r>
        <w:rPr>
          <w:rFonts w:hint="default" w:ascii="Times New Roman" w:hAnsi="Times New Roman" w:eastAsia="宋体" w:cs="Times New Roman"/>
          <w:snapToGrid w:val="0"/>
          <w:color w:val="auto"/>
          <w:spacing w:val="0"/>
          <w:kern w:val="21"/>
          <w:position w:val="0"/>
          <w:szCs w:val="21"/>
          <w:highlight w:val="none"/>
        </w:rPr>
        <w:fldChar w:fldCharType="begin"/>
      </w:r>
      <w:r>
        <w:rPr>
          <w:rFonts w:hint="default" w:ascii="Times New Roman" w:hAnsi="Times New Roman" w:eastAsia="宋体" w:cs="Times New Roman"/>
          <w:snapToGrid w:val="0"/>
          <w:color w:val="auto"/>
          <w:spacing w:val="0"/>
          <w:kern w:val="21"/>
          <w:position w:val="0"/>
          <w:szCs w:val="21"/>
          <w:highlight w:val="none"/>
        </w:rPr>
        <w:instrText xml:space="preserve"> = 1 \* GB3 \* MERGEFORMAT </w:instrText>
      </w:r>
      <w:r>
        <w:rPr>
          <w:rFonts w:hint="default" w:ascii="Times New Roman" w:hAnsi="Times New Roman" w:eastAsia="宋体" w:cs="Times New Roman"/>
          <w:snapToGrid w:val="0"/>
          <w:color w:val="auto"/>
          <w:spacing w:val="0"/>
          <w:kern w:val="21"/>
          <w:position w:val="0"/>
          <w:szCs w:val="21"/>
          <w:highlight w:val="none"/>
        </w:rPr>
        <w:fldChar w:fldCharType="separate"/>
      </w:r>
      <w:r>
        <w:rPr>
          <w:rFonts w:hint="default" w:ascii="Times New Roman" w:hAnsi="Times New Roman" w:eastAsia="宋体" w:cs="Times New Roman"/>
          <w:color w:val="auto"/>
          <w:spacing w:val="0"/>
          <w:position w:val="0"/>
          <w:szCs w:val="21"/>
          <w:highlight w:val="none"/>
        </w:rPr>
        <w:t>①</w:t>
      </w:r>
      <w:r>
        <w:rPr>
          <w:rFonts w:hint="default" w:ascii="Times New Roman" w:hAnsi="Times New Roman" w:eastAsia="宋体" w:cs="Times New Roman"/>
          <w:snapToGrid w:val="0"/>
          <w:color w:val="auto"/>
          <w:spacing w:val="0"/>
          <w:kern w:val="21"/>
          <w:position w:val="0"/>
          <w:szCs w:val="21"/>
          <w:highlight w:val="none"/>
        </w:rPr>
        <w:fldChar w:fldCharType="end"/>
      </w:r>
      <w:r>
        <w:rPr>
          <w:rFonts w:hint="default" w:ascii="Times New Roman" w:hAnsi="Times New Roman" w:eastAsia="宋体" w:cs="Times New Roman"/>
          <w:snapToGrid w:val="0"/>
          <w:color w:val="auto"/>
          <w:spacing w:val="0"/>
          <w:kern w:val="21"/>
          <w:position w:val="0"/>
          <w:szCs w:val="21"/>
          <w:highlight w:val="none"/>
        </w:rPr>
        <w:t>+</w:t>
      </w:r>
      <w:r>
        <w:rPr>
          <w:rFonts w:hint="default" w:ascii="Times New Roman" w:hAnsi="Times New Roman" w:eastAsia="宋体" w:cs="Times New Roman"/>
          <w:snapToGrid w:val="0"/>
          <w:color w:val="auto"/>
          <w:spacing w:val="0"/>
          <w:kern w:val="21"/>
          <w:position w:val="0"/>
          <w:szCs w:val="21"/>
          <w:highlight w:val="none"/>
        </w:rPr>
        <w:fldChar w:fldCharType="begin"/>
      </w:r>
      <w:r>
        <w:rPr>
          <w:rFonts w:hint="default" w:ascii="Times New Roman" w:hAnsi="Times New Roman" w:eastAsia="宋体" w:cs="Times New Roman"/>
          <w:snapToGrid w:val="0"/>
          <w:color w:val="auto"/>
          <w:spacing w:val="0"/>
          <w:kern w:val="21"/>
          <w:position w:val="0"/>
          <w:szCs w:val="21"/>
          <w:highlight w:val="none"/>
        </w:rPr>
        <w:instrText xml:space="preserve"> = 3 \* GB3 \* MERGEFORMAT </w:instrText>
      </w:r>
      <w:r>
        <w:rPr>
          <w:rFonts w:hint="default" w:ascii="Times New Roman" w:hAnsi="Times New Roman" w:eastAsia="宋体" w:cs="Times New Roman"/>
          <w:snapToGrid w:val="0"/>
          <w:color w:val="auto"/>
          <w:spacing w:val="0"/>
          <w:kern w:val="21"/>
          <w:position w:val="0"/>
          <w:szCs w:val="21"/>
          <w:highlight w:val="none"/>
        </w:rPr>
        <w:fldChar w:fldCharType="separate"/>
      </w:r>
      <w:r>
        <w:rPr>
          <w:rFonts w:hint="default" w:ascii="Times New Roman" w:hAnsi="Times New Roman" w:eastAsia="宋体" w:cs="Times New Roman"/>
          <w:color w:val="auto"/>
          <w:spacing w:val="0"/>
          <w:position w:val="0"/>
          <w:szCs w:val="21"/>
          <w:highlight w:val="none"/>
        </w:rPr>
        <w:t>③</w:t>
      </w:r>
      <w:r>
        <w:rPr>
          <w:rFonts w:hint="default" w:ascii="Times New Roman" w:hAnsi="Times New Roman" w:eastAsia="宋体" w:cs="Times New Roman"/>
          <w:snapToGrid w:val="0"/>
          <w:color w:val="auto"/>
          <w:spacing w:val="0"/>
          <w:kern w:val="21"/>
          <w:position w:val="0"/>
          <w:szCs w:val="21"/>
          <w:highlight w:val="none"/>
        </w:rPr>
        <w:fldChar w:fldCharType="end"/>
      </w:r>
      <w:r>
        <w:rPr>
          <w:rFonts w:hint="default" w:ascii="Times New Roman" w:hAnsi="Times New Roman" w:eastAsia="宋体" w:cs="Times New Roman"/>
          <w:snapToGrid w:val="0"/>
          <w:color w:val="auto"/>
          <w:spacing w:val="0"/>
          <w:kern w:val="21"/>
          <w:position w:val="0"/>
          <w:szCs w:val="21"/>
          <w:highlight w:val="none"/>
        </w:rPr>
        <w:t>+</w:t>
      </w:r>
      <w:r>
        <w:rPr>
          <w:rFonts w:hint="default" w:ascii="Times New Roman" w:hAnsi="Times New Roman" w:eastAsia="宋体" w:cs="Times New Roman"/>
          <w:snapToGrid w:val="0"/>
          <w:color w:val="auto"/>
          <w:spacing w:val="0"/>
          <w:kern w:val="21"/>
          <w:position w:val="0"/>
          <w:szCs w:val="21"/>
          <w:highlight w:val="none"/>
        </w:rPr>
        <w:fldChar w:fldCharType="begin"/>
      </w:r>
      <w:r>
        <w:rPr>
          <w:rFonts w:hint="default" w:ascii="Times New Roman" w:hAnsi="Times New Roman" w:eastAsia="宋体" w:cs="Times New Roman"/>
          <w:snapToGrid w:val="0"/>
          <w:color w:val="auto"/>
          <w:spacing w:val="0"/>
          <w:kern w:val="21"/>
          <w:position w:val="0"/>
          <w:szCs w:val="21"/>
          <w:highlight w:val="none"/>
        </w:rPr>
        <w:instrText xml:space="preserve"> = 4 \* GB3 \* MERGEFORMAT </w:instrText>
      </w:r>
      <w:r>
        <w:rPr>
          <w:rFonts w:hint="default" w:ascii="Times New Roman" w:hAnsi="Times New Roman" w:eastAsia="宋体" w:cs="Times New Roman"/>
          <w:snapToGrid w:val="0"/>
          <w:color w:val="auto"/>
          <w:spacing w:val="0"/>
          <w:kern w:val="21"/>
          <w:position w:val="0"/>
          <w:szCs w:val="21"/>
          <w:highlight w:val="none"/>
        </w:rPr>
        <w:fldChar w:fldCharType="separate"/>
      </w:r>
      <w:r>
        <w:rPr>
          <w:rFonts w:hint="default" w:ascii="Times New Roman" w:hAnsi="Times New Roman" w:eastAsia="宋体" w:cs="Times New Roman"/>
          <w:color w:val="auto"/>
          <w:spacing w:val="0"/>
          <w:position w:val="0"/>
          <w:szCs w:val="21"/>
          <w:highlight w:val="none"/>
        </w:rPr>
        <w:t>④</w:t>
      </w:r>
      <w:r>
        <w:rPr>
          <w:rFonts w:hint="default" w:ascii="Times New Roman" w:hAnsi="Times New Roman" w:eastAsia="宋体" w:cs="Times New Roman"/>
          <w:snapToGrid w:val="0"/>
          <w:color w:val="auto"/>
          <w:spacing w:val="0"/>
          <w:kern w:val="21"/>
          <w:position w:val="0"/>
          <w:szCs w:val="21"/>
          <w:highlight w:val="none"/>
        </w:rPr>
        <w:fldChar w:fldCharType="end"/>
      </w:r>
      <w:r>
        <w:rPr>
          <w:rFonts w:hint="default" w:ascii="Times New Roman" w:hAnsi="Times New Roman" w:eastAsia="宋体" w:cs="Times New Roman"/>
          <w:snapToGrid w:val="0"/>
          <w:color w:val="auto"/>
          <w:spacing w:val="0"/>
          <w:kern w:val="21"/>
          <w:position w:val="0"/>
          <w:szCs w:val="21"/>
          <w:highlight w:val="none"/>
        </w:rPr>
        <w:t>-</w:t>
      </w:r>
      <w:r>
        <w:rPr>
          <w:rFonts w:hint="default" w:ascii="Times New Roman" w:hAnsi="Times New Roman" w:eastAsia="宋体" w:cs="Times New Roman"/>
          <w:snapToGrid w:val="0"/>
          <w:color w:val="auto"/>
          <w:spacing w:val="0"/>
          <w:kern w:val="21"/>
          <w:position w:val="0"/>
          <w:szCs w:val="21"/>
          <w:highlight w:val="none"/>
        </w:rPr>
        <w:fldChar w:fldCharType="begin"/>
      </w:r>
      <w:r>
        <w:rPr>
          <w:rFonts w:hint="default" w:ascii="Times New Roman" w:hAnsi="Times New Roman" w:eastAsia="宋体" w:cs="Times New Roman"/>
          <w:snapToGrid w:val="0"/>
          <w:color w:val="auto"/>
          <w:spacing w:val="0"/>
          <w:kern w:val="21"/>
          <w:position w:val="0"/>
          <w:szCs w:val="21"/>
          <w:highlight w:val="none"/>
        </w:rPr>
        <w:instrText xml:space="preserve"> = 5 \* GB3 \* MERGEFORMAT </w:instrText>
      </w:r>
      <w:r>
        <w:rPr>
          <w:rFonts w:hint="default" w:ascii="Times New Roman" w:hAnsi="Times New Roman" w:eastAsia="宋体" w:cs="Times New Roman"/>
          <w:snapToGrid w:val="0"/>
          <w:color w:val="auto"/>
          <w:spacing w:val="0"/>
          <w:kern w:val="21"/>
          <w:position w:val="0"/>
          <w:szCs w:val="21"/>
          <w:highlight w:val="none"/>
        </w:rPr>
        <w:fldChar w:fldCharType="separate"/>
      </w:r>
      <w:r>
        <w:rPr>
          <w:rFonts w:hint="default" w:ascii="Times New Roman" w:hAnsi="Times New Roman" w:eastAsia="宋体" w:cs="Times New Roman"/>
          <w:color w:val="auto"/>
          <w:spacing w:val="0"/>
          <w:position w:val="0"/>
          <w:szCs w:val="21"/>
          <w:highlight w:val="none"/>
        </w:rPr>
        <w:t>⑤</w:t>
      </w:r>
      <w:r>
        <w:rPr>
          <w:rFonts w:hint="default" w:ascii="Times New Roman" w:hAnsi="Times New Roman" w:eastAsia="宋体" w:cs="Times New Roman"/>
          <w:snapToGrid w:val="0"/>
          <w:color w:val="auto"/>
          <w:spacing w:val="0"/>
          <w:kern w:val="21"/>
          <w:position w:val="0"/>
          <w:szCs w:val="21"/>
          <w:highlight w:val="none"/>
        </w:rPr>
        <w:fldChar w:fldCharType="end"/>
      </w:r>
      <w:r>
        <w:rPr>
          <w:rFonts w:hint="default" w:ascii="Times New Roman" w:hAnsi="Times New Roman" w:eastAsia="宋体" w:cs="Times New Roman"/>
          <w:snapToGrid w:val="0"/>
          <w:color w:val="auto"/>
          <w:spacing w:val="0"/>
          <w:kern w:val="21"/>
          <w:position w:val="0"/>
          <w:szCs w:val="21"/>
          <w:highlight w:val="none"/>
        </w:rPr>
        <w:t>；</w:t>
      </w:r>
      <w:r>
        <w:rPr>
          <w:rFonts w:hint="default" w:ascii="Times New Roman" w:hAnsi="Times New Roman" w:eastAsia="宋体" w:cs="Times New Roman"/>
          <w:snapToGrid w:val="0"/>
          <w:color w:val="auto"/>
          <w:spacing w:val="0"/>
          <w:kern w:val="21"/>
          <w:position w:val="0"/>
          <w:szCs w:val="21"/>
          <w:highlight w:val="none"/>
        </w:rPr>
        <w:fldChar w:fldCharType="begin"/>
      </w:r>
      <w:r>
        <w:rPr>
          <w:rFonts w:hint="default" w:ascii="Times New Roman" w:hAnsi="Times New Roman" w:eastAsia="宋体" w:cs="Times New Roman"/>
          <w:snapToGrid w:val="0"/>
          <w:color w:val="auto"/>
          <w:spacing w:val="0"/>
          <w:kern w:val="21"/>
          <w:position w:val="0"/>
          <w:szCs w:val="21"/>
          <w:highlight w:val="none"/>
        </w:rPr>
        <w:instrText xml:space="preserve"> = 7 \* GB3 \* MERGEFORMAT </w:instrText>
      </w:r>
      <w:r>
        <w:rPr>
          <w:rFonts w:hint="default" w:ascii="Times New Roman" w:hAnsi="Times New Roman" w:eastAsia="宋体" w:cs="Times New Roman"/>
          <w:snapToGrid w:val="0"/>
          <w:color w:val="auto"/>
          <w:spacing w:val="0"/>
          <w:kern w:val="21"/>
          <w:position w:val="0"/>
          <w:szCs w:val="21"/>
          <w:highlight w:val="none"/>
        </w:rPr>
        <w:fldChar w:fldCharType="separate"/>
      </w:r>
      <w:r>
        <w:rPr>
          <w:rFonts w:hint="default" w:ascii="Times New Roman" w:hAnsi="Times New Roman" w:eastAsia="宋体" w:cs="Times New Roman"/>
          <w:color w:val="auto"/>
          <w:spacing w:val="0"/>
          <w:position w:val="0"/>
          <w:szCs w:val="21"/>
          <w:highlight w:val="none"/>
        </w:rPr>
        <w:t>⑦</w:t>
      </w:r>
      <w:r>
        <w:rPr>
          <w:rFonts w:hint="default" w:ascii="Times New Roman" w:hAnsi="Times New Roman" w:eastAsia="宋体" w:cs="Times New Roman"/>
          <w:snapToGrid w:val="0"/>
          <w:color w:val="auto"/>
          <w:spacing w:val="0"/>
          <w:kern w:val="21"/>
          <w:position w:val="0"/>
          <w:szCs w:val="21"/>
          <w:highlight w:val="none"/>
        </w:rPr>
        <w:fldChar w:fldCharType="end"/>
      </w:r>
      <w:r>
        <w:rPr>
          <w:rFonts w:hint="default" w:ascii="Times New Roman" w:hAnsi="Times New Roman" w:eastAsia="宋体" w:cs="Times New Roman"/>
          <w:snapToGrid w:val="0"/>
          <w:color w:val="auto"/>
          <w:spacing w:val="0"/>
          <w:kern w:val="21"/>
          <w:position w:val="0"/>
          <w:szCs w:val="21"/>
          <w:highlight w:val="none"/>
        </w:rPr>
        <w:t>=</w:t>
      </w:r>
      <w:r>
        <w:rPr>
          <w:rFonts w:hint="default" w:ascii="Times New Roman" w:hAnsi="Times New Roman" w:eastAsia="宋体" w:cs="Times New Roman"/>
          <w:snapToGrid w:val="0"/>
          <w:color w:val="auto"/>
          <w:spacing w:val="0"/>
          <w:kern w:val="21"/>
          <w:position w:val="0"/>
          <w:szCs w:val="21"/>
          <w:highlight w:val="none"/>
        </w:rPr>
        <w:fldChar w:fldCharType="begin"/>
      </w:r>
      <w:r>
        <w:rPr>
          <w:rFonts w:hint="default" w:ascii="Times New Roman" w:hAnsi="Times New Roman" w:eastAsia="宋体" w:cs="Times New Roman"/>
          <w:snapToGrid w:val="0"/>
          <w:color w:val="auto"/>
          <w:spacing w:val="0"/>
          <w:kern w:val="21"/>
          <w:position w:val="0"/>
          <w:szCs w:val="21"/>
          <w:highlight w:val="none"/>
        </w:rPr>
        <w:instrText xml:space="preserve"> = 6 \* GB3 \* MERGEFORMAT </w:instrText>
      </w:r>
      <w:r>
        <w:rPr>
          <w:rFonts w:hint="default" w:ascii="Times New Roman" w:hAnsi="Times New Roman" w:eastAsia="宋体" w:cs="Times New Roman"/>
          <w:snapToGrid w:val="0"/>
          <w:color w:val="auto"/>
          <w:spacing w:val="0"/>
          <w:kern w:val="21"/>
          <w:position w:val="0"/>
          <w:szCs w:val="21"/>
          <w:highlight w:val="none"/>
        </w:rPr>
        <w:fldChar w:fldCharType="separate"/>
      </w:r>
      <w:r>
        <w:rPr>
          <w:rFonts w:hint="default" w:ascii="Times New Roman" w:hAnsi="Times New Roman" w:eastAsia="宋体" w:cs="Times New Roman"/>
          <w:color w:val="auto"/>
          <w:spacing w:val="0"/>
          <w:position w:val="0"/>
          <w:szCs w:val="21"/>
          <w:highlight w:val="none"/>
        </w:rPr>
        <w:t>⑥</w:t>
      </w:r>
      <w:r>
        <w:rPr>
          <w:rFonts w:hint="default" w:ascii="Times New Roman" w:hAnsi="Times New Roman" w:eastAsia="宋体" w:cs="Times New Roman"/>
          <w:snapToGrid w:val="0"/>
          <w:color w:val="auto"/>
          <w:spacing w:val="0"/>
          <w:kern w:val="21"/>
          <w:position w:val="0"/>
          <w:szCs w:val="21"/>
          <w:highlight w:val="none"/>
        </w:rPr>
        <w:fldChar w:fldCharType="end"/>
      </w:r>
      <w:r>
        <w:rPr>
          <w:rFonts w:hint="default" w:ascii="Times New Roman" w:hAnsi="Times New Roman" w:eastAsia="宋体" w:cs="Times New Roman"/>
          <w:snapToGrid w:val="0"/>
          <w:color w:val="auto"/>
          <w:spacing w:val="0"/>
          <w:kern w:val="21"/>
          <w:position w:val="0"/>
          <w:szCs w:val="21"/>
          <w:highlight w:val="none"/>
        </w:rPr>
        <w:t>-</w:t>
      </w:r>
      <w:r>
        <w:rPr>
          <w:rFonts w:hint="default" w:ascii="Times New Roman" w:hAnsi="Times New Roman" w:eastAsia="宋体" w:cs="Times New Roman"/>
          <w:snapToGrid w:val="0"/>
          <w:color w:val="auto"/>
          <w:spacing w:val="0"/>
          <w:kern w:val="21"/>
          <w:position w:val="0"/>
          <w:szCs w:val="21"/>
          <w:highlight w:val="none"/>
        </w:rPr>
        <w:fldChar w:fldCharType="begin"/>
      </w:r>
      <w:r>
        <w:rPr>
          <w:rFonts w:hint="default" w:ascii="Times New Roman" w:hAnsi="Times New Roman" w:eastAsia="宋体" w:cs="Times New Roman"/>
          <w:snapToGrid w:val="0"/>
          <w:color w:val="auto"/>
          <w:spacing w:val="0"/>
          <w:kern w:val="21"/>
          <w:position w:val="0"/>
          <w:szCs w:val="21"/>
          <w:highlight w:val="none"/>
        </w:rPr>
        <w:instrText xml:space="preserve"> = 1 \* GB3 \* MERGEFORMAT </w:instrText>
      </w:r>
      <w:r>
        <w:rPr>
          <w:rFonts w:hint="default" w:ascii="Times New Roman" w:hAnsi="Times New Roman" w:eastAsia="宋体" w:cs="Times New Roman"/>
          <w:snapToGrid w:val="0"/>
          <w:color w:val="auto"/>
          <w:spacing w:val="0"/>
          <w:kern w:val="21"/>
          <w:position w:val="0"/>
          <w:szCs w:val="21"/>
          <w:highlight w:val="none"/>
        </w:rPr>
        <w:fldChar w:fldCharType="separate"/>
      </w:r>
      <w:r>
        <w:rPr>
          <w:rFonts w:hint="default" w:ascii="Times New Roman" w:hAnsi="Times New Roman" w:eastAsia="宋体" w:cs="Times New Roman"/>
          <w:color w:val="auto"/>
          <w:spacing w:val="0"/>
          <w:position w:val="0"/>
          <w:szCs w:val="21"/>
          <w:highlight w:val="none"/>
        </w:rPr>
        <w:t>①</w:t>
      </w:r>
      <w:r>
        <w:rPr>
          <w:rFonts w:hint="default" w:ascii="Times New Roman" w:hAnsi="Times New Roman" w:eastAsia="宋体" w:cs="Times New Roman"/>
          <w:snapToGrid w:val="0"/>
          <w:color w:val="auto"/>
          <w:spacing w:val="0"/>
          <w:kern w:val="21"/>
          <w:position w:val="0"/>
          <w:szCs w:val="21"/>
          <w:highlight w:val="none"/>
        </w:rPr>
        <w:fldChar w:fldCharType="end"/>
      </w:r>
    </w:p>
    <w:p w14:paraId="47998DC5">
      <w:pPr>
        <w:pStyle w:val="26"/>
        <w:keepNext w:val="0"/>
        <w:keepLines w:val="0"/>
        <w:pageBreakBefore w:val="0"/>
        <w:kinsoku/>
        <w:wordWrap/>
        <w:overflowPunct/>
        <w:topLinePunct w:val="0"/>
        <w:bidi w:val="0"/>
        <w:adjustRightInd w:val="0"/>
        <w:snapToGrid w:val="0"/>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pacing w:val="0"/>
          <w:position w:val="0"/>
          <w:highlight w:val="none"/>
        </w:rPr>
        <w:sectPr>
          <w:footerReference r:id="rId8" w:type="first"/>
          <w:footerReference r:id="rId7" w:type="default"/>
          <w:pgSz w:w="16781" w:h="11849" w:orient="landscape"/>
          <w:pgMar w:top="1247" w:right="1701" w:bottom="1247" w:left="1701" w:header="851" w:footer="992" w:gutter="0"/>
          <w:pgBorders>
            <w:top w:val="none" w:sz="0" w:space="0"/>
            <w:left w:val="none" w:sz="0" w:space="0"/>
            <w:bottom w:val="none" w:sz="0" w:space="0"/>
            <w:right w:val="none" w:sz="0" w:space="0"/>
          </w:pgBorders>
          <w:pgNumType w:fmt="numberInDash"/>
          <w:cols w:space="0" w:num="1"/>
          <w:titlePg/>
          <w:rtlGutter w:val="0"/>
          <w:docGrid w:type="lines" w:linePitch="315" w:charSpace="0"/>
        </w:sectPr>
      </w:pPr>
    </w:p>
    <w:p w14:paraId="25881BCE">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jc w:val="both"/>
        <w:textAlignment w:val="auto"/>
        <w:outlineLvl w:val="0"/>
        <w:rPr>
          <w:rFonts w:hint="default" w:ascii="Times New Roman" w:hAnsi="Times New Roman" w:eastAsia="宋体" w:cs="Times New Roman"/>
          <w:b/>
          <w:bCs/>
          <w:snapToGrid w:val="0"/>
          <w:color w:val="auto"/>
          <w:spacing w:val="0"/>
          <w:position w:val="0"/>
          <w:sz w:val="21"/>
          <w:szCs w:val="21"/>
          <w:highlight w:val="none"/>
        </w:rPr>
      </w:pPr>
      <w:bookmarkStart w:id="28" w:name="_Toc19386"/>
      <w:r>
        <w:rPr>
          <w:rFonts w:hint="default" w:ascii="Times New Roman" w:hAnsi="Times New Roman" w:eastAsia="宋体" w:cs="Times New Roman"/>
          <w:b/>
          <w:bCs/>
          <w:snapToGrid w:val="0"/>
          <w:color w:val="auto"/>
          <w:spacing w:val="0"/>
          <w:position w:val="0"/>
          <w:sz w:val="24"/>
          <w:szCs w:val="24"/>
          <w:highlight w:val="none"/>
        </w:rPr>
        <w:t>附图1</w:t>
      </w:r>
      <w:r>
        <w:rPr>
          <w:rFonts w:hint="default" w:ascii="Times New Roman" w:hAnsi="Times New Roman" w:cs="Times New Roman"/>
          <w:b/>
          <w:bCs/>
          <w:snapToGrid w:val="0"/>
          <w:color w:val="auto"/>
          <w:spacing w:val="0"/>
          <w:position w:val="0"/>
          <w:sz w:val="24"/>
          <w:szCs w:val="24"/>
          <w:highlight w:val="none"/>
          <w:lang w:val="en-US" w:eastAsia="zh-CN"/>
        </w:rPr>
        <w:t xml:space="preserve"> </w:t>
      </w:r>
      <w:r>
        <w:rPr>
          <w:rFonts w:hint="default" w:ascii="Times New Roman" w:hAnsi="Times New Roman" w:eastAsia="宋体" w:cs="Times New Roman"/>
          <w:b/>
          <w:bCs/>
          <w:snapToGrid w:val="0"/>
          <w:color w:val="auto"/>
          <w:spacing w:val="0"/>
          <w:position w:val="0"/>
          <w:sz w:val="24"/>
          <w:szCs w:val="24"/>
          <w:highlight w:val="none"/>
        </w:rPr>
        <w:t>地理位置图</w:t>
      </w:r>
      <w:bookmarkEnd w:id="28"/>
    </w:p>
    <w:p w14:paraId="4FE469C1">
      <w:pPr>
        <w:pStyle w:val="23"/>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rightChars="0"/>
        <w:jc w:val="center"/>
        <w:outlineLvl w:val="9"/>
        <w:rPr>
          <w:rFonts w:hint="default" w:ascii="Times New Roman" w:hAnsi="Times New Roman" w:eastAsia="宋体" w:cs="Times New Roman"/>
          <w:b/>
          <w:bCs/>
          <w:snapToGrid w:val="0"/>
          <w:color w:val="auto"/>
          <w:spacing w:val="0"/>
          <w:position w:val="0"/>
          <w:sz w:val="21"/>
          <w:szCs w:val="21"/>
          <w:highlight w:val="none"/>
        </w:rPr>
        <w:sectPr>
          <w:pgSz w:w="16781" w:h="11849" w:orient="landscape"/>
          <w:pgMar w:top="1531" w:right="1701" w:bottom="1531" w:left="1701" w:header="851" w:footer="992" w:gutter="0"/>
          <w:pgBorders>
            <w:top w:val="none" w:sz="0" w:space="0"/>
            <w:left w:val="none" w:sz="0" w:space="0"/>
            <w:bottom w:val="none" w:sz="0" w:space="0"/>
            <w:right w:val="none" w:sz="0" w:space="0"/>
          </w:pgBorders>
          <w:pgNumType w:fmt="numberInDash"/>
          <w:cols w:space="0" w:num="1"/>
          <w:titlePg/>
          <w:rtlGutter w:val="0"/>
          <w:docGrid w:type="lines" w:linePitch="315" w:charSpace="0"/>
        </w:sectPr>
      </w:pPr>
      <w:bookmarkStart w:id="29" w:name="_Toc105"/>
      <w:bookmarkStart w:id="30" w:name="_Toc12402"/>
      <w:r>
        <w:rPr>
          <w:rFonts w:hint="default" w:ascii="Times New Roman" w:hAnsi="Times New Roman" w:cs="Times New Roman"/>
          <w:color w:val="auto"/>
          <w:sz w:val="24"/>
          <w:highlight w:val="none"/>
        </w:rPr>
        <mc:AlternateContent>
          <mc:Choice Requires="wps">
            <w:drawing>
              <wp:anchor distT="0" distB="0" distL="114300" distR="114300" simplePos="0" relativeHeight="251665408" behindDoc="0" locked="0" layoutInCell="1" allowOverlap="1">
                <wp:simplePos x="0" y="0"/>
                <wp:positionH relativeFrom="column">
                  <wp:posOffset>7353300</wp:posOffset>
                </wp:positionH>
                <wp:positionV relativeFrom="paragraph">
                  <wp:posOffset>5145405</wp:posOffset>
                </wp:positionV>
                <wp:extent cx="107950" cy="107950"/>
                <wp:effectExtent l="12700" t="12700" r="12700" b="12700"/>
                <wp:wrapNone/>
                <wp:docPr id="73" name="五角星 73"/>
                <wp:cNvGraphicFramePr/>
                <a:graphic xmlns:a="http://schemas.openxmlformats.org/drawingml/2006/main">
                  <a:graphicData uri="http://schemas.microsoft.com/office/word/2010/wordprocessingShape">
                    <wps:wsp>
                      <wps:cNvSpPr/>
                      <wps:spPr>
                        <a:xfrm>
                          <a:off x="0" y="0"/>
                          <a:ext cx="107950" cy="10795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79pt;margin-top:405.15pt;height:8.5pt;width:8.5pt;z-index:251665408;v-text-anchor:middle;mso-width-relative:page;mso-height-relative:page;" fillcolor="#FF0000" filled="t" stroked="t" coordsize="107950,107950" o:gfxdata="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IN6TfjbAAAADQEAAA8AAAAAAAAAAQAgAAAAIgAAAGRycy9kb3ducmV2LnhtbFBL&#10;AQIUABQAAAAIAIdO4kBpuOYMZQIAAOIEAAAOAAAAAAAAAAEAIAAAACoBAABkcnMvZTJvRG9jLnht&#10;bFBLBQYAAAAABgAGAFkBAAABBgAAAAA=&#10;" path="m0,41233l41233,41233,53975,0,66716,41233,107949,41233,74591,66716,87333,107949,53975,82465,20616,107949,33358,66716xe">
                <v:path o:connectlocs="53975,0;0,41233;20616,107949;87333,107949;107949,41233" o:connectangles="247,164,82,82,0"/>
                <v:fill on="t" focussize="0,0"/>
                <v:stroke weight="2pt" color="#FF0000 [2404]"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4384" behindDoc="0" locked="0" layoutInCell="1" allowOverlap="1">
                <wp:simplePos x="0" y="0"/>
                <wp:positionH relativeFrom="column">
                  <wp:posOffset>7249160</wp:posOffset>
                </wp:positionH>
                <wp:positionV relativeFrom="paragraph">
                  <wp:posOffset>4659630</wp:posOffset>
                </wp:positionV>
                <wp:extent cx="1075690" cy="685165"/>
                <wp:effectExtent l="4445" t="5080" r="5715" b="14605"/>
                <wp:wrapNone/>
                <wp:docPr id="72" name="文本框 72"/>
                <wp:cNvGraphicFramePr/>
                <a:graphic xmlns:a="http://schemas.openxmlformats.org/drawingml/2006/main">
                  <a:graphicData uri="http://schemas.microsoft.com/office/word/2010/wordprocessingShape">
                    <wps:wsp>
                      <wps:cNvSpPr txBox="1"/>
                      <wps:spPr>
                        <a:xfrm>
                          <a:off x="7366635" y="5400675"/>
                          <a:ext cx="1075690" cy="6851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48BB928">
                            <w:pPr>
                              <w:jc w:val="center"/>
                              <w:rPr>
                                <w:rFonts w:hint="eastAsia" w:eastAsia="宋体"/>
                                <w:lang w:val="en-US" w:eastAsia="zh-CN"/>
                              </w:rPr>
                            </w:pPr>
                            <w:r>
                              <w:rPr>
                                <w:rFonts w:hint="eastAsia"/>
                                <w:lang w:val="en-US" w:eastAsia="zh-CN"/>
                              </w:rPr>
                              <w:t>图  例</w:t>
                            </w:r>
                          </w:p>
                          <w:p w14:paraId="44F90199"/>
                          <w:p w14:paraId="40167D65">
                            <w:pPr>
                              <w:jc w:val="right"/>
                              <w:rPr>
                                <w:rFonts w:hint="default"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0.8pt;margin-top:366.9pt;height:53.95pt;width:84.7pt;z-index:251664384;mso-width-relative:page;mso-height-relative:page;" fillcolor="#FFFFFF [3201]" filled="t" stroked="t" coordsize="21600,21600" o:gfxdata="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3AnTitgAAAANAQAADwAAAAAAAAABACAAAAAiAAAAZHJzL2Rvd25yZXYueG1sUEsB&#10;AhQAFAAAAAgAh07iQC5kpLVnAgAAxQQAAA4AAAAAAAAAAQAgAAAAJwEAAGRycy9lMm9Eb2MueG1s&#10;UEsFBgAAAAAGAAYAWQEAAAAGAAAAAA==&#10;">
                <v:fill on="t" focussize="0,0"/>
                <v:stroke weight="0.5pt" color="#000000 [3204]" joinstyle="round"/>
                <v:imagedata o:title=""/>
                <o:lock v:ext="edit" aspectratio="f"/>
                <v:textbox>
                  <w:txbxContent>
                    <w:p w14:paraId="448BB928">
                      <w:pPr>
                        <w:jc w:val="center"/>
                        <w:rPr>
                          <w:rFonts w:hint="eastAsia" w:eastAsia="宋体"/>
                          <w:lang w:val="en-US" w:eastAsia="zh-CN"/>
                        </w:rPr>
                      </w:pPr>
                      <w:r>
                        <w:rPr>
                          <w:rFonts w:hint="eastAsia"/>
                          <w:lang w:val="en-US" w:eastAsia="zh-CN"/>
                        </w:rPr>
                        <w:t>图  例</w:t>
                      </w:r>
                    </w:p>
                    <w:p w14:paraId="44F90199"/>
                    <w:p w14:paraId="40167D65">
                      <w:pPr>
                        <w:jc w:val="right"/>
                        <w:rPr>
                          <w:rFonts w:hint="default" w:eastAsia="宋体"/>
                          <w:lang w:val="en-US" w:eastAsia="zh-CN"/>
                        </w:rPr>
                      </w:pPr>
                      <w:r>
                        <w:rPr>
                          <w:rFonts w:hint="eastAsia"/>
                          <w:lang w:val="en-US" w:eastAsia="zh-CN"/>
                        </w:rPr>
                        <w:t>本项目位置</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3360" behindDoc="0" locked="0" layoutInCell="1" allowOverlap="1">
                <wp:simplePos x="0" y="0"/>
                <wp:positionH relativeFrom="column">
                  <wp:posOffset>3095625</wp:posOffset>
                </wp:positionH>
                <wp:positionV relativeFrom="paragraph">
                  <wp:posOffset>2421255</wp:posOffset>
                </wp:positionV>
                <wp:extent cx="107950" cy="107950"/>
                <wp:effectExtent l="12700" t="12700" r="12700" b="12700"/>
                <wp:wrapNone/>
                <wp:docPr id="70" name="五角星 70"/>
                <wp:cNvGraphicFramePr/>
                <a:graphic xmlns:a="http://schemas.openxmlformats.org/drawingml/2006/main">
                  <a:graphicData uri="http://schemas.microsoft.com/office/word/2010/wordprocessingShape">
                    <wps:wsp>
                      <wps:cNvSpPr/>
                      <wps:spPr>
                        <a:xfrm>
                          <a:off x="4585335" y="3581400"/>
                          <a:ext cx="107950" cy="10795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43.75pt;margin-top:190.65pt;height:8.5pt;width:8.5pt;z-index:251663360;v-text-anchor:middle;mso-width-relative:page;mso-height-relative:page;" fillcolor="#FF0000" filled="t" stroked="t" coordsize="107950,107950" o:gfxdata="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Fk732/bAAAACwEAAA8AAAAAAAAAAQAgAAAAIgAAAGRycy9k&#10;b3ducmV2LnhtbFBLAQIUABQAAAAIAIdO4kC1UH5AcQIAAO4EAAAOAAAAAAAAAAEAIAAAACoBAABk&#10;cnMvZTJvRG9jLnhtbFBLBQYAAAAABgAGAFkBAAANBgAAAAA=&#10;" path="m0,41233l41233,41233,53975,0,66716,41233,107949,41233,74591,66716,87333,107949,53975,82465,20616,107949,33358,66716xe">
                <v:path o:connectlocs="53975,0;0,41233;20616,107949;87333,107949;107949,41233" o:connectangles="247,164,82,82,0"/>
                <v:fill on="t" focussize="0,0"/>
                <v:stroke weight="2pt" color="#FF0000 [2404]" joinstyle="round"/>
                <v:imagedata o:title=""/>
                <o:lock v:ext="edit" aspectratio="f"/>
              </v:shape>
            </w:pict>
          </mc:Fallback>
        </mc:AlternateContent>
      </w:r>
      <w:r>
        <w:rPr>
          <w:rFonts w:hint="default" w:ascii="Times New Roman" w:hAnsi="Times New Roman" w:eastAsia="宋体" w:cs="Times New Roman"/>
          <w:color w:val="auto"/>
          <w:spacing w:val="0"/>
          <w:position w:val="0"/>
          <w:highlight w:val="none"/>
        </w:rPr>
        <w:drawing>
          <wp:anchor distT="0" distB="0" distL="114300" distR="114300" simplePos="0" relativeHeight="251661312" behindDoc="0" locked="0" layoutInCell="1" allowOverlap="1">
            <wp:simplePos x="0" y="0"/>
            <wp:positionH relativeFrom="column">
              <wp:posOffset>7615555</wp:posOffset>
            </wp:positionH>
            <wp:positionV relativeFrom="paragraph">
              <wp:posOffset>10795</wp:posOffset>
            </wp:positionV>
            <wp:extent cx="716915" cy="763270"/>
            <wp:effectExtent l="0" t="0" r="6985" b="17780"/>
            <wp:wrapNone/>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43"/>
                    <a:stretch>
                      <a:fillRect/>
                    </a:stretch>
                  </pic:blipFill>
                  <pic:spPr>
                    <a:xfrm>
                      <a:off x="0" y="0"/>
                      <a:ext cx="716915" cy="763270"/>
                    </a:xfrm>
                    <a:prstGeom prst="rect">
                      <a:avLst/>
                    </a:prstGeom>
                    <a:noFill/>
                    <a:ln>
                      <a:noFill/>
                    </a:ln>
                  </pic:spPr>
                </pic:pic>
              </a:graphicData>
            </a:graphic>
          </wp:anchor>
        </w:drawing>
      </w:r>
      <w:r>
        <w:rPr>
          <w:rFonts w:hint="default" w:ascii="Times New Roman" w:hAnsi="Times New Roman" w:cs="Times New Roman"/>
          <w:color w:val="auto"/>
          <w:highlight w:val="none"/>
        </w:rPr>
        <w:drawing>
          <wp:inline distT="0" distB="0" distL="114300" distR="114300">
            <wp:extent cx="8204200" cy="5361305"/>
            <wp:effectExtent l="0" t="0" r="6350" b="10795"/>
            <wp:docPr id="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3"/>
                    <pic:cNvPicPr>
                      <a:picLocks noChangeAspect="1"/>
                    </pic:cNvPicPr>
                  </pic:nvPicPr>
                  <pic:blipFill>
                    <a:blip r:embed="rId44"/>
                    <a:stretch>
                      <a:fillRect/>
                    </a:stretch>
                  </pic:blipFill>
                  <pic:spPr>
                    <a:xfrm>
                      <a:off x="0" y="0"/>
                      <a:ext cx="8204200" cy="5361305"/>
                    </a:xfrm>
                    <a:prstGeom prst="rect">
                      <a:avLst/>
                    </a:prstGeom>
                    <a:noFill/>
                    <a:ln>
                      <a:noFill/>
                    </a:ln>
                  </pic:spPr>
                </pic:pic>
              </a:graphicData>
            </a:graphic>
          </wp:inline>
        </w:drawing>
      </w:r>
      <w:bookmarkEnd w:id="29"/>
      <w:bookmarkEnd w:id="30"/>
    </w:p>
    <w:p w14:paraId="72A00AD8">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jc w:val="both"/>
        <w:textAlignment w:val="auto"/>
        <w:outlineLvl w:val="0"/>
        <w:rPr>
          <w:rFonts w:hint="default" w:ascii="Times New Roman" w:hAnsi="Times New Roman" w:eastAsia="宋体" w:cs="Times New Roman"/>
          <w:b/>
          <w:bCs/>
          <w:snapToGrid w:val="0"/>
          <w:color w:val="auto"/>
          <w:spacing w:val="0"/>
          <w:position w:val="0"/>
          <w:sz w:val="24"/>
          <w:szCs w:val="24"/>
          <w:highlight w:val="none"/>
        </w:rPr>
      </w:pPr>
      <w:bookmarkStart w:id="31" w:name="_Toc30981"/>
      <w:r>
        <w:rPr>
          <w:rFonts w:hint="default" w:ascii="Times New Roman" w:hAnsi="Times New Roman" w:eastAsia="宋体" w:cs="Times New Roman"/>
          <w:b/>
          <w:bCs/>
          <w:snapToGrid w:val="0"/>
          <w:color w:val="auto"/>
          <w:spacing w:val="0"/>
          <w:position w:val="0"/>
          <w:sz w:val="24"/>
          <w:szCs w:val="24"/>
          <w:highlight w:val="none"/>
        </w:rPr>
        <w:t>附图</w:t>
      </w:r>
      <w:r>
        <w:rPr>
          <w:rFonts w:hint="default" w:ascii="Times New Roman" w:hAnsi="Times New Roman" w:cs="Times New Roman"/>
          <w:b/>
          <w:bCs/>
          <w:snapToGrid w:val="0"/>
          <w:color w:val="auto"/>
          <w:spacing w:val="0"/>
          <w:position w:val="0"/>
          <w:sz w:val="24"/>
          <w:szCs w:val="24"/>
          <w:highlight w:val="none"/>
          <w:lang w:val="en-US" w:eastAsia="zh-CN"/>
        </w:rPr>
        <w:t>2</w:t>
      </w:r>
      <w:r>
        <w:rPr>
          <w:rFonts w:hint="default" w:ascii="Times New Roman" w:hAnsi="Times New Roman" w:eastAsia="宋体" w:cs="Times New Roman"/>
          <w:b/>
          <w:bCs/>
          <w:snapToGrid w:val="0"/>
          <w:color w:val="auto"/>
          <w:spacing w:val="0"/>
          <w:position w:val="0"/>
          <w:sz w:val="24"/>
          <w:szCs w:val="24"/>
          <w:highlight w:val="none"/>
          <w:lang w:val="en-US" w:eastAsia="zh-CN"/>
        </w:rPr>
        <w:t xml:space="preserve"> </w:t>
      </w:r>
      <w:r>
        <w:rPr>
          <w:rFonts w:hint="default" w:ascii="Times New Roman" w:hAnsi="Times New Roman" w:eastAsia="宋体" w:cs="Times New Roman"/>
          <w:b/>
          <w:bCs/>
          <w:snapToGrid w:val="0"/>
          <w:color w:val="auto"/>
          <w:spacing w:val="0"/>
          <w:position w:val="0"/>
          <w:sz w:val="24"/>
          <w:szCs w:val="24"/>
          <w:highlight w:val="none"/>
        </w:rPr>
        <w:t>平面布置图</w:t>
      </w:r>
      <w:bookmarkEnd w:id="31"/>
    </w:p>
    <w:p w14:paraId="76A38DEE">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bCs/>
          <w:snapToGrid w:val="0"/>
          <w:color w:val="auto"/>
          <w:spacing w:val="0"/>
          <w:position w:val="0"/>
          <w:sz w:val="24"/>
          <w:szCs w:val="24"/>
          <w:highlight w:val="none"/>
          <w:lang w:eastAsia="zh-CN"/>
        </w:rPr>
      </w:pPr>
      <w:r>
        <w:rPr>
          <w:rFonts w:hint="default" w:ascii="Times New Roman" w:hAnsi="Times New Roman" w:eastAsia="宋体" w:cs="Times New Roman"/>
          <w:b/>
          <w:bCs/>
          <w:snapToGrid w:val="0"/>
          <w:color w:val="auto"/>
          <w:spacing w:val="0"/>
          <w:position w:val="0"/>
          <w:sz w:val="24"/>
          <w:szCs w:val="24"/>
          <w:highlight w:val="none"/>
          <w:lang w:eastAsia="zh-CN"/>
        </w:rPr>
        <w:drawing>
          <wp:inline distT="0" distB="0" distL="114300" distR="114300">
            <wp:extent cx="7799705" cy="5137785"/>
            <wp:effectExtent l="0" t="0" r="10795" b="5715"/>
            <wp:docPr id="74" name="图片 74" descr="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平面布置图"/>
                    <pic:cNvPicPr>
                      <a:picLocks noChangeAspect="1"/>
                    </pic:cNvPicPr>
                  </pic:nvPicPr>
                  <pic:blipFill>
                    <a:blip r:embed="rId45"/>
                    <a:stretch>
                      <a:fillRect/>
                    </a:stretch>
                  </pic:blipFill>
                  <pic:spPr>
                    <a:xfrm>
                      <a:off x="0" y="0"/>
                      <a:ext cx="7799705" cy="5137785"/>
                    </a:xfrm>
                    <a:prstGeom prst="rect">
                      <a:avLst/>
                    </a:prstGeom>
                  </pic:spPr>
                </pic:pic>
              </a:graphicData>
            </a:graphic>
          </wp:inline>
        </w:drawing>
      </w:r>
    </w:p>
    <w:p w14:paraId="53997F16">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jc w:val="both"/>
        <w:textAlignment w:val="auto"/>
        <w:outlineLvl w:val="9"/>
        <w:rPr>
          <w:rFonts w:hint="default" w:ascii="Times New Roman" w:hAnsi="Times New Roman" w:eastAsia="宋体" w:cs="Times New Roman"/>
          <w:color w:val="auto"/>
          <w:spacing w:val="0"/>
          <w:position w:val="0"/>
          <w:sz w:val="24"/>
          <w:szCs w:val="24"/>
          <w:highlight w:val="none"/>
        </w:rPr>
        <w:sectPr>
          <w:pgSz w:w="16781" w:h="11849" w:orient="landscape"/>
          <w:pgMar w:top="1531" w:right="1701" w:bottom="1531" w:left="1701" w:header="851" w:footer="992" w:gutter="0"/>
          <w:pgBorders>
            <w:top w:val="none" w:sz="0" w:space="0"/>
            <w:left w:val="none" w:sz="0" w:space="0"/>
            <w:bottom w:val="none" w:sz="0" w:space="0"/>
            <w:right w:val="none" w:sz="0" w:space="0"/>
          </w:pgBorders>
          <w:pgNumType w:fmt="numberInDash"/>
          <w:cols w:space="0" w:num="1"/>
          <w:titlePg/>
          <w:rtlGutter w:val="0"/>
          <w:docGrid w:type="lines" w:linePitch="315" w:charSpace="0"/>
        </w:sectPr>
      </w:pPr>
    </w:p>
    <w:p w14:paraId="799DBA8E">
      <w:pPr>
        <w:pStyle w:val="23"/>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outlineLvl w:val="0"/>
        <w:rPr>
          <w:rStyle w:val="36"/>
          <w:rFonts w:hint="default" w:ascii="Times New Roman" w:hAnsi="Times New Roman" w:eastAsia="宋体" w:cs="Times New Roman"/>
          <w:b/>
          <w:bCs/>
          <w:color w:val="auto"/>
          <w:spacing w:val="0"/>
          <w:position w:val="0"/>
          <w:sz w:val="24"/>
          <w:szCs w:val="24"/>
          <w:highlight w:val="none"/>
          <w:lang w:eastAsia="zh-CN"/>
        </w:rPr>
      </w:pPr>
      <w:bookmarkStart w:id="32" w:name="_Toc17038"/>
      <w:r>
        <w:rPr>
          <w:rFonts w:hint="default" w:ascii="Times New Roman" w:hAnsi="Times New Roman" w:eastAsia="宋体" w:cs="Times New Roman"/>
          <w:b/>
          <w:bCs/>
          <w:snapToGrid w:val="0"/>
          <w:color w:val="auto"/>
          <w:spacing w:val="0"/>
          <w:position w:val="0"/>
          <w:sz w:val="24"/>
          <w:szCs w:val="24"/>
          <w:highlight w:val="none"/>
        </w:rPr>
        <w:t>附图</w:t>
      </w:r>
      <w:r>
        <w:rPr>
          <w:rFonts w:hint="default" w:ascii="Times New Roman" w:hAnsi="Times New Roman" w:cs="Times New Roman"/>
          <w:b/>
          <w:bCs/>
          <w:snapToGrid w:val="0"/>
          <w:color w:val="auto"/>
          <w:spacing w:val="0"/>
          <w:position w:val="0"/>
          <w:sz w:val="24"/>
          <w:szCs w:val="24"/>
          <w:highlight w:val="none"/>
          <w:lang w:val="en-US" w:eastAsia="zh-CN"/>
        </w:rPr>
        <w:t xml:space="preserve">3 </w:t>
      </w:r>
      <w:r>
        <w:rPr>
          <w:rStyle w:val="36"/>
          <w:rFonts w:hint="default" w:ascii="Times New Roman" w:hAnsi="Times New Roman" w:cs="Times New Roman"/>
          <w:b/>
          <w:bCs/>
          <w:color w:val="auto"/>
          <w:spacing w:val="0"/>
          <w:position w:val="0"/>
          <w:sz w:val="24"/>
          <w:szCs w:val="24"/>
          <w:highlight w:val="none"/>
          <w:lang w:val="en-US" w:eastAsia="zh-CN"/>
        </w:rPr>
        <w:t>分区防渗</w:t>
      </w:r>
      <w:r>
        <w:rPr>
          <w:rStyle w:val="36"/>
          <w:rFonts w:hint="default" w:ascii="Times New Roman" w:hAnsi="Times New Roman" w:eastAsia="宋体" w:cs="Times New Roman"/>
          <w:b/>
          <w:bCs/>
          <w:color w:val="auto"/>
          <w:spacing w:val="0"/>
          <w:position w:val="0"/>
          <w:sz w:val="24"/>
          <w:szCs w:val="24"/>
          <w:highlight w:val="none"/>
          <w:lang w:eastAsia="zh-CN"/>
        </w:rPr>
        <w:t>图</w:t>
      </w:r>
      <w:bookmarkEnd w:id="32"/>
    </w:p>
    <w:p w14:paraId="62A35A98">
      <w:pPr>
        <w:pStyle w:val="23"/>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Style w:val="36"/>
          <w:rFonts w:hint="default" w:ascii="Times New Roman" w:hAnsi="Times New Roman" w:eastAsia="宋体" w:cs="Times New Roman"/>
          <w:b/>
          <w:bCs/>
          <w:color w:val="auto"/>
          <w:spacing w:val="0"/>
          <w:position w:val="0"/>
          <w:sz w:val="24"/>
          <w:szCs w:val="24"/>
          <w:highlight w:val="none"/>
          <w:lang w:val="en-US" w:eastAsia="zh-CN"/>
        </w:rPr>
        <w:sectPr>
          <w:pgSz w:w="16781" w:h="11849" w:orient="landscape"/>
          <w:pgMar w:top="1531" w:right="1701" w:bottom="1531" w:left="1701" w:header="851" w:footer="992" w:gutter="0"/>
          <w:pgBorders>
            <w:top w:val="none" w:sz="0" w:space="0"/>
            <w:left w:val="none" w:sz="0" w:space="0"/>
            <w:bottom w:val="none" w:sz="0" w:space="0"/>
            <w:right w:val="none" w:sz="0" w:space="0"/>
          </w:pgBorders>
          <w:pgNumType w:fmt="numberInDash"/>
          <w:cols w:space="0" w:num="1"/>
          <w:titlePg/>
          <w:rtlGutter w:val="0"/>
          <w:docGrid w:type="lines" w:linePitch="315" w:charSpace="0"/>
        </w:sectPr>
      </w:pPr>
      <w:r>
        <w:rPr>
          <w:rStyle w:val="36"/>
          <w:rFonts w:hint="default" w:ascii="Times New Roman" w:hAnsi="Times New Roman" w:eastAsia="宋体" w:cs="Times New Roman"/>
          <w:b/>
          <w:bCs/>
          <w:color w:val="auto"/>
          <w:spacing w:val="0"/>
          <w:position w:val="0"/>
          <w:sz w:val="24"/>
          <w:szCs w:val="24"/>
          <w:highlight w:val="none"/>
          <w:lang w:val="en-US" w:eastAsia="zh-CN"/>
        </w:rPr>
        <w:drawing>
          <wp:inline distT="0" distB="0" distL="114300" distR="114300">
            <wp:extent cx="8082280" cy="5358765"/>
            <wp:effectExtent l="0" t="0" r="13970" b="13335"/>
            <wp:docPr id="75" name="图片 75" descr="分区防渗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分区防渗图"/>
                    <pic:cNvPicPr>
                      <a:picLocks noChangeAspect="1"/>
                    </pic:cNvPicPr>
                  </pic:nvPicPr>
                  <pic:blipFill>
                    <a:blip r:embed="rId46"/>
                    <a:stretch>
                      <a:fillRect/>
                    </a:stretch>
                  </pic:blipFill>
                  <pic:spPr>
                    <a:xfrm>
                      <a:off x="0" y="0"/>
                      <a:ext cx="8082280" cy="5358765"/>
                    </a:xfrm>
                    <a:prstGeom prst="rect">
                      <a:avLst/>
                    </a:prstGeom>
                  </pic:spPr>
                </pic:pic>
              </a:graphicData>
            </a:graphic>
          </wp:inline>
        </w:drawing>
      </w:r>
    </w:p>
    <w:p w14:paraId="2048DAE6">
      <w:pPr>
        <w:pStyle w:val="23"/>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outlineLvl w:val="0"/>
        <w:rPr>
          <w:rStyle w:val="36"/>
          <w:rFonts w:hint="default" w:ascii="Times New Roman" w:hAnsi="Times New Roman" w:eastAsia="宋体" w:cs="Times New Roman"/>
          <w:b/>
          <w:bCs/>
          <w:color w:val="auto"/>
          <w:spacing w:val="0"/>
          <w:position w:val="0"/>
          <w:sz w:val="24"/>
          <w:szCs w:val="24"/>
          <w:highlight w:val="none"/>
          <w:lang w:eastAsia="zh-CN"/>
        </w:rPr>
      </w:pPr>
      <w:bookmarkStart w:id="33" w:name="_Toc3882"/>
      <w:r>
        <w:rPr>
          <w:rFonts w:hint="default" w:ascii="Times New Roman" w:hAnsi="Times New Roman" w:eastAsia="宋体" w:cs="Times New Roman"/>
          <w:b/>
          <w:bCs/>
          <w:snapToGrid w:val="0"/>
          <w:color w:val="auto"/>
          <w:spacing w:val="0"/>
          <w:position w:val="0"/>
          <w:sz w:val="24"/>
          <w:szCs w:val="24"/>
          <w:highlight w:val="none"/>
        </w:rPr>
        <w:t>附图</w:t>
      </w:r>
      <w:r>
        <w:rPr>
          <w:rFonts w:hint="default" w:ascii="Times New Roman" w:hAnsi="Times New Roman" w:cs="Times New Roman"/>
          <w:b/>
          <w:bCs/>
          <w:snapToGrid w:val="0"/>
          <w:color w:val="auto"/>
          <w:spacing w:val="0"/>
          <w:position w:val="0"/>
          <w:sz w:val="24"/>
          <w:szCs w:val="24"/>
          <w:highlight w:val="none"/>
          <w:lang w:val="en-US" w:eastAsia="zh-CN"/>
        </w:rPr>
        <w:t xml:space="preserve">4 </w:t>
      </w:r>
      <w:r>
        <w:rPr>
          <w:rStyle w:val="36"/>
          <w:rFonts w:hint="default" w:ascii="Times New Roman" w:hAnsi="Times New Roman" w:cs="Times New Roman"/>
          <w:b/>
          <w:bCs/>
          <w:color w:val="auto"/>
          <w:spacing w:val="0"/>
          <w:position w:val="0"/>
          <w:sz w:val="24"/>
          <w:szCs w:val="24"/>
          <w:highlight w:val="none"/>
          <w:lang w:val="en-US" w:eastAsia="zh-CN"/>
        </w:rPr>
        <w:t>本项目位于园区位置</w:t>
      </w:r>
      <w:r>
        <w:rPr>
          <w:rStyle w:val="36"/>
          <w:rFonts w:hint="default" w:ascii="Times New Roman" w:hAnsi="Times New Roman" w:eastAsia="宋体" w:cs="Times New Roman"/>
          <w:b/>
          <w:bCs/>
          <w:color w:val="auto"/>
          <w:spacing w:val="0"/>
          <w:position w:val="0"/>
          <w:sz w:val="24"/>
          <w:szCs w:val="24"/>
          <w:highlight w:val="none"/>
          <w:lang w:eastAsia="zh-CN"/>
        </w:rPr>
        <w:t>图</w:t>
      </w:r>
      <w:bookmarkEnd w:id="33"/>
    </w:p>
    <w:p w14:paraId="2A8C2136">
      <w:pPr>
        <w:pStyle w:val="23"/>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Style w:val="36"/>
          <w:rFonts w:hint="default" w:ascii="Times New Roman" w:hAnsi="Times New Roman" w:eastAsia="宋体" w:cs="Times New Roman"/>
          <w:b/>
          <w:bCs/>
          <w:color w:val="auto"/>
          <w:spacing w:val="0"/>
          <w:position w:val="0"/>
          <w:sz w:val="24"/>
          <w:szCs w:val="24"/>
          <w:highlight w:val="none"/>
          <w:lang w:val="en-US" w:eastAsia="zh-CN"/>
        </w:rPr>
      </w:pPr>
      <w:r>
        <w:rPr>
          <w:rFonts w:hint="default" w:ascii="Times New Roman" w:hAnsi="Times New Roman" w:cs="Times New Roman"/>
          <w:color w:val="auto"/>
          <w:sz w:val="24"/>
          <w:highlight w:val="none"/>
        </w:rPr>
        <mc:AlternateContent>
          <mc:Choice Requires="wps">
            <w:drawing>
              <wp:anchor distT="0" distB="0" distL="114300" distR="114300" simplePos="0" relativeHeight="251666432" behindDoc="0" locked="0" layoutInCell="1" allowOverlap="1">
                <wp:simplePos x="0" y="0"/>
                <wp:positionH relativeFrom="column">
                  <wp:posOffset>504190</wp:posOffset>
                </wp:positionH>
                <wp:positionV relativeFrom="paragraph">
                  <wp:posOffset>2183130</wp:posOffset>
                </wp:positionV>
                <wp:extent cx="886460" cy="314325"/>
                <wp:effectExtent l="12700" t="12700" r="1196340" b="1387475"/>
                <wp:wrapNone/>
                <wp:docPr id="78" name="矩形标注 78"/>
                <wp:cNvGraphicFramePr/>
                <a:graphic xmlns:a="http://schemas.openxmlformats.org/drawingml/2006/main">
                  <a:graphicData uri="http://schemas.microsoft.com/office/word/2010/wordprocessingShape">
                    <wps:wsp>
                      <wps:cNvSpPr/>
                      <wps:spPr>
                        <a:xfrm>
                          <a:off x="2647950" y="5546725"/>
                          <a:ext cx="886460" cy="314325"/>
                        </a:xfrm>
                        <a:prstGeom prst="wedgeRectCallout">
                          <a:avLst>
                            <a:gd name="adj1" fmla="val 183309"/>
                            <a:gd name="adj2" fmla="val 48373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BD9260F">
                            <w:pPr>
                              <w:jc w:val="center"/>
                              <w:rPr>
                                <w:rFonts w:hint="default" w:eastAsia="宋体"/>
                                <w:b/>
                                <w:bCs/>
                                <w:color w:val="FF0000"/>
                                <w:lang w:val="en-US" w:eastAsia="zh-CN"/>
                              </w:rPr>
                            </w:pPr>
                            <w:r>
                              <w:rPr>
                                <w:rFonts w:hint="eastAsia"/>
                                <w:b/>
                                <w:bCs/>
                                <w:color w:val="FF0000"/>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9.7pt;margin-top:171.9pt;height:24.75pt;width:69.8pt;z-index:251666432;v-text-anchor:middle;mso-width-relative:page;mso-height-relative:page;" filled="f" stroked="t" coordsize="21600,21600" o:gfxdata="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JJYWIXZAAAACgEAAA8AAAAAAAAAAQAgAAAAIgAAAGRycy9kb3du&#10;cmV2LnhtbFBLAQIUABQAAAAIAIdO4kCFvOHaqQIAADEFAAAOAAAAAAAAAAEAIAAAACgBAABkcnMv&#10;ZTJvRG9jLnhtbFBLBQYAAAAABgAGAFkBAABDBgAAAAA=&#10;" adj="50395,115287">
                <v:fill on="f" focussize="0,0"/>
                <v:stroke weight="2pt" color="#FF0000 [2404]" joinstyle="round"/>
                <v:imagedata o:title=""/>
                <o:lock v:ext="edit" aspectratio="f"/>
                <v:textbox>
                  <w:txbxContent>
                    <w:p w14:paraId="5BD9260F">
                      <w:pPr>
                        <w:jc w:val="center"/>
                        <w:rPr>
                          <w:rFonts w:hint="default" w:eastAsia="宋体"/>
                          <w:b/>
                          <w:bCs/>
                          <w:color w:val="FF0000"/>
                          <w:lang w:val="en-US" w:eastAsia="zh-CN"/>
                        </w:rPr>
                      </w:pPr>
                      <w:r>
                        <w:rPr>
                          <w:rFonts w:hint="eastAsia"/>
                          <w:b/>
                          <w:bCs/>
                          <w:color w:val="FF0000"/>
                          <w:lang w:val="en-US" w:eastAsia="zh-CN"/>
                        </w:rPr>
                        <w:t>本项目位置</w:t>
                      </w:r>
                    </w:p>
                  </w:txbxContent>
                </v:textbox>
              </v:shape>
            </w:pict>
          </mc:Fallback>
        </mc:AlternateContent>
      </w:r>
      <w:r>
        <w:rPr>
          <w:rFonts w:hint="default" w:ascii="Times New Roman" w:hAnsi="Times New Roman" w:cs="Times New Roman"/>
          <w:b/>
          <w:bCs/>
          <w:color w:val="auto"/>
          <w:szCs w:val="24"/>
          <w:highlight w:val="none"/>
        </w:rPr>
        <w:drawing>
          <wp:inline distT="0" distB="0" distL="114300" distR="114300">
            <wp:extent cx="5587365" cy="7574280"/>
            <wp:effectExtent l="0" t="0" r="0" b="0"/>
            <wp:docPr id="77" name="图片 14" descr="c75c2ec23207fd4a7892271909b16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4" descr="c75c2ec23207fd4a7892271909b16b8"/>
                    <pic:cNvPicPr>
                      <a:picLocks noChangeAspect="1"/>
                    </pic:cNvPicPr>
                  </pic:nvPicPr>
                  <pic:blipFill>
                    <a:blip r:embed="rId47"/>
                    <a:srcRect t="2074" b="2062"/>
                    <a:stretch>
                      <a:fillRect/>
                    </a:stretch>
                  </pic:blipFill>
                  <pic:spPr>
                    <a:xfrm>
                      <a:off x="0" y="0"/>
                      <a:ext cx="5587365" cy="7574280"/>
                    </a:xfrm>
                    <a:prstGeom prst="rect">
                      <a:avLst/>
                    </a:prstGeom>
                    <a:noFill/>
                    <a:ln>
                      <a:noFill/>
                    </a:ln>
                  </pic:spPr>
                </pic:pic>
              </a:graphicData>
            </a:graphic>
          </wp:inline>
        </w:drawing>
      </w:r>
    </w:p>
    <w:p w14:paraId="52B9B14F">
      <w:pPr>
        <w:pStyle w:val="48"/>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0"/>
          <w:position w:val="0"/>
          <w:sz w:val="24"/>
          <w:szCs w:val="24"/>
          <w:highlight w:val="none"/>
        </w:rPr>
        <w:sectPr>
          <w:pgSz w:w="11849" w:h="16781"/>
          <w:pgMar w:top="1701" w:right="1531" w:bottom="1701" w:left="1531" w:header="851" w:footer="992" w:gutter="0"/>
          <w:pgBorders>
            <w:top w:val="none" w:sz="0" w:space="0"/>
            <w:left w:val="none" w:sz="0" w:space="0"/>
            <w:bottom w:val="none" w:sz="0" w:space="0"/>
            <w:right w:val="none" w:sz="0" w:space="0"/>
          </w:pgBorders>
          <w:pgNumType w:fmt="numberInDash"/>
          <w:cols w:space="0" w:num="1"/>
          <w:titlePg/>
          <w:rtlGutter w:val="0"/>
          <w:docGrid w:type="lines" w:linePitch="315" w:charSpace="0"/>
        </w:sectPr>
      </w:pPr>
    </w:p>
    <w:p w14:paraId="76376FE6">
      <w:pPr>
        <w:pStyle w:val="23"/>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outlineLvl w:val="0"/>
        <w:rPr>
          <w:rStyle w:val="36"/>
          <w:rFonts w:hint="default" w:ascii="Times New Roman" w:hAnsi="Times New Roman" w:eastAsia="宋体" w:cs="Times New Roman"/>
          <w:b/>
          <w:bCs/>
          <w:color w:val="auto"/>
          <w:spacing w:val="0"/>
          <w:position w:val="0"/>
          <w:sz w:val="24"/>
          <w:szCs w:val="24"/>
          <w:highlight w:val="none"/>
          <w:lang w:eastAsia="zh-CN"/>
        </w:rPr>
      </w:pPr>
      <w:bookmarkStart w:id="34" w:name="_Toc5474"/>
      <w:r>
        <w:rPr>
          <w:rFonts w:hint="default" w:ascii="Times New Roman" w:hAnsi="Times New Roman" w:eastAsia="宋体" w:cs="Times New Roman"/>
          <w:b/>
          <w:bCs/>
          <w:snapToGrid w:val="0"/>
          <w:color w:val="auto"/>
          <w:spacing w:val="0"/>
          <w:position w:val="0"/>
          <w:sz w:val="24"/>
          <w:szCs w:val="24"/>
          <w:highlight w:val="none"/>
        </w:rPr>
        <w:t>附图</w:t>
      </w:r>
      <w:r>
        <w:rPr>
          <w:rFonts w:hint="default" w:ascii="Times New Roman" w:hAnsi="Times New Roman" w:cs="Times New Roman"/>
          <w:b/>
          <w:bCs/>
          <w:snapToGrid w:val="0"/>
          <w:color w:val="auto"/>
          <w:spacing w:val="0"/>
          <w:position w:val="0"/>
          <w:sz w:val="24"/>
          <w:szCs w:val="24"/>
          <w:highlight w:val="none"/>
          <w:lang w:val="en-US" w:eastAsia="zh-CN"/>
        </w:rPr>
        <w:t xml:space="preserve">5 </w:t>
      </w:r>
      <w:r>
        <w:rPr>
          <w:rStyle w:val="36"/>
          <w:rFonts w:hint="default" w:ascii="Times New Roman" w:hAnsi="Times New Roman" w:cs="Times New Roman"/>
          <w:b/>
          <w:bCs/>
          <w:color w:val="auto"/>
          <w:spacing w:val="0"/>
          <w:position w:val="0"/>
          <w:sz w:val="24"/>
          <w:szCs w:val="24"/>
          <w:highlight w:val="none"/>
          <w:lang w:val="en-US" w:eastAsia="zh-CN"/>
        </w:rPr>
        <w:t>桦川县城区声环境功能区区划图</w:t>
      </w:r>
      <w:bookmarkEnd w:id="34"/>
    </w:p>
    <w:p w14:paraId="0F60C139">
      <w:pPr>
        <w:rPr>
          <w:rFonts w:hint="default" w:ascii="Times New Roman" w:hAnsi="Times New Roman" w:cs="Times New Roman"/>
          <w:color w:val="auto"/>
          <w:highlight w:val="none"/>
        </w:rPr>
        <w:sectPr>
          <w:pgSz w:w="11849" w:h="16781"/>
          <w:pgMar w:top="1701" w:right="1531" w:bottom="1701" w:left="1531" w:header="851" w:footer="992" w:gutter="0"/>
          <w:pgBorders>
            <w:top w:val="none" w:sz="0" w:space="0"/>
            <w:left w:val="none" w:sz="0" w:space="0"/>
            <w:bottom w:val="none" w:sz="0" w:space="0"/>
            <w:right w:val="none" w:sz="0" w:space="0"/>
          </w:pgBorders>
          <w:pgNumType w:fmt="numberInDash"/>
          <w:cols w:space="0" w:num="1"/>
          <w:titlePg/>
          <w:rtlGutter w:val="0"/>
          <w:docGrid w:type="lines" w:linePitch="315" w:charSpace="0"/>
        </w:sectPr>
      </w:pPr>
      <w:r>
        <w:rPr>
          <w:rFonts w:hint="default" w:ascii="Times New Roman" w:hAnsi="Times New Roman" w:cs="Times New Roman"/>
          <w:color w:val="auto"/>
          <w:sz w:val="24"/>
          <w:highlight w:val="none"/>
        </w:rPr>
        <mc:AlternateContent>
          <mc:Choice Requires="wps">
            <w:drawing>
              <wp:anchor distT="0" distB="0" distL="114300" distR="114300" simplePos="0" relativeHeight="251667456" behindDoc="0" locked="0" layoutInCell="1" allowOverlap="1">
                <wp:simplePos x="0" y="0"/>
                <wp:positionH relativeFrom="column">
                  <wp:posOffset>418465</wp:posOffset>
                </wp:positionH>
                <wp:positionV relativeFrom="paragraph">
                  <wp:posOffset>5659755</wp:posOffset>
                </wp:positionV>
                <wp:extent cx="886460" cy="314325"/>
                <wp:effectExtent l="12700" t="506730" r="1386840" b="17145"/>
                <wp:wrapNone/>
                <wp:docPr id="79" name="矩形标注 79"/>
                <wp:cNvGraphicFramePr/>
                <a:graphic xmlns:a="http://schemas.openxmlformats.org/drawingml/2006/main">
                  <a:graphicData uri="http://schemas.microsoft.com/office/word/2010/wordprocessingShape">
                    <wps:wsp>
                      <wps:cNvSpPr/>
                      <wps:spPr>
                        <a:xfrm>
                          <a:off x="2647950" y="5546725"/>
                          <a:ext cx="886460" cy="314325"/>
                        </a:xfrm>
                        <a:prstGeom prst="wedgeRectCallout">
                          <a:avLst>
                            <a:gd name="adj1" fmla="val 204799"/>
                            <a:gd name="adj2" fmla="val -207171"/>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B47A8DB">
                            <w:pPr>
                              <w:jc w:val="center"/>
                              <w:rPr>
                                <w:rFonts w:hint="default" w:eastAsia="宋体"/>
                                <w:b/>
                                <w:bCs/>
                                <w:color w:val="FF0000"/>
                                <w:lang w:val="en-US" w:eastAsia="zh-CN"/>
                              </w:rPr>
                            </w:pPr>
                            <w:r>
                              <w:rPr>
                                <w:rFonts w:hint="eastAsia"/>
                                <w:b/>
                                <w:bCs/>
                                <w:color w:val="FF0000"/>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2.95pt;margin-top:445.65pt;height:24.75pt;width:69.8pt;z-index:251667456;v-text-anchor:middle;mso-width-relative:page;mso-height-relative:page;" filled="f" stroked="t" coordsize="21600,21600" o:gfxdata="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A7Aio52AAAAAoBAAAPAAAAAAAAAAEAIAAAACIAAABkcnMvZG93&#10;bnJldi54bWxQSwECFAAUAAAACACHTuJAzoNmUasCAAAyBQAADgAAAAAAAAABACAAAAAnAQAAZHJz&#10;L2Uyb0RvYy54bWxQSwUGAAAAAAYABgBZAQAARAYAAAAA&#10;" adj="55037,-33949">
                <v:fill on="f" focussize="0,0"/>
                <v:stroke weight="2pt" color="#FF0000 [2404]" joinstyle="round"/>
                <v:imagedata o:title=""/>
                <o:lock v:ext="edit" aspectratio="f"/>
                <v:textbox>
                  <w:txbxContent>
                    <w:p w14:paraId="6B47A8DB">
                      <w:pPr>
                        <w:jc w:val="center"/>
                        <w:rPr>
                          <w:rFonts w:hint="default" w:eastAsia="宋体"/>
                          <w:b/>
                          <w:bCs/>
                          <w:color w:val="FF0000"/>
                          <w:lang w:val="en-US" w:eastAsia="zh-CN"/>
                        </w:rPr>
                      </w:pPr>
                      <w:r>
                        <w:rPr>
                          <w:rFonts w:hint="eastAsia"/>
                          <w:b/>
                          <w:bCs/>
                          <w:color w:val="FF0000"/>
                          <w:lang w:val="en-US" w:eastAsia="zh-CN"/>
                        </w:rPr>
                        <w:t>本项目位置</w:t>
                      </w:r>
                    </w:p>
                  </w:txbxContent>
                </v:textbox>
              </v:shape>
            </w:pict>
          </mc:Fallback>
        </mc:AlternateContent>
      </w:r>
      <w:r>
        <w:rPr>
          <w:rFonts w:hint="default" w:ascii="Times New Roman" w:hAnsi="Times New Roman" w:cs="Times New Roman"/>
          <w:color w:val="auto"/>
          <w:sz w:val="24"/>
          <w:highlight w:val="none"/>
        </w:rPr>
        <w:drawing>
          <wp:inline distT="0" distB="0" distL="114300" distR="114300">
            <wp:extent cx="5266055" cy="7444105"/>
            <wp:effectExtent l="0" t="0" r="10795" b="4445"/>
            <wp:docPr id="81" name="图片 81" descr="桦川县声环境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桦川县声环境功能区划图"/>
                    <pic:cNvPicPr>
                      <a:picLocks noChangeAspect="1"/>
                    </pic:cNvPicPr>
                  </pic:nvPicPr>
                  <pic:blipFill>
                    <a:blip r:embed="rId48"/>
                    <a:stretch>
                      <a:fillRect/>
                    </a:stretch>
                  </pic:blipFill>
                  <pic:spPr>
                    <a:xfrm>
                      <a:off x="0" y="0"/>
                      <a:ext cx="5266055" cy="7444105"/>
                    </a:xfrm>
                    <a:prstGeom prst="rect">
                      <a:avLst/>
                    </a:prstGeom>
                  </pic:spPr>
                </pic:pic>
              </a:graphicData>
            </a:graphic>
          </wp:inline>
        </w:drawing>
      </w:r>
    </w:p>
    <w:p w14:paraId="026F22C3">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jc w:val="both"/>
        <w:textAlignment w:val="auto"/>
        <w:outlineLvl w:val="0"/>
        <w:rPr>
          <w:rFonts w:hint="default" w:ascii="Times New Roman" w:hAnsi="Times New Roman" w:eastAsia="宋体" w:cs="Times New Roman"/>
          <w:b/>
          <w:bCs/>
          <w:snapToGrid w:val="0"/>
          <w:color w:val="auto"/>
          <w:spacing w:val="0"/>
          <w:position w:val="0"/>
          <w:sz w:val="24"/>
          <w:szCs w:val="24"/>
          <w:highlight w:val="none"/>
        </w:rPr>
      </w:pPr>
      <w:bookmarkStart w:id="35" w:name="_Toc18304"/>
      <w:r>
        <w:rPr>
          <w:rFonts w:hint="default" w:ascii="Times New Roman" w:hAnsi="Times New Roman" w:eastAsia="宋体" w:cs="Times New Roman"/>
          <w:b/>
          <w:bCs/>
          <w:snapToGrid w:val="0"/>
          <w:color w:val="auto"/>
          <w:spacing w:val="0"/>
          <w:position w:val="0"/>
          <w:sz w:val="24"/>
          <w:szCs w:val="24"/>
          <w:highlight w:val="none"/>
        </w:rPr>
        <w:t>附件1</w:t>
      </w:r>
      <w:r>
        <w:rPr>
          <w:rFonts w:hint="default" w:ascii="Times New Roman" w:hAnsi="Times New Roman" w:cs="Times New Roman"/>
          <w:b/>
          <w:bCs/>
          <w:snapToGrid w:val="0"/>
          <w:color w:val="auto"/>
          <w:spacing w:val="0"/>
          <w:position w:val="0"/>
          <w:sz w:val="24"/>
          <w:szCs w:val="24"/>
          <w:highlight w:val="none"/>
          <w:lang w:val="en-US" w:eastAsia="zh-CN"/>
        </w:rPr>
        <w:t xml:space="preserve"> </w:t>
      </w:r>
      <w:r>
        <w:rPr>
          <w:rFonts w:hint="default" w:ascii="Times New Roman" w:hAnsi="Times New Roman" w:eastAsia="宋体" w:cs="Times New Roman"/>
          <w:b/>
          <w:bCs/>
          <w:snapToGrid w:val="0"/>
          <w:color w:val="auto"/>
          <w:spacing w:val="0"/>
          <w:position w:val="0"/>
          <w:sz w:val="24"/>
          <w:szCs w:val="24"/>
          <w:highlight w:val="none"/>
        </w:rPr>
        <w:t>营业执照</w:t>
      </w:r>
      <w:bookmarkEnd w:id="35"/>
    </w:p>
    <w:p w14:paraId="29C03492">
      <w:pPr>
        <w:pStyle w:val="23"/>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rightChars="0"/>
        <w:jc w:val="center"/>
        <w:outlineLvl w:val="9"/>
        <w:rPr>
          <w:rFonts w:hint="default" w:ascii="Times New Roman" w:hAnsi="Times New Roman" w:eastAsia="宋体" w:cs="Times New Roman"/>
          <w:b/>
          <w:bCs/>
          <w:snapToGrid w:val="0"/>
          <w:color w:val="auto"/>
          <w:spacing w:val="0"/>
          <w:position w:val="0"/>
          <w:sz w:val="21"/>
          <w:szCs w:val="21"/>
          <w:highlight w:val="none"/>
        </w:rPr>
        <w:sectPr>
          <w:pgSz w:w="16781" w:h="11849" w:orient="landscape"/>
          <w:pgMar w:top="1531" w:right="1701" w:bottom="1531" w:left="1701" w:header="851" w:footer="992" w:gutter="0"/>
          <w:pgBorders>
            <w:top w:val="none" w:sz="0" w:space="0"/>
            <w:left w:val="none" w:sz="0" w:space="0"/>
            <w:bottom w:val="none" w:sz="0" w:space="0"/>
            <w:right w:val="none" w:sz="0" w:space="0"/>
          </w:pgBorders>
          <w:pgNumType w:fmt="numberInDash"/>
          <w:cols w:space="0" w:num="1"/>
          <w:titlePg/>
          <w:rtlGutter w:val="0"/>
          <w:docGrid w:type="lines" w:linePitch="315" w:charSpace="0"/>
        </w:sectPr>
      </w:pPr>
      <w:r>
        <w:rPr>
          <w:rFonts w:hint="default" w:ascii="Times New Roman" w:hAnsi="Times New Roman" w:eastAsia="宋体" w:cs="Times New Roman"/>
          <w:b/>
          <w:bCs/>
          <w:snapToGrid w:val="0"/>
          <w:color w:val="auto"/>
          <w:spacing w:val="0"/>
          <w:position w:val="0"/>
          <w:sz w:val="21"/>
          <w:szCs w:val="21"/>
          <w:highlight w:val="none"/>
        </w:rPr>
        <w:drawing>
          <wp:inline distT="0" distB="0" distL="114300" distR="114300">
            <wp:extent cx="7346950" cy="5309870"/>
            <wp:effectExtent l="0" t="0" r="6350" b="5080"/>
            <wp:docPr id="82" name="图片 82"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营业执照"/>
                    <pic:cNvPicPr>
                      <a:picLocks noChangeAspect="1"/>
                    </pic:cNvPicPr>
                  </pic:nvPicPr>
                  <pic:blipFill>
                    <a:blip r:embed="rId49"/>
                    <a:stretch>
                      <a:fillRect/>
                    </a:stretch>
                  </pic:blipFill>
                  <pic:spPr>
                    <a:xfrm>
                      <a:off x="0" y="0"/>
                      <a:ext cx="7346950" cy="5309870"/>
                    </a:xfrm>
                    <a:prstGeom prst="rect">
                      <a:avLst/>
                    </a:prstGeom>
                  </pic:spPr>
                </pic:pic>
              </a:graphicData>
            </a:graphic>
          </wp:inline>
        </w:drawing>
      </w:r>
    </w:p>
    <w:p w14:paraId="03E09A6F">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jc w:val="both"/>
        <w:textAlignment w:val="auto"/>
        <w:outlineLvl w:val="0"/>
        <w:rPr>
          <w:rFonts w:hint="default" w:ascii="Times New Roman" w:hAnsi="Times New Roman" w:cs="Times New Roman"/>
          <w:b/>
          <w:bCs/>
          <w:snapToGrid w:val="0"/>
          <w:color w:val="auto"/>
          <w:spacing w:val="0"/>
          <w:position w:val="0"/>
          <w:sz w:val="24"/>
          <w:szCs w:val="24"/>
          <w:highlight w:val="none"/>
          <w:lang w:val="en-US" w:eastAsia="zh-CN"/>
        </w:rPr>
      </w:pPr>
      <w:bookmarkStart w:id="36" w:name="_Toc2048"/>
      <w:r>
        <w:rPr>
          <w:rFonts w:hint="default" w:ascii="Times New Roman" w:hAnsi="Times New Roman" w:eastAsia="宋体" w:cs="Times New Roman"/>
          <w:b/>
          <w:bCs/>
          <w:snapToGrid w:val="0"/>
          <w:color w:val="auto"/>
          <w:spacing w:val="0"/>
          <w:position w:val="0"/>
          <w:sz w:val="24"/>
          <w:szCs w:val="24"/>
          <w:highlight w:val="none"/>
        </w:rPr>
        <w:t>附件2</w:t>
      </w:r>
      <w:r>
        <w:rPr>
          <w:rFonts w:hint="default" w:ascii="Times New Roman" w:hAnsi="Times New Roman" w:cs="Times New Roman"/>
          <w:b/>
          <w:bCs/>
          <w:snapToGrid w:val="0"/>
          <w:color w:val="auto"/>
          <w:spacing w:val="0"/>
          <w:position w:val="0"/>
          <w:sz w:val="24"/>
          <w:szCs w:val="24"/>
          <w:highlight w:val="none"/>
          <w:lang w:val="en-US" w:eastAsia="zh-CN"/>
        </w:rPr>
        <w:t xml:space="preserve"> 合作经营协议书</w:t>
      </w:r>
      <w:bookmarkEnd w:id="36"/>
    </w:p>
    <w:p w14:paraId="511B59D7">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jc w:val="both"/>
        <w:textAlignment w:val="auto"/>
        <w:outlineLvl w:val="9"/>
        <w:rPr>
          <w:rFonts w:hint="default" w:ascii="Times New Roman" w:hAnsi="Times New Roman" w:cs="Times New Roman"/>
          <w:b/>
          <w:bCs/>
          <w:snapToGrid w:val="0"/>
          <w:color w:val="auto"/>
          <w:spacing w:val="0"/>
          <w:position w:val="0"/>
          <w:sz w:val="24"/>
          <w:szCs w:val="24"/>
          <w:highlight w:val="none"/>
          <w:lang w:val="en-US" w:eastAsia="zh-CN"/>
        </w:rPr>
      </w:pPr>
      <w:r>
        <w:rPr>
          <w:rFonts w:hint="default" w:ascii="Times New Roman" w:hAnsi="Times New Roman" w:eastAsia="宋体" w:cs="Times New Roman"/>
          <w:b/>
          <w:bCs/>
          <w:snapToGrid w:val="0"/>
          <w:color w:val="auto"/>
          <w:spacing w:val="0"/>
          <w:position w:val="0"/>
          <w:sz w:val="21"/>
          <w:szCs w:val="21"/>
          <w:highlight w:val="none"/>
          <w:lang w:eastAsia="zh-CN"/>
        </w:rPr>
        <w:drawing>
          <wp:inline distT="0" distB="0" distL="114300" distR="114300">
            <wp:extent cx="5560695" cy="7870825"/>
            <wp:effectExtent l="0" t="0" r="1905" b="15875"/>
            <wp:docPr id="84" name="图片 84" descr="扫描全能王 2026-04-03 12.3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扫描全能王 2026-04-03 12.39_01"/>
                    <pic:cNvPicPr>
                      <a:picLocks noChangeAspect="1"/>
                    </pic:cNvPicPr>
                  </pic:nvPicPr>
                  <pic:blipFill>
                    <a:blip r:embed="rId50"/>
                    <a:stretch>
                      <a:fillRect/>
                    </a:stretch>
                  </pic:blipFill>
                  <pic:spPr>
                    <a:xfrm>
                      <a:off x="0" y="0"/>
                      <a:ext cx="5560695" cy="7870825"/>
                    </a:xfrm>
                    <a:prstGeom prst="rect">
                      <a:avLst/>
                    </a:prstGeom>
                  </pic:spPr>
                </pic:pic>
              </a:graphicData>
            </a:graphic>
          </wp:inline>
        </w:drawing>
      </w:r>
    </w:p>
    <w:p w14:paraId="4160546E">
      <w:pPr>
        <w:pStyle w:val="23"/>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rightChars="0"/>
        <w:jc w:val="center"/>
        <w:outlineLvl w:val="9"/>
        <w:rPr>
          <w:rFonts w:hint="default" w:ascii="Times New Roman" w:hAnsi="Times New Roman" w:eastAsia="宋体" w:cs="Times New Roman"/>
          <w:b/>
          <w:bCs/>
          <w:snapToGrid w:val="0"/>
          <w:color w:val="auto"/>
          <w:spacing w:val="0"/>
          <w:position w:val="0"/>
          <w:sz w:val="21"/>
          <w:szCs w:val="21"/>
          <w:highlight w:val="none"/>
          <w:lang w:eastAsia="zh-CN"/>
        </w:rPr>
      </w:pPr>
      <w:r>
        <w:rPr>
          <w:rFonts w:hint="default" w:ascii="Times New Roman" w:hAnsi="Times New Roman" w:eastAsia="宋体" w:cs="Times New Roman"/>
          <w:b/>
          <w:bCs/>
          <w:snapToGrid w:val="0"/>
          <w:color w:val="auto"/>
          <w:spacing w:val="0"/>
          <w:position w:val="0"/>
          <w:sz w:val="21"/>
          <w:szCs w:val="21"/>
          <w:highlight w:val="none"/>
          <w:lang w:eastAsia="zh-CN"/>
        </w:rPr>
        <w:drawing>
          <wp:inline distT="0" distB="0" distL="114300" distR="114300">
            <wp:extent cx="5560695" cy="7870825"/>
            <wp:effectExtent l="0" t="0" r="1905" b="15875"/>
            <wp:docPr id="83" name="图片 83" descr="扫描全能王 2026-04-03 12.39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扫描全能王 2026-04-03 12.39_02"/>
                    <pic:cNvPicPr>
                      <a:picLocks noChangeAspect="1"/>
                    </pic:cNvPicPr>
                  </pic:nvPicPr>
                  <pic:blipFill>
                    <a:blip r:embed="rId51"/>
                    <a:stretch>
                      <a:fillRect/>
                    </a:stretch>
                  </pic:blipFill>
                  <pic:spPr>
                    <a:xfrm>
                      <a:off x="0" y="0"/>
                      <a:ext cx="5560695" cy="7870825"/>
                    </a:xfrm>
                    <a:prstGeom prst="rect">
                      <a:avLst/>
                    </a:prstGeom>
                  </pic:spPr>
                </pic:pic>
              </a:graphicData>
            </a:graphic>
          </wp:inline>
        </w:drawing>
      </w:r>
    </w:p>
    <w:p w14:paraId="081413C9">
      <w:pPr>
        <w:pStyle w:val="23"/>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rightChars="0"/>
        <w:jc w:val="both"/>
        <w:outlineLvl w:val="0"/>
        <w:rPr>
          <w:rFonts w:hint="default" w:ascii="Times New Roman" w:hAnsi="Times New Roman" w:eastAsia="宋体" w:cs="Times New Roman"/>
          <w:b/>
          <w:bCs/>
          <w:snapToGrid w:val="0"/>
          <w:color w:val="auto"/>
          <w:spacing w:val="0"/>
          <w:position w:val="0"/>
          <w:sz w:val="21"/>
          <w:szCs w:val="21"/>
          <w:highlight w:val="none"/>
        </w:rPr>
      </w:pPr>
    </w:p>
    <w:p w14:paraId="58AEEFF0">
      <w:pPr>
        <w:pStyle w:val="23"/>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rightChars="0"/>
        <w:jc w:val="both"/>
        <w:outlineLvl w:val="0"/>
        <w:rPr>
          <w:rFonts w:hint="default" w:ascii="Times New Roman" w:hAnsi="Times New Roman" w:eastAsia="宋体" w:cs="Times New Roman"/>
          <w:b/>
          <w:bCs/>
          <w:snapToGrid w:val="0"/>
          <w:color w:val="auto"/>
          <w:spacing w:val="0"/>
          <w:position w:val="0"/>
          <w:sz w:val="21"/>
          <w:szCs w:val="21"/>
          <w:highlight w:val="none"/>
        </w:rPr>
        <w:sectPr>
          <w:pgSz w:w="11849" w:h="16781"/>
          <w:pgMar w:top="1701" w:right="1531" w:bottom="1701" w:left="1531" w:header="851" w:footer="992" w:gutter="0"/>
          <w:pgBorders>
            <w:top w:val="none" w:sz="0" w:space="0"/>
            <w:left w:val="none" w:sz="0" w:space="0"/>
            <w:bottom w:val="none" w:sz="0" w:space="0"/>
            <w:right w:val="none" w:sz="0" w:space="0"/>
          </w:pgBorders>
          <w:pgNumType w:fmt="numberInDash"/>
          <w:cols w:space="0" w:num="1"/>
          <w:titlePg/>
          <w:rtlGutter w:val="0"/>
          <w:docGrid w:type="lines" w:linePitch="315" w:charSpace="0"/>
        </w:sectPr>
      </w:pPr>
    </w:p>
    <w:p w14:paraId="49E892BA">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jc w:val="both"/>
        <w:textAlignment w:val="auto"/>
        <w:outlineLvl w:val="0"/>
        <w:rPr>
          <w:rFonts w:hint="default" w:ascii="Times New Roman" w:hAnsi="Times New Roman" w:cs="Times New Roman"/>
          <w:b/>
          <w:bCs/>
          <w:snapToGrid w:val="0"/>
          <w:color w:val="auto"/>
          <w:spacing w:val="0"/>
          <w:position w:val="0"/>
          <w:sz w:val="24"/>
          <w:szCs w:val="24"/>
          <w:highlight w:val="none"/>
          <w:lang w:val="en-US" w:eastAsia="zh-CN"/>
        </w:rPr>
      </w:pPr>
      <w:bookmarkStart w:id="37" w:name="_Toc4708"/>
      <w:r>
        <w:rPr>
          <w:rFonts w:hint="default" w:ascii="Times New Roman" w:hAnsi="Times New Roman" w:eastAsia="宋体" w:cs="Times New Roman"/>
          <w:b/>
          <w:bCs/>
          <w:snapToGrid w:val="0"/>
          <w:color w:val="auto"/>
          <w:spacing w:val="0"/>
          <w:position w:val="0"/>
          <w:sz w:val="24"/>
          <w:szCs w:val="24"/>
          <w:highlight w:val="none"/>
        </w:rPr>
        <w:t>附件</w:t>
      </w:r>
      <w:r>
        <w:rPr>
          <w:rFonts w:hint="default" w:ascii="Times New Roman" w:hAnsi="Times New Roman" w:eastAsia="宋体" w:cs="Times New Roman"/>
          <w:b/>
          <w:bCs/>
          <w:snapToGrid w:val="0"/>
          <w:color w:val="auto"/>
          <w:spacing w:val="0"/>
          <w:position w:val="0"/>
          <w:sz w:val="24"/>
          <w:szCs w:val="24"/>
          <w:highlight w:val="none"/>
          <w:lang w:val="en-US" w:eastAsia="zh-CN"/>
        </w:rPr>
        <w:t>3</w:t>
      </w:r>
      <w:r>
        <w:rPr>
          <w:rFonts w:hint="default" w:ascii="Times New Roman" w:hAnsi="Times New Roman" w:cs="Times New Roman"/>
          <w:b/>
          <w:bCs/>
          <w:snapToGrid w:val="0"/>
          <w:color w:val="auto"/>
          <w:spacing w:val="0"/>
          <w:position w:val="0"/>
          <w:sz w:val="24"/>
          <w:szCs w:val="24"/>
          <w:highlight w:val="none"/>
          <w:lang w:val="en-US" w:eastAsia="zh-CN"/>
        </w:rPr>
        <w:t xml:space="preserve"> 情况说明</w:t>
      </w:r>
      <w:bookmarkEnd w:id="37"/>
    </w:p>
    <w:p w14:paraId="5CEFC3DD">
      <w:pPr>
        <w:pStyle w:val="23"/>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rightChars="0"/>
        <w:jc w:val="center"/>
        <w:outlineLvl w:val="9"/>
        <w:rPr>
          <w:rFonts w:hint="default" w:ascii="Times New Roman" w:hAnsi="Times New Roman" w:eastAsia="宋体" w:cs="Times New Roman"/>
          <w:b/>
          <w:bCs/>
          <w:snapToGrid w:val="0"/>
          <w:color w:val="auto"/>
          <w:spacing w:val="0"/>
          <w:position w:val="0"/>
          <w:sz w:val="21"/>
          <w:szCs w:val="21"/>
          <w:highlight w:val="none"/>
          <w:lang w:eastAsia="zh-CN"/>
        </w:rPr>
        <w:sectPr>
          <w:pgSz w:w="11849" w:h="16781"/>
          <w:pgMar w:top="1701" w:right="1531" w:bottom="1701" w:left="1531" w:header="851" w:footer="992" w:gutter="0"/>
          <w:pgBorders>
            <w:top w:val="none" w:sz="0" w:space="0"/>
            <w:left w:val="none" w:sz="0" w:space="0"/>
            <w:bottom w:val="none" w:sz="0" w:space="0"/>
            <w:right w:val="none" w:sz="0" w:space="0"/>
          </w:pgBorders>
          <w:pgNumType w:fmt="numberInDash"/>
          <w:cols w:space="0" w:num="1"/>
          <w:titlePg/>
          <w:rtlGutter w:val="0"/>
          <w:docGrid w:type="lines" w:linePitch="315" w:charSpace="0"/>
        </w:sectPr>
      </w:pPr>
      <w:r>
        <w:rPr>
          <w:rFonts w:hint="default" w:ascii="Times New Roman" w:hAnsi="Times New Roman" w:eastAsia="宋体" w:cs="Times New Roman"/>
          <w:b/>
          <w:bCs/>
          <w:snapToGrid w:val="0"/>
          <w:color w:val="auto"/>
          <w:spacing w:val="0"/>
          <w:position w:val="0"/>
          <w:sz w:val="21"/>
          <w:szCs w:val="21"/>
          <w:highlight w:val="none"/>
          <w:lang w:eastAsia="zh-CN"/>
        </w:rPr>
        <w:drawing>
          <wp:inline distT="0" distB="0" distL="114300" distR="114300">
            <wp:extent cx="5560695" cy="7870825"/>
            <wp:effectExtent l="0" t="0" r="1905" b="15875"/>
            <wp:docPr id="86" name="图片 86" descr="情况说明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情况说明_01"/>
                    <pic:cNvPicPr>
                      <a:picLocks noChangeAspect="1"/>
                    </pic:cNvPicPr>
                  </pic:nvPicPr>
                  <pic:blipFill>
                    <a:blip r:embed="rId52"/>
                    <a:stretch>
                      <a:fillRect/>
                    </a:stretch>
                  </pic:blipFill>
                  <pic:spPr>
                    <a:xfrm>
                      <a:off x="0" y="0"/>
                      <a:ext cx="5560695" cy="7870825"/>
                    </a:xfrm>
                    <a:prstGeom prst="rect">
                      <a:avLst/>
                    </a:prstGeom>
                  </pic:spPr>
                </pic:pic>
              </a:graphicData>
            </a:graphic>
          </wp:inline>
        </w:drawing>
      </w:r>
    </w:p>
    <w:p w14:paraId="12BBE712">
      <w:pPr>
        <w:pStyle w:val="23"/>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both"/>
        <w:textAlignment w:val="auto"/>
        <w:outlineLvl w:val="0"/>
        <w:rPr>
          <w:rFonts w:hint="default" w:ascii="Times New Roman" w:hAnsi="Times New Roman" w:eastAsia="宋体" w:cs="Times New Roman"/>
          <w:b/>
          <w:bCs/>
          <w:snapToGrid w:val="0"/>
          <w:color w:val="auto"/>
          <w:spacing w:val="0"/>
          <w:position w:val="0"/>
          <w:sz w:val="24"/>
          <w:szCs w:val="24"/>
          <w:highlight w:val="none"/>
        </w:rPr>
      </w:pPr>
      <w:bookmarkStart w:id="38" w:name="_Toc24124"/>
      <w:r>
        <w:rPr>
          <w:rFonts w:hint="default" w:ascii="Times New Roman" w:hAnsi="Times New Roman" w:eastAsia="宋体" w:cs="Times New Roman"/>
          <w:b/>
          <w:bCs/>
          <w:snapToGrid w:val="0"/>
          <w:color w:val="auto"/>
          <w:spacing w:val="0"/>
          <w:position w:val="0"/>
          <w:sz w:val="24"/>
          <w:szCs w:val="24"/>
          <w:highlight w:val="none"/>
        </w:rPr>
        <w:t>附件</w:t>
      </w:r>
      <w:bookmarkStart w:id="39" w:name="_Hlk68785281"/>
      <w:r>
        <w:rPr>
          <w:rFonts w:hint="default" w:ascii="Times New Roman" w:hAnsi="Times New Roman" w:cs="Times New Roman"/>
          <w:b/>
          <w:bCs/>
          <w:snapToGrid w:val="0"/>
          <w:color w:val="auto"/>
          <w:spacing w:val="0"/>
          <w:position w:val="0"/>
          <w:sz w:val="24"/>
          <w:szCs w:val="24"/>
          <w:highlight w:val="none"/>
          <w:lang w:val="en-US" w:eastAsia="zh-CN"/>
        </w:rPr>
        <w:t xml:space="preserve">4 </w:t>
      </w:r>
      <w:r>
        <w:rPr>
          <w:rFonts w:hint="default" w:ascii="Times New Roman" w:hAnsi="Times New Roman" w:eastAsia="宋体" w:cs="Times New Roman"/>
          <w:b/>
          <w:bCs/>
          <w:snapToGrid w:val="0"/>
          <w:color w:val="auto"/>
          <w:spacing w:val="0"/>
          <w:position w:val="0"/>
          <w:sz w:val="24"/>
          <w:szCs w:val="24"/>
          <w:highlight w:val="none"/>
        </w:rPr>
        <w:t>生物质燃料特性分析单</w:t>
      </w:r>
      <w:bookmarkEnd w:id="38"/>
      <w:bookmarkEnd w:id="39"/>
    </w:p>
    <w:p w14:paraId="1A1437A7">
      <w:pPr>
        <w:keepNext w:val="0"/>
        <w:keepLines w:val="0"/>
        <w:pageBreakBefore w:val="0"/>
        <w:tabs>
          <w:tab w:val="left" w:pos="1291"/>
        </w:tabs>
        <w:kinsoku/>
        <w:wordWrap/>
        <w:overflowPunct/>
        <w:topLinePunct w:val="0"/>
        <w:autoSpaceDE/>
        <w:autoSpaceDN/>
        <w:bidi w:val="0"/>
        <w:adjustRightInd w:val="0"/>
        <w:snapToGrid w:val="0"/>
        <w:spacing w:beforeAutospacing="0" w:afterAutospacing="0" w:line="240" w:lineRule="auto"/>
        <w:ind w:left="0" w:leftChars="0" w:right="0" w:rightChars="0"/>
        <w:textAlignment w:val="auto"/>
        <w:rPr>
          <w:rFonts w:hint="default" w:ascii="Times New Roman" w:hAnsi="Times New Roman" w:eastAsia="宋体" w:cs="Times New Roman"/>
          <w:color w:val="auto"/>
          <w:spacing w:val="0"/>
          <w:position w:val="0"/>
          <w:sz w:val="24"/>
          <w:szCs w:val="32"/>
          <w:highlight w:val="none"/>
        </w:rPr>
        <w:sectPr>
          <w:pgSz w:w="11849" w:h="16781"/>
          <w:pgMar w:top="1701" w:right="1531" w:bottom="1701" w:left="1531" w:header="851" w:footer="992" w:gutter="0"/>
          <w:pgBorders>
            <w:top w:val="none" w:sz="0" w:space="0"/>
            <w:left w:val="none" w:sz="0" w:space="0"/>
            <w:bottom w:val="none" w:sz="0" w:space="0"/>
            <w:right w:val="none" w:sz="0" w:space="0"/>
          </w:pgBorders>
          <w:pgNumType w:fmt="numberInDash"/>
          <w:cols w:space="0" w:num="1"/>
          <w:titlePg/>
          <w:rtlGutter w:val="0"/>
          <w:docGrid w:type="lines" w:linePitch="315" w:charSpace="0"/>
        </w:sectPr>
      </w:pPr>
      <w:r>
        <w:rPr>
          <w:rFonts w:hint="default" w:ascii="Times New Roman" w:hAnsi="Times New Roman" w:cs="Times New Roman"/>
          <w:color w:val="auto"/>
          <w:highlight w:val="none"/>
        </w:rPr>
        <w:drawing>
          <wp:inline distT="0" distB="0" distL="114300" distR="114300">
            <wp:extent cx="5270500" cy="7283450"/>
            <wp:effectExtent l="0" t="0" r="6350" b="12700"/>
            <wp:docPr id="87" name="图片 241" descr="84fcbbdd01fc3c116b074caa2f99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41" descr="84fcbbdd01fc3c116b074caa2f99e14"/>
                    <pic:cNvPicPr>
                      <a:picLocks noChangeAspect="1"/>
                    </pic:cNvPicPr>
                  </pic:nvPicPr>
                  <pic:blipFill>
                    <a:blip r:embed="rId53"/>
                    <a:stretch>
                      <a:fillRect/>
                    </a:stretch>
                  </pic:blipFill>
                  <pic:spPr>
                    <a:xfrm>
                      <a:off x="0" y="0"/>
                      <a:ext cx="5270500" cy="7283450"/>
                    </a:xfrm>
                    <a:prstGeom prst="rect">
                      <a:avLst/>
                    </a:prstGeom>
                    <a:noFill/>
                    <a:ln>
                      <a:noFill/>
                    </a:ln>
                  </pic:spPr>
                </pic:pic>
              </a:graphicData>
            </a:graphic>
          </wp:inline>
        </w:drawing>
      </w:r>
    </w:p>
    <w:p w14:paraId="3852B0BC">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jc w:val="both"/>
        <w:textAlignment w:val="auto"/>
        <w:outlineLvl w:val="0"/>
        <w:rPr>
          <w:rFonts w:hint="default" w:ascii="Times New Roman" w:hAnsi="Times New Roman" w:eastAsia="宋体" w:cs="Times New Roman"/>
          <w:b/>
          <w:bCs/>
          <w:snapToGrid w:val="0"/>
          <w:color w:val="auto"/>
          <w:spacing w:val="0"/>
          <w:position w:val="0"/>
          <w:sz w:val="24"/>
          <w:szCs w:val="24"/>
          <w:highlight w:val="none"/>
        </w:rPr>
      </w:pPr>
      <w:bookmarkStart w:id="40" w:name="_Toc3480"/>
      <w:r>
        <w:rPr>
          <w:rFonts w:hint="default" w:ascii="Times New Roman" w:hAnsi="Times New Roman" w:eastAsia="宋体" w:cs="Times New Roman"/>
          <w:b/>
          <w:bCs/>
          <w:snapToGrid w:val="0"/>
          <w:color w:val="auto"/>
          <w:spacing w:val="0"/>
          <w:position w:val="0"/>
          <w:sz w:val="24"/>
          <w:szCs w:val="24"/>
          <w:highlight w:val="none"/>
        </w:rPr>
        <w:t>附件</w:t>
      </w:r>
      <w:r>
        <w:rPr>
          <w:rFonts w:hint="default" w:ascii="Times New Roman" w:hAnsi="Times New Roman" w:cs="Times New Roman"/>
          <w:b/>
          <w:bCs/>
          <w:snapToGrid w:val="0"/>
          <w:color w:val="auto"/>
          <w:spacing w:val="0"/>
          <w:position w:val="0"/>
          <w:sz w:val="24"/>
          <w:szCs w:val="24"/>
          <w:highlight w:val="none"/>
          <w:lang w:val="en-US" w:eastAsia="zh-CN"/>
        </w:rPr>
        <w:t>5 引用</w:t>
      </w:r>
      <w:r>
        <w:rPr>
          <w:rFonts w:hint="default" w:ascii="Times New Roman" w:hAnsi="Times New Roman" w:eastAsia="宋体" w:cs="Times New Roman"/>
          <w:b/>
          <w:bCs/>
          <w:snapToGrid w:val="0"/>
          <w:color w:val="auto"/>
          <w:spacing w:val="0"/>
          <w:position w:val="0"/>
          <w:sz w:val="24"/>
          <w:szCs w:val="24"/>
          <w:highlight w:val="none"/>
        </w:rPr>
        <w:t>现状监测报告</w:t>
      </w:r>
      <w:bookmarkEnd w:id="40"/>
    </w:p>
    <w:p w14:paraId="43A285AD">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450840" cy="7412990"/>
            <wp:effectExtent l="0" t="0" r="16510" b="16510"/>
            <wp:docPr id="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
                    <pic:cNvPicPr>
                      <a:picLocks noChangeAspect="1"/>
                    </pic:cNvPicPr>
                  </pic:nvPicPr>
                  <pic:blipFill>
                    <a:blip r:embed="rId54"/>
                    <a:stretch>
                      <a:fillRect/>
                    </a:stretch>
                  </pic:blipFill>
                  <pic:spPr>
                    <a:xfrm>
                      <a:off x="0" y="0"/>
                      <a:ext cx="5450840" cy="7412990"/>
                    </a:xfrm>
                    <a:prstGeom prst="rect">
                      <a:avLst/>
                    </a:prstGeom>
                    <a:noFill/>
                    <a:ln>
                      <a:noFill/>
                    </a:ln>
                  </pic:spPr>
                </pic:pic>
              </a:graphicData>
            </a:graphic>
          </wp:inline>
        </w:drawing>
      </w:r>
    </w:p>
    <w:p w14:paraId="4390E9DF">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443220" cy="7410450"/>
            <wp:effectExtent l="0" t="0" r="5080" b="0"/>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
                    <pic:cNvPicPr>
                      <a:picLocks noChangeAspect="1"/>
                    </pic:cNvPicPr>
                  </pic:nvPicPr>
                  <pic:blipFill>
                    <a:blip r:embed="rId55"/>
                    <a:stretch>
                      <a:fillRect/>
                    </a:stretch>
                  </pic:blipFill>
                  <pic:spPr>
                    <a:xfrm>
                      <a:off x="0" y="0"/>
                      <a:ext cx="5443220" cy="7410450"/>
                    </a:xfrm>
                    <a:prstGeom prst="rect">
                      <a:avLst/>
                    </a:prstGeom>
                    <a:noFill/>
                    <a:ln>
                      <a:noFill/>
                    </a:ln>
                  </pic:spPr>
                </pic:pic>
              </a:graphicData>
            </a:graphic>
          </wp:inline>
        </w:drawing>
      </w:r>
    </w:p>
    <w:p w14:paraId="2994DF29">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318760" cy="7339330"/>
            <wp:effectExtent l="0" t="0" r="15240" b="13970"/>
            <wp:docPr id="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
                    <pic:cNvPicPr>
                      <a:picLocks noChangeAspect="1"/>
                    </pic:cNvPicPr>
                  </pic:nvPicPr>
                  <pic:blipFill>
                    <a:blip r:embed="rId56"/>
                    <a:stretch>
                      <a:fillRect/>
                    </a:stretch>
                  </pic:blipFill>
                  <pic:spPr>
                    <a:xfrm>
                      <a:off x="0" y="0"/>
                      <a:ext cx="5318760" cy="7339330"/>
                    </a:xfrm>
                    <a:prstGeom prst="rect">
                      <a:avLst/>
                    </a:prstGeom>
                    <a:noFill/>
                    <a:ln>
                      <a:noFill/>
                    </a:ln>
                  </pic:spPr>
                </pic:pic>
              </a:graphicData>
            </a:graphic>
          </wp:inline>
        </w:drawing>
      </w:r>
    </w:p>
    <w:p w14:paraId="71C71EB8">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309870" cy="7245350"/>
            <wp:effectExtent l="0" t="0" r="5080" b="1270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57"/>
                    <a:stretch>
                      <a:fillRect/>
                    </a:stretch>
                  </pic:blipFill>
                  <pic:spPr>
                    <a:xfrm>
                      <a:off x="0" y="0"/>
                      <a:ext cx="5309870" cy="7245350"/>
                    </a:xfrm>
                    <a:prstGeom prst="rect">
                      <a:avLst/>
                    </a:prstGeom>
                    <a:noFill/>
                    <a:ln>
                      <a:noFill/>
                    </a:ln>
                  </pic:spPr>
                </pic:pic>
              </a:graphicData>
            </a:graphic>
          </wp:inline>
        </w:drawing>
      </w:r>
    </w:p>
    <w:p w14:paraId="51EAEF97">
      <w:pPr>
        <w:pStyle w:val="23"/>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rightChars="0"/>
        <w:jc w:val="both"/>
        <w:outlineLvl w:val="0"/>
        <w:rPr>
          <w:rFonts w:hint="default" w:ascii="Times New Roman" w:hAnsi="Times New Roman" w:eastAsia="宋体" w:cs="Times New Roman"/>
          <w:color w:val="auto"/>
          <w:spacing w:val="0"/>
          <w:position w:val="0"/>
          <w:highlight w:val="none"/>
        </w:rPr>
      </w:pPr>
    </w:p>
    <w:p w14:paraId="56B391ED">
      <w:pPr>
        <w:pStyle w:val="23"/>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rightChars="0"/>
        <w:jc w:val="both"/>
        <w:outlineLvl w:val="0"/>
        <w:rPr>
          <w:rFonts w:hint="default" w:ascii="Times New Roman" w:hAnsi="Times New Roman" w:eastAsia="宋体" w:cs="Times New Roman"/>
          <w:color w:val="auto"/>
          <w:spacing w:val="0"/>
          <w:position w:val="0"/>
          <w:highlight w:val="none"/>
        </w:rPr>
      </w:pPr>
    </w:p>
    <w:p w14:paraId="39ACD550">
      <w:pPr>
        <w:pStyle w:val="23"/>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rightChars="0"/>
        <w:jc w:val="both"/>
        <w:outlineLvl w:val="0"/>
        <w:rPr>
          <w:rFonts w:hint="default" w:ascii="Times New Roman" w:hAnsi="Times New Roman" w:eastAsia="宋体" w:cs="Times New Roman"/>
          <w:color w:val="auto"/>
          <w:spacing w:val="0"/>
          <w:position w:val="0"/>
          <w:highlight w:val="none"/>
        </w:rPr>
      </w:pPr>
    </w:p>
    <w:p w14:paraId="5F59D731">
      <w:pPr>
        <w:pStyle w:val="23"/>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rightChars="0"/>
        <w:jc w:val="both"/>
        <w:outlineLvl w:val="0"/>
        <w:rPr>
          <w:rFonts w:hint="default" w:ascii="Times New Roman" w:hAnsi="Times New Roman" w:eastAsia="宋体" w:cs="Times New Roman"/>
          <w:color w:val="auto"/>
          <w:spacing w:val="0"/>
          <w:position w:val="0"/>
          <w:highlight w:val="none"/>
        </w:rPr>
      </w:pPr>
    </w:p>
    <w:p w14:paraId="1196F960">
      <w:pPr>
        <w:pStyle w:val="23"/>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rightChars="0"/>
        <w:jc w:val="center"/>
        <w:outlineLvl w:val="0"/>
        <w:rPr>
          <w:rFonts w:hint="default" w:ascii="Times New Roman" w:hAnsi="Times New Roman" w:eastAsia="宋体" w:cs="Times New Roman"/>
          <w:b/>
          <w:bCs/>
          <w:snapToGrid w:val="0"/>
          <w:color w:val="auto"/>
          <w:spacing w:val="0"/>
          <w:position w:val="0"/>
          <w:sz w:val="21"/>
          <w:szCs w:val="21"/>
          <w:highlight w:val="none"/>
          <w:lang w:eastAsia="zh-CN"/>
        </w:rPr>
        <w:sectPr>
          <w:pgSz w:w="11849" w:h="16781"/>
          <w:pgMar w:top="1701" w:right="1531" w:bottom="1701" w:left="1531" w:header="851" w:footer="992" w:gutter="0"/>
          <w:pgBorders>
            <w:top w:val="none" w:sz="0" w:space="0"/>
            <w:left w:val="none" w:sz="0" w:space="0"/>
            <w:bottom w:val="none" w:sz="0" w:space="0"/>
            <w:right w:val="none" w:sz="0" w:space="0"/>
          </w:pgBorders>
          <w:pgNumType w:fmt="numberInDash"/>
          <w:cols w:space="0" w:num="1"/>
          <w:titlePg/>
          <w:rtlGutter w:val="0"/>
          <w:docGrid w:type="lines" w:linePitch="315" w:charSpace="0"/>
        </w:sectPr>
      </w:pPr>
    </w:p>
    <w:p w14:paraId="549C7152">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jc w:val="both"/>
        <w:textAlignment w:val="auto"/>
        <w:outlineLvl w:val="0"/>
        <w:rPr>
          <w:rFonts w:hint="default" w:ascii="Times New Roman" w:hAnsi="Times New Roman" w:cs="Times New Roman"/>
          <w:b/>
          <w:bCs/>
          <w:snapToGrid w:val="0"/>
          <w:color w:val="auto"/>
          <w:spacing w:val="0"/>
          <w:position w:val="0"/>
          <w:sz w:val="24"/>
          <w:szCs w:val="24"/>
          <w:highlight w:val="none"/>
          <w:lang w:val="en-US" w:eastAsia="zh-CN"/>
        </w:rPr>
      </w:pPr>
      <w:bookmarkStart w:id="41" w:name="_Toc2827"/>
      <w:r>
        <w:rPr>
          <w:rFonts w:hint="default" w:ascii="Times New Roman" w:hAnsi="Times New Roman" w:eastAsia="宋体" w:cs="Times New Roman"/>
          <w:b/>
          <w:bCs/>
          <w:snapToGrid w:val="0"/>
          <w:color w:val="auto"/>
          <w:spacing w:val="0"/>
          <w:position w:val="0"/>
          <w:sz w:val="24"/>
          <w:szCs w:val="24"/>
          <w:highlight w:val="none"/>
          <w:lang w:val="en-US" w:eastAsia="zh-CN"/>
        </w:rPr>
        <w:t>附件</w:t>
      </w:r>
      <w:r>
        <w:rPr>
          <w:rFonts w:hint="default" w:ascii="Times New Roman" w:hAnsi="Times New Roman" w:cs="Times New Roman"/>
          <w:b/>
          <w:bCs/>
          <w:snapToGrid w:val="0"/>
          <w:color w:val="auto"/>
          <w:spacing w:val="0"/>
          <w:position w:val="0"/>
          <w:sz w:val="24"/>
          <w:szCs w:val="24"/>
          <w:highlight w:val="none"/>
          <w:lang w:val="en-US" w:eastAsia="zh-CN"/>
        </w:rPr>
        <w:t>6 原有项目环评批复</w:t>
      </w:r>
      <w:bookmarkEnd w:id="41"/>
    </w:p>
    <w:p w14:paraId="53A7DE22">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jc w:val="both"/>
        <w:textAlignment w:val="auto"/>
        <w:outlineLvl w:val="9"/>
        <w:rPr>
          <w:rFonts w:hint="default" w:ascii="Times New Roman" w:hAnsi="Times New Roman" w:cs="Times New Roman"/>
          <w:b/>
          <w:bCs/>
          <w:snapToGrid w:val="0"/>
          <w:color w:val="auto"/>
          <w:spacing w:val="0"/>
          <w:position w:val="0"/>
          <w:sz w:val="24"/>
          <w:szCs w:val="24"/>
          <w:highlight w:val="none"/>
          <w:lang w:val="en-US" w:eastAsia="zh-CN"/>
        </w:rPr>
      </w:pPr>
      <w:r>
        <w:rPr>
          <w:rFonts w:hint="default" w:ascii="Times New Roman" w:hAnsi="Times New Roman" w:eastAsia="宋体" w:cs="Times New Roman"/>
          <w:b/>
          <w:bCs/>
          <w:snapToGrid w:val="0"/>
          <w:color w:val="auto"/>
          <w:spacing w:val="0"/>
          <w:position w:val="0"/>
          <w:sz w:val="21"/>
          <w:szCs w:val="21"/>
          <w:highlight w:val="none"/>
          <w:lang w:val="en-US" w:eastAsia="zh-CN"/>
        </w:rPr>
        <w:drawing>
          <wp:inline distT="0" distB="0" distL="114300" distR="114300">
            <wp:extent cx="5578475" cy="7571740"/>
            <wp:effectExtent l="0" t="0" r="3175" b="10160"/>
            <wp:docPr id="93" name="图片 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1"/>
                    <pic:cNvPicPr>
                      <a:picLocks noChangeAspect="1"/>
                    </pic:cNvPicPr>
                  </pic:nvPicPr>
                  <pic:blipFill>
                    <a:blip r:embed="rId58"/>
                    <a:stretch>
                      <a:fillRect/>
                    </a:stretch>
                  </pic:blipFill>
                  <pic:spPr>
                    <a:xfrm>
                      <a:off x="0" y="0"/>
                      <a:ext cx="5578475" cy="7571740"/>
                    </a:xfrm>
                    <a:prstGeom prst="rect">
                      <a:avLst/>
                    </a:prstGeom>
                  </pic:spPr>
                </pic:pic>
              </a:graphicData>
            </a:graphic>
          </wp:inline>
        </w:drawing>
      </w:r>
    </w:p>
    <w:p w14:paraId="0F065707">
      <w:pPr>
        <w:pStyle w:val="23"/>
        <w:keepNext w:val="0"/>
        <w:keepLines w:val="0"/>
        <w:pageBreakBefore w:val="0"/>
        <w:kinsoku/>
        <w:wordWrap/>
        <w:overflowPunct/>
        <w:topLinePunct w:val="0"/>
        <w:bidi w:val="0"/>
        <w:adjustRightInd w:val="0"/>
        <w:snapToGrid w:val="0"/>
        <w:spacing w:before="0" w:beforeAutospacing="0" w:after="0" w:afterAutospacing="0" w:line="360" w:lineRule="auto"/>
        <w:ind w:left="0" w:leftChars="0" w:right="0" w:rightChars="0"/>
        <w:jc w:val="both"/>
        <w:outlineLvl w:val="9"/>
        <w:rPr>
          <w:rFonts w:hint="default" w:ascii="Times New Roman" w:hAnsi="Times New Roman" w:eastAsia="宋体" w:cs="Times New Roman"/>
          <w:b/>
          <w:bCs/>
          <w:snapToGrid w:val="0"/>
          <w:color w:val="auto"/>
          <w:spacing w:val="0"/>
          <w:position w:val="0"/>
          <w:sz w:val="21"/>
          <w:szCs w:val="21"/>
          <w:highlight w:val="none"/>
          <w:lang w:val="en-US" w:eastAsia="zh-CN"/>
        </w:rPr>
        <w:sectPr>
          <w:pgSz w:w="11849" w:h="16781"/>
          <w:pgMar w:top="1701" w:right="1531" w:bottom="1701" w:left="1531" w:header="851" w:footer="992" w:gutter="0"/>
          <w:pgBorders>
            <w:top w:val="none" w:sz="0" w:space="0"/>
            <w:left w:val="none" w:sz="0" w:space="0"/>
            <w:bottom w:val="none" w:sz="0" w:space="0"/>
            <w:right w:val="none" w:sz="0" w:space="0"/>
          </w:pgBorders>
          <w:pgNumType w:fmt="numberInDash"/>
          <w:cols w:space="0" w:num="1"/>
          <w:titlePg/>
          <w:rtlGutter w:val="0"/>
          <w:docGrid w:type="lines" w:linePitch="315" w:charSpace="0"/>
        </w:sectPr>
      </w:pPr>
      <w:r>
        <w:rPr>
          <w:rFonts w:hint="default" w:ascii="Times New Roman" w:hAnsi="Times New Roman" w:eastAsia="宋体" w:cs="Times New Roman"/>
          <w:b/>
          <w:bCs/>
          <w:snapToGrid w:val="0"/>
          <w:color w:val="auto"/>
          <w:spacing w:val="0"/>
          <w:position w:val="0"/>
          <w:sz w:val="21"/>
          <w:szCs w:val="21"/>
          <w:highlight w:val="none"/>
          <w:lang w:val="en-US" w:eastAsia="zh-CN"/>
        </w:rPr>
        <w:drawing>
          <wp:inline distT="0" distB="0" distL="114300" distR="114300">
            <wp:extent cx="5568315" cy="7558405"/>
            <wp:effectExtent l="0" t="0" r="13335" b="4445"/>
            <wp:docPr id="92" name="图片 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2"/>
                    <pic:cNvPicPr>
                      <a:picLocks noChangeAspect="1"/>
                    </pic:cNvPicPr>
                  </pic:nvPicPr>
                  <pic:blipFill>
                    <a:blip r:embed="rId59"/>
                    <a:stretch>
                      <a:fillRect/>
                    </a:stretch>
                  </pic:blipFill>
                  <pic:spPr>
                    <a:xfrm>
                      <a:off x="0" y="0"/>
                      <a:ext cx="5568315" cy="7558405"/>
                    </a:xfrm>
                    <a:prstGeom prst="rect">
                      <a:avLst/>
                    </a:prstGeom>
                  </pic:spPr>
                </pic:pic>
              </a:graphicData>
            </a:graphic>
          </wp:inline>
        </w:drawing>
      </w:r>
      <w:r>
        <w:rPr>
          <w:rFonts w:hint="default" w:ascii="Times New Roman" w:hAnsi="Times New Roman" w:eastAsia="宋体" w:cs="Times New Roman"/>
          <w:b/>
          <w:bCs/>
          <w:snapToGrid w:val="0"/>
          <w:color w:val="auto"/>
          <w:spacing w:val="0"/>
          <w:position w:val="0"/>
          <w:sz w:val="21"/>
          <w:szCs w:val="21"/>
          <w:highlight w:val="none"/>
          <w:lang w:val="en-US" w:eastAsia="zh-CN"/>
        </w:rPr>
        <w:drawing>
          <wp:inline distT="0" distB="0" distL="114300" distR="114300">
            <wp:extent cx="5570220" cy="7550785"/>
            <wp:effectExtent l="0" t="0" r="11430" b="12065"/>
            <wp:docPr id="91" name="图片 9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3"/>
                    <pic:cNvPicPr>
                      <a:picLocks noChangeAspect="1"/>
                    </pic:cNvPicPr>
                  </pic:nvPicPr>
                  <pic:blipFill>
                    <a:blip r:embed="rId60"/>
                    <a:stretch>
                      <a:fillRect/>
                    </a:stretch>
                  </pic:blipFill>
                  <pic:spPr>
                    <a:xfrm>
                      <a:off x="0" y="0"/>
                      <a:ext cx="5570220" cy="7550785"/>
                    </a:xfrm>
                    <a:prstGeom prst="rect">
                      <a:avLst/>
                    </a:prstGeom>
                  </pic:spPr>
                </pic:pic>
              </a:graphicData>
            </a:graphic>
          </wp:inline>
        </w:drawing>
      </w:r>
    </w:p>
    <w:p w14:paraId="68C15419">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jc w:val="both"/>
        <w:textAlignment w:val="auto"/>
        <w:outlineLvl w:val="0"/>
        <w:rPr>
          <w:rFonts w:hint="default" w:ascii="Times New Roman" w:hAnsi="Times New Roman" w:eastAsia="宋体" w:cs="Times New Roman"/>
          <w:b/>
          <w:bCs/>
          <w:snapToGrid w:val="0"/>
          <w:color w:val="auto"/>
          <w:spacing w:val="0"/>
          <w:position w:val="0"/>
          <w:sz w:val="24"/>
          <w:szCs w:val="24"/>
          <w:highlight w:val="none"/>
          <w:lang w:val="en-US" w:eastAsia="zh-CN"/>
        </w:rPr>
      </w:pPr>
      <w:bookmarkStart w:id="42" w:name="_Toc25487"/>
      <w:r>
        <w:rPr>
          <w:rFonts w:hint="default" w:ascii="Times New Roman" w:hAnsi="Times New Roman" w:eastAsia="宋体" w:cs="Times New Roman"/>
          <w:b/>
          <w:bCs/>
          <w:snapToGrid w:val="0"/>
          <w:color w:val="auto"/>
          <w:spacing w:val="0"/>
          <w:position w:val="0"/>
          <w:sz w:val="24"/>
          <w:szCs w:val="24"/>
          <w:highlight w:val="none"/>
          <w:lang w:val="en-US" w:eastAsia="zh-CN"/>
        </w:rPr>
        <w:t>附件</w:t>
      </w:r>
      <w:r>
        <w:rPr>
          <w:rFonts w:hint="default" w:ascii="Times New Roman" w:hAnsi="Times New Roman" w:cs="Times New Roman"/>
          <w:b/>
          <w:bCs/>
          <w:snapToGrid w:val="0"/>
          <w:color w:val="auto"/>
          <w:spacing w:val="0"/>
          <w:position w:val="0"/>
          <w:sz w:val="24"/>
          <w:szCs w:val="24"/>
          <w:highlight w:val="none"/>
          <w:lang w:val="en-US" w:eastAsia="zh-CN"/>
        </w:rPr>
        <w:t>7 生态环境分区管控分析报告</w:t>
      </w:r>
      <w:bookmarkEnd w:id="42"/>
    </w:p>
    <w:p w14:paraId="11E60289">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bCs/>
          <w:snapToGrid w:val="0"/>
          <w:color w:val="auto"/>
          <w:spacing w:val="0"/>
          <w:position w:val="0"/>
          <w:sz w:val="24"/>
          <w:szCs w:val="24"/>
          <w:highlight w:val="none"/>
          <w:lang w:val="en-US" w:eastAsia="zh-CN"/>
        </w:rPr>
      </w:pPr>
      <w:r>
        <w:rPr>
          <w:rFonts w:hint="default" w:ascii="Times New Roman" w:hAnsi="Times New Roman" w:eastAsia="宋体" w:cs="Times New Roman"/>
          <w:b/>
          <w:bCs/>
          <w:snapToGrid w:val="0"/>
          <w:color w:val="auto"/>
          <w:spacing w:val="0"/>
          <w:position w:val="0"/>
          <w:sz w:val="24"/>
          <w:szCs w:val="24"/>
          <w:highlight w:val="none"/>
          <w:lang w:val="en-US" w:eastAsia="zh-CN"/>
        </w:rPr>
        <w:drawing>
          <wp:inline distT="0" distB="0" distL="114300" distR="114300">
            <wp:extent cx="7557135" cy="5344160"/>
            <wp:effectExtent l="0" t="0" r="5715" b="8890"/>
            <wp:docPr id="94" name="图片 94" descr="黑龙江龙粮油脂有限公司10万吨米糠及3万吨大豆制油加工_2026年04月09日162646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黑龙江龙粮油脂有限公司10万吨米糠及3万吨大豆制油加工_2026年04月09日162646_分析报告_01"/>
                    <pic:cNvPicPr>
                      <a:picLocks noChangeAspect="1"/>
                    </pic:cNvPicPr>
                  </pic:nvPicPr>
                  <pic:blipFill>
                    <a:blip r:embed="rId61"/>
                    <a:stretch>
                      <a:fillRect/>
                    </a:stretch>
                  </pic:blipFill>
                  <pic:spPr>
                    <a:xfrm>
                      <a:off x="0" y="0"/>
                      <a:ext cx="7557135" cy="5344160"/>
                    </a:xfrm>
                    <a:prstGeom prst="rect">
                      <a:avLst/>
                    </a:prstGeom>
                  </pic:spPr>
                </pic:pic>
              </a:graphicData>
            </a:graphic>
          </wp:inline>
        </w:drawing>
      </w:r>
    </w:p>
    <w:p w14:paraId="5F9CE491">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bCs/>
          <w:snapToGrid w:val="0"/>
          <w:color w:val="auto"/>
          <w:spacing w:val="0"/>
          <w:position w:val="0"/>
          <w:sz w:val="24"/>
          <w:szCs w:val="24"/>
          <w:highlight w:val="none"/>
          <w:lang w:val="en-US" w:eastAsia="zh-CN"/>
        </w:rPr>
        <w:sectPr>
          <w:pgSz w:w="16781" w:h="11849" w:orient="landscape"/>
          <w:pgMar w:top="1531" w:right="1701" w:bottom="1531" w:left="1701" w:header="851" w:footer="992" w:gutter="0"/>
          <w:pgBorders>
            <w:top w:val="none" w:sz="0" w:space="0"/>
            <w:left w:val="none" w:sz="0" w:space="0"/>
            <w:bottom w:val="none" w:sz="0" w:space="0"/>
            <w:right w:val="none" w:sz="0" w:space="0"/>
          </w:pgBorders>
          <w:pgNumType w:fmt="numberInDash"/>
          <w:cols w:space="0" w:num="1"/>
          <w:titlePg/>
          <w:rtlGutter w:val="0"/>
          <w:docGrid w:type="lines" w:linePitch="315" w:charSpace="0"/>
        </w:sectPr>
      </w:pPr>
      <w:r>
        <w:rPr>
          <w:rFonts w:hint="default" w:ascii="Times New Roman" w:hAnsi="Times New Roman" w:cs="Times New Roman"/>
          <w:b/>
          <w:bCs/>
          <w:snapToGrid w:val="0"/>
          <w:color w:val="auto"/>
          <w:spacing w:val="0"/>
          <w:position w:val="0"/>
          <w:sz w:val="24"/>
          <w:szCs w:val="24"/>
          <w:highlight w:val="none"/>
          <w:lang w:val="en-US" w:eastAsia="zh-CN"/>
        </w:rPr>
        <w:drawing>
          <wp:inline distT="0" distB="0" distL="114300" distR="114300">
            <wp:extent cx="7868920" cy="5564505"/>
            <wp:effectExtent l="0" t="0" r="17780" b="17145"/>
            <wp:docPr id="111" name="图片 111" descr="黑龙江龙粮油脂有限公司10万吨米糠及3万吨大豆制油加工_2026年04月09日162646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黑龙江龙粮油脂有限公司10万吨米糠及3万吨大豆制油加工_2026年04月09日162646_分析报告_02"/>
                    <pic:cNvPicPr>
                      <a:picLocks noChangeAspect="1"/>
                    </pic:cNvPicPr>
                  </pic:nvPicPr>
                  <pic:blipFill>
                    <a:blip r:embed="rId62"/>
                    <a:stretch>
                      <a:fillRect/>
                    </a:stretch>
                  </pic:blipFill>
                  <pic:spPr>
                    <a:xfrm>
                      <a:off x="0" y="0"/>
                      <a:ext cx="7868920" cy="5564505"/>
                    </a:xfrm>
                    <a:prstGeom prst="rect">
                      <a:avLst/>
                    </a:prstGeom>
                  </pic:spPr>
                </pic:pic>
              </a:graphicData>
            </a:graphic>
          </wp:inline>
        </w:drawing>
      </w:r>
      <w:r>
        <w:rPr>
          <w:rFonts w:hint="default" w:ascii="Times New Roman" w:hAnsi="Times New Roman" w:cs="Times New Roman"/>
          <w:b/>
          <w:bCs/>
          <w:snapToGrid w:val="0"/>
          <w:color w:val="auto"/>
          <w:spacing w:val="0"/>
          <w:position w:val="0"/>
          <w:sz w:val="24"/>
          <w:szCs w:val="24"/>
          <w:highlight w:val="none"/>
          <w:lang w:val="en-US" w:eastAsia="zh-CN"/>
        </w:rPr>
        <w:drawing>
          <wp:inline distT="0" distB="0" distL="114300" distR="114300">
            <wp:extent cx="7868920" cy="5564505"/>
            <wp:effectExtent l="0" t="0" r="17780" b="17145"/>
            <wp:docPr id="110" name="图片 110" descr="黑龙江龙粮油脂有限公司10万吨米糠及3万吨大豆制油加工_2026年04月09日162646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黑龙江龙粮油脂有限公司10万吨米糠及3万吨大豆制油加工_2026年04月09日162646_分析报告_03"/>
                    <pic:cNvPicPr>
                      <a:picLocks noChangeAspect="1"/>
                    </pic:cNvPicPr>
                  </pic:nvPicPr>
                  <pic:blipFill>
                    <a:blip r:embed="rId63"/>
                    <a:stretch>
                      <a:fillRect/>
                    </a:stretch>
                  </pic:blipFill>
                  <pic:spPr>
                    <a:xfrm>
                      <a:off x="0" y="0"/>
                      <a:ext cx="7868920" cy="5564505"/>
                    </a:xfrm>
                    <a:prstGeom prst="rect">
                      <a:avLst/>
                    </a:prstGeom>
                  </pic:spPr>
                </pic:pic>
              </a:graphicData>
            </a:graphic>
          </wp:inline>
        </w:drawing>
      </w:r>
      <w:r>
        <w:rPr>
          <w:rFonts w:hint="default" w:ascii="Times New Roman" w:hAnsi="Times New Roman" w:cs="Times New Roman"/>
          <w:b/>
          <w:bCs/>
          <w:snapToGrid w:val="0"/>
          <w:color w:val="auto"/>
          <w:spacing w:val="0"/>
          <w:position w:val="0"/>
          <w:sz w:val="24"/>
          <w:szCs w:val="24"/>
          <w:highlight w:val="none"/>
          <w:lang w:val="en-US" w:eastAsia="zh-CN"/>
        </w:rPr>
        <w:drawing>
          <wp:inline distT="0" distB="0" distL="114300" distR="114300">
            <wp:extent cx="7868920" cy="5564505"/>
            <wp:effectExtent l="0" t="0" r="17780" b="17145"/>
            <wp:docPr id="106" name="图片 106" descr="黑龙江龙粮油脂有限公司10万吨米糠及3万吨大豆制油加工_2026年04月09日162646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黑龙江龙粮油脂有限公司10万吨米糠及3万吨大豆制油加工_2026年04月09日162646_分析报告_04"/>
                    <pic:cNvPicPr>
                      <a:picLocks noChangeAspect="1"/>
                    </pic:cNvPicPr>
                  </pic:nvPicPr>
                  <pic:blipFill>
                    <a:blip r:embed="rId64"/>
                    <a:stretch>
                      <a:fillRect/>
                    </a:stretch>
                  </pic:blipFill>
                  <pic:spPr>
                    <a:xfrm>
                      <a:off x="0" y="0"/>
                      <a:ext cx="7868920" cy="5564505"/>
                    </a:xfrm>
                    <a:prstGeom prst="rect">
                      <a:avLst/>
                    </a:prstGeom>
                  </pic:spPr>
                </pic:pic>
              </a:graphicData>
            </a:graphic>
          </wp:inline>
        </w:drawing>
      </w:r>
      <w:r>
        <w:rPr>
          <w:rFonts w:hint="default" w:ascii="Times New Roman" w:hAnsi="Times New Roman" w:cs="Times New Roman"/>
          <w:b/>
          <w:bCs/>
          <w:snapToGrid w:val="0"/>
          <w:color w:val="auto"/>
          <w:spacing w:val="0"/>
          <w:position w:val="0"/>
          <w:sz w:val="24"/>
          <w:szCs w:val="24"/>
          <w:highlight w:val="none"/>
          <w:lang w:val="en-US" w:eastAsia="zh-CN"/>
        </w:rPr>
        <w:drawing>
          <wp:inline distT="0" distB="0" distL="114300" distR="114300">
            <wp:extent cx="7868920" cy="5564505"/>
            <wp:effectExtent l="0" t="0" r="17780" b="17145"/>
            <wp:docPr id="103" name="图片 103" descr="黑龙江龙粮油脂有限公司10万吨米糠及3万吨大豆制油加工_2026年04月09日162646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黑龙江龙粮油脂有限公司10万吨米糠及3万吨大豆制油加工_2026年04月09日162646_分析报告_05"/>
                    <pic:cNvPicPr>
                      <a:picLocks noChangeAspect="1"/>
                    </pic:cNvPicPr>
                  </pic:nvPicPr>
                  <pic:blipFill>
                    <a:blip r:embed="rId65"/>
                    <a:stretch>
                      <a:fillRect/>
                    </a:stretch>
                  </pic:blipFill>
                  <pic:spPr>
                    <a:xfrm>
                      <a:off x="0" y="0"/>
                      <a:ext cx="7868920" cy="5564505"/>
                    </a:xfrm>
                    <a:prstGeom prst="rect">
                      <a:avLst/>
                    </a:prstGeom>
                  </pic:spPr>
                </pic:pic>
              </a:graphicData>
            </a:graphic>
          </wp:inline>
        </w:drawing>
      </w:r>
      <w:r>
        <w:rPr>
          <w:rFonts w:hint="default" w:ascii="Times New Roman" w:hAnsi="Times New Roman" w:cs="Times New Roman"/>
          <w:b/>
          <w:bCs/>
          <w:snapToGrid w:val="0"/>
          <w:color w:val="auto"/>
          <w:spacing w:val="0"/>
          <w:position w:val="0"/>
          <w:sz w:val="24"/>
          <w:szCs w:val="24"/>
          <w:highlight w:val="none"/>
          <w:lang w:val="en-US" w:eastAsia="zh-CN"/>
        </w:rPr>
        <w:drawing>
          <wp:inline distT="0" distB="0" distL="114300" distR="114300">
            <wp:extent cx="7868920" cy="5564505"/>
            <wp:effectExtent l="0" t="0" r="17780" b="17145"/>
            <wp:docPr id="102" name="图片 102" descr="黑龙江龙粮油脂有限公司10万吨米糠及3万吨大豆制油加工_2026年04月09日162646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黑龙江龙粮油脂有限公司10万吨米糠及3万吨大豆制油加工_2026年04月09日162646_分析报告_06"/>
                    <pic:cNvPicPr>
                      <a:picLocks noChangeAspect="1"/>
                    </pic:cNvPicPr>
                  </pic:nvPicPr>
                  <pic:blipFill>
                    <a:blip r:embed="rId66"/>
                    <a:stretch>
                      <a:fillRect/>
                    </a:stretch>
                  </pic:blipFill>
                  <pic:spPr>
                    <a:xfrm>
                      <a:off x="0" y="0"/>
                      <a:ext cx="7868920" cy="5564505"/>
                    </a:xfrm>
                    <a:prstGeom prst="rect">
                      <a:avLst/>
                    </a:prstGeom>
                  </pic:spPr>
                </pic:pic>
              </a:graphicData>
            </a:graphic>
          </wp:inline>
        </w:drawing>
      </w:r>
      <w:r>
        <w:rPr>
          <w:rFonts w:hint="default" w:ascii="Times New Roman" w:hAnsi="Times New Roman" w:cs="Times New Roman"/>
          <w:b/>
          <w:bCs/>
          <w:snapToGrid w:val="0"/>
          <w:color w:val="auto"/>
          <w:spacing w:val="0"/>
          <w:position w:val="0"/>
          <w:sz w:val="24"/>
          <w:szCs w:val="24"/>
          <w:highlight w:val="none"/>
          <w:lang w:val="en-US" w:eastAsia="zh-CN"/>
        </w:rPr>
        <w:drawing>
          <wp:inline distT="0" distB="0" distL="114300" distR="114300">
            <wp:extent cx="7868920" cy="5564505"/>
            <wp:effectExtent l="0" t="0" r="17780" b="17145"/>
            <wp:docPr id="101" name="图片 101" descr="黑龙江龙粮油脂有限公司10万吨米糠及3万吨大豆制油加工_2026年04月09日162646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黑龙江龙粮油脂有限公司10万吨米糠及3万吨大豆制油加工_2026年04月09日162646_分析报告_07"/>
                    <pic:cNvPicPr>
                      <a:picLocks noChangeAspect="1"/>
                    </pic:cNvPicPr>
                  </pic:nvPicPr>
                  <pic:blipFill>
                    <a:blip r:embed="rId67"/>
                    <a:stretch>
                      <a:fillRect/>
                    </a:stretch>
                  </pic:blipFill>
                  <pic:spPr>
                    <a:xfrm>
                      <a:off x="0" y="0"/>
                      <a:ext cx="7868920" cy="5564505"/>
                    </a:xfrm>
                    <a:prstGeom prst="rect">
                      <a:avLst/>
                    </a:prstGeom>
                  </pic:spPr>
                </pic:pic>
              </a:graphicData>
            </a:graphic>
          </wp:inline>
        </w:drawing>
      </w:r>
      <w:r>
        <w:rPr>
          <w:rFonts w:hint="default" w:ascii="Times New Roman" w:hAnsi="Times New Roman" w:cs="Times New Roman"/>
          <w:b/>
          <w:bCs/>
          <w:snapToGrid w:val="0"/>
          <w:color w:val="auto"/>
          <w:spacing w:val="0"/>
          <w:position w:val="0"/>
          <w:sz w:val="24"/>
          <w:szCs w:val="24"/>
          <w:highlight w:val="none"/>
          <w:lang w:val="en-US" w:eastAsia="zh-CN"/>
        </w:rPr>
        <w:drawing>
          <wp:inline distT="0" distB="0" distL="114300" distR="114300">
            <wp:extent cx="7868920" cy="5564505"/>
            <wp:effectExtent l="0" t="0" r="17780" b="17145"/>
            <wp:docPr id="100" name="图片 100" descr="黑龙江龙粮油脂有限公司10万吨米糠及3万吨大豆制油加工_2026年04月09日162646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黑龙江龙粮油脂有限公司10万吨米糠及3万吨大豆制油加工_2026年04月09日162646_分析报告_08"/>
                    <pic:cNvPicPr>
                      <a:picLocks noChangeAspect="1"/>
                    </pic:cNvPicPr>
                  </pic:nvPicPr>
                  <pic:blipFill>
                    <a:blip r:embed="rId68"/>
                    <a:stretch>
                      <a:fillRect/>
                    </a:stretch>
                  </pic:blipFill>
                  <pic:spPr>
                    <a:xfrm>
                      <a:off x="0" y="0"/>
                      <a:ext cx="7868920" cy="5564505"/>
                    </a:xfrm>
                    <a:prstGeom prst="rect">
                      <a:avLst/>
                    </a:prstGeom>
                  </pic:spPr>
                </pic:pic>
              </a:graphicData>
            </a:graphic>
          </wp:inline>
        </w:drawing>
      </w:r>
      <w:r>
        <w:rPr>
          <w:rFonts w:hint="default" w:ascii="Times New Roman" w:hAnsi="Times New Roman" w:cs="Times New Roman"/>
          <w:b/>
          <w:bCs/>
          <w:snapToGrid w:val="0"/>
          <w:color w:val="auto"/>
          <w:spacing w:val="0"/>
          <w:position w:val="0"/>
          <w:sz w:val="24"/>
          <w:szCs w:val="24"/>
          <w:highlight w:val="none"/>
          <w:lang w:val="en-US" w:eastAsia="zh-CN"/>
        </w:rPr>
        <w:drawing>
          <wp:inline distT="0" distB="0" distL="114300" distR="114300">
            <wp:extent cx="7868920" cy="5564505"/>
            <wp:effectExtent l="0" t="0" r="17780" b="17145"/>
            <wp:docPr id="99" name="图片 99" descr="黑龙江龙粮油脂有限公司10万吨米糠及3万吨大豆制油加工_2026年04月09日162646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黑龙江龙粮油脂有限公司10万吨米糠及3万吨大豆制油加工_2026年04月09日162646_分析报告_09"/>
                    <pic:cNvPicPr>
                      <a:picLocks noChangeAspect="1"/>
                    </pic:cNvPicPr>
                  </pic:nvPicPr>
                  <pic:blipFill>
                    <a:blip r:embed="rId69"/>
                    <a:stretch>
                      <a:fillRect/>
                    </a:stretch>
                  </pic:blipFill>
                  <pic:spPr>
                    <a:xfrm>
                      <a:off x="0" y="0"/>
                      <a:ext cx="7868920" cy="5564505"/>
                    </a:xfrm>
                    <a:prstGeom prst="rect">
                      <a:avLst/>
                    </a:prstGeom>
                  </pic:spPr>
                </pic:pic>
              </a:graphicData>
            </a:graphic>
          </wp:inline>
        </w:drawing>
      </w:r>
      <w:r>
        <w:rPr>
          <w:rFonts w:hint="default" w:ascii="Times New Roman" w:hAnsi="Times New Roman" w:cs="Times New Roman"/>
          <w:b/>
          <w:bCs/>
          <w:snapToGrid w:val="0"/>
          <w:color w:val="auto"/>
          <w:spacing w:val="0"/>
          <w:position w:val="0"/>
          <w:sz w:val="24"/>
          <w:szCs w:val="24"/>
          <w:highlight w:val="none"/>
          <w:lang w:val="en-US" w:eastAsia="zh-CN"/>
        </w:rPr>
        <w:drawing>
          <wp:inline distT="0" distB="0" distL="114300" distR="114300">
            <wp:extent cx="7868920" cy="5564505"/>
            <wp:effectExtent l="0" t="0" r="17780" b="17145"/>
            <wp:docPr id="98" name="图片 98" descr="黑龙江龙粮油脂有限公司10万吨米糠及3万吨大豆制油加工_2026年04月09日162646_分析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黑龙江龙粮油脂有限公司10万吨米糠及3万吨大豆制油加工_2026年04月09日162646_分析报告_10"/>
                    <pic:cNvPicPr>
                      <a:picLocks noChangeAspect="1"/>
                    </pic:cNvPicPr>
                  </pic:nvPicPr>
                  <pic:blipFill>
                    <a:blip r:embed="rId70"/>
                    <a:stretch>
                      <a:fillRect/>
                    </a:stretch>
                  </pic:blipFill>
                  <pic:spPr>
                    <a:xfrm>
                      <a:off x="0" y="0"/>
                      <a:ext cx="7868920" cy="5564505"/>
                    </a:xfrm>
                    <a:prstGeom prst="rect">
                      <a:avLst/>
                    </a:prstGeom>
                  </pic:spPr>
                </pic:pic>
              </a:graphicData>
            </a:graphic>
          </wp:inline>
        </w:drawing>
      </w:r>
      <w:r>
        <w:rPr>
          <w:rFonts w:hint="default" w:ascii="Times New Roman" w:hAnsi="Times New Roman" w:cs="Times New Roman"/>
          <w:b/>
          <w:bCs/>
          <w:snapToGrid w:val="0"/>
          <w:color w:val="auto"/>
          <w:spacing w:val="0"/>
          <w:position w:val="0"/>
          <w:sz w:val="24"/>
          <w:szCs w:val="24"/>
          <w:highlight w:val="none"/>
          <w:lang w:val="en-US" w:eastAsia="zh-CN"/>
        </w:rPr>
        <w:drawing>
          <wp:inline distT="0" distB="0" distL="114300" distR="114300">
            <wp:extent cx="7868920" cy="5564505"/>
            <wp:effectExtent l="0" t="0" r="17780" b="17145"/>
            <wp:docPr id="97" name="图片 97" descr="黑龙江龙粮油脂有限公司10万吨米糠及3万吨大豆制油加工_2026年04月09日162646_分析报告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黑龙江龙粮油脂有限公司10万吨米糠及3万吨大豆制油加工_2026年04月09日162646_分析报告_11"/>
                    <pic:cNvPicPr>
                      <a:picLocks noChangeAspect="1"/>
                    </pic:cNvPicPr>
                  </pic:nvPicPr>
                  <pic:blipFill>
                    <a:blip r:embed="rId71"/>
                    <a:stretch>
                      <a:fillRect/>
                    </a:stretch>
                  </pic:blipFill>
                  <pic:spPr>
                    <a:xfrm>
                      <a:off x="0" y="0"/>
                      <a:ext cx="7868920" cy="5564505"/>
                    </a:xfrm>
                    <a:prstGeom prst="rect">
                      <a:avLst/>
                    </a:prstGeom>
                  </pic:spPr>
                </pic:pic>
              </a:graphicData>
            </a:graphic>
          </wp:inline>
        </w:drawing>
      </w:r>
      <w:r>
        <w:rPr>
          <w:rFonts w:hint="default" w:ascii="Times New Roman" w:hAnsi="Times New Roman" w:cs="Times New Roman"/>
          <w:b/>
          <w:bCs/>
          <w:snapToGrid w:val="0"/>
          <w:color w:val="auto"/>
          <w:spacing w:val="0"/>
          <w:position w:val="0"/>
          <w:sz w:val="24"/>
          <w:szCs w:val="24"/>
          <w:highlight w:val="none"/>
          <w:lang w:val="en-US" w:eastAsia="zh-CN"/>
        </w:rPr>
        <w:drawing>
          <wp:inline distT="0" distB="0" distL="114300" distR="114300">
            <wp:extent cx="7868920" cy="5564505"/>
            <wp:effectExtent l="0" t="0" r="17780" b="17145"/>
            <wp:docPr id="96" name="图片 96" descr="黑龙江龙粮油脂有限公司10万吨米糠及3万吨大豆制油加工_2026年04月09日162646_分析报告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黑龙江龙粮油脂有限公司10万吨米糠及3万吨大豆制油加工_2026年04月09日162646_分析报告_12"/>
                    <pic:cNvPicPr>
                      <a:picLocks noChangeAspect="1"/>
                    </pic:cNvPicPr>
                  </pic:nvPicPr>
                  <pic:blipFill>
                    <a:blip r:embed="rId72"/>
                    <a:stretch>
                      <a:fillRect/>
                    </a:stretch>
                  </pic:blipFill>
                  <pic:spPr>
                    <a:xfrm>
                      <a:off x="0" y="0"/>
                      <a:ext cx="7868920" cy="5564505"/>
                    </a:xfrm>
                    <a:prstGeom prst="rect">
                      <a:avLst/>
                    </a:prstGeom>
                  </pic:spPr>
                </pic:pic>
              </a:graphicData>
            </a:graphic>
          </wp:inline>
        </w:drawing>
      </w:r>
      <w:r>
        <w:rPr>
          <w:rFonts w:hint="default" w:ascii="Times New Roman" w:hAnsi="Times New Roman" w:cs="Times New Roman"/>
          <w:b/>
          <w:bCs/>
          <w:snapToGrid w:val="0"/>
          <w:color w:val="auto"/>
          <w:spacing w:val="0"/>
          <w:position w:val="0"/>
          <w:sz w:val="24"/>
          <w:szCs w:val="24"/>
          <w:highlight w:val="none"/>
          <w:lang w:val="en-US" w:eastAsia="zh-CN"/>
        </w:rPr>
        <w:drawing>
          <wp:inline distT="0" distB="0" distL="114300" distR="114300">
            <wp:extent cx="7868920" cy="5564505"/>
            <wp:effectExtent l="0" t="0" r="17780" b="17145"/>
            <wp:docPr id="95" name="图片 95" descr="黑龙江龙粮油脂有限公司10万吨米糠及3万吨大豆制油加工_2026年04月09日162646_分析报告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黑龙江龙粮油脂有限公司10万吨米糠及3万吨大豆制油加工_2026年04月09日162646_分析报告_13"/>
                    <pic:cNvPicPr>
                      <a:picLocks noChangeAspect="1"/>
                    </pic:cNvPicPr>
                  </pic:nvPicPr>
                  <pic:blipFill>
                    <a:blip r:embed="rId73"/>
                    <a:stretch>
                      <a:fillRect/>
                    </a:stretch>
                  </pic:blipFill>
                  <pic:spPr>
                    <a:xfrm>
                      <a:off x="0" y="0"/>
                      <a:ext cx="7868920" cy="5564505"/>
                    </a:xfrm>
                    <a:prstGeom prst="rect">
                      <a:avLst/>
                    </a:prstGeom>
                  </pic:spPr>
                </pic:pic>
              </a:graphicData>
            </a:graphic>
          </wp:inline>
        </w:drawing>
      </w:r>
    </w:p>
    <w:p w14:paraId="0D1C40B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0"/>
        <w:rPr>
          <w:rFonts w:hint="default" w:ascii="Times New Roman" w:hAnsi="Times New Roman" w:eastAsia="宋体" w:cs="Times New Roman"/>
          <w:color w:val="auto"/>
          <w:sz w:val="24"/>
          <w:szCs w:val="24"/>
          <w:highlight w:val="none"/>
        </w:rPr>
      </w:pPr>
      <w:bookmarkStart w:id="43" w:name="_Toc19739"/>
      <w:bookmarkStart w:id="44" w:name="_Toc6179"/>
      <w:bookmarkStart w:id="45" w:name="_Hlk527398068"/>
      <w:r>
        <w:rPr>
          <w:rFonts w:hint="default" w:ascii="Times New Roman" w:hAnsi="Times New Roman" w:eastAsia="宋体" w:cs="Times New Roman"/>
          <w:b/>
          <w:bCs/>
          <w:color w:val="auto"/>
          <w:spacing w:val="0"/>
          <w:w w:val="100"/>
          <w:kern w:val="0"/>
          <w:sz w:val="24"/>
          <w:szCs w:val="24"/>
          <w:highlight w:val="none"/>
          <w:lang w:val="en-US" w:eastAsia="zh-CN"/>
        </w:rPr>
        <w:t>附件</w:t>
      </w:r>
      <w:r>
        <w:rPr>
          <w:rFonts w:hint="default" w:ascii="Times New Roman" w:hAnsi="Times New Roman" w:cs="Times New Roman"/>
          <w:b/>
          <w:bCs/>
          <w:color w:val="auto"/>
          <w:spacing w:val="0"/>
          <w:w w:val="100"/>
          <w:kern w:val="0"/>
          <w:sz w:val="24"/>
          <w:szCs w:val="24"/>
          <w:highlight w:val="none"/>
          <w:lang w:val="en-US" w:eastAsia="zh-CN"/>
        </w:rPr>
        <w:t xml:space="preserve">8 </w:t>
      </w:r>
      <w:r>
        <w:rPr>
          <w:rStyle w:val="32"/>
          <w:rFonts w:hint="default" w:ascii="Times New Roman" w:hAnsi="Times New Roman" w:eastAsia="宋体" w:cs="Times New Roman"/>
          <w:b/>
          <w:bCs/>
          <w:color w:val="auto"/>
          <w:spacing w:val="0"/>
          <w:w w:val="100"/>
          <w:kern w:val="0"/>
          <w:sz w:val="24"/>
          <w:szCs w:val="24"/>
          <w:highlight w:val="none"/>
          <w:shd w:val="clear" w:color="auto" w:fill="FFFFFF"/>
        </w:rPr>
        <w:t>环境风险专项评价</w:t>
      </w:r>
      <w:bookmarkEnd w:id="43"/>
      <w:bookmarkEnd w:id="44"/>
    </w:p>
    <w:p w14:paraId="3AFCE0B7">
      <w:pPr>
        <w:keepNext w:val="0"/>
        <w:keepLines w:val="0"/>
        <w:pageBreakBefore w:val="0"/>
        <w:kinsoku/>
        <w:wordWrap/>
        <w:overflowPunct/>
        <w:topLinePunct w:val="0"/>
        <w:bidi w:val="0"/>
        <w:adjustRightInd w:val="0"/>
        <w:snapToGrid w:val="0"/>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p>
    <w:p w14:paraId="6FA6D668">
      <w:pPr>
        <w:keepNext w:val="0"/>
        <w:keepLines w:val="0"/>
        <w:pageBreakBefore w:val="0"/>
        <w:kinsoku/>
        <w:wordWrap/>
        <w:overflowPunct/>
        <w:topLinePunct w:val="0"/>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p>
    <w:p w14:paraId="34E14782">
      <w:pPr>
        <w:keepNext w:val="0"/>
        <w:keepLines w:val="0"/>
        <w:pageBreakBefore w:val="0"/>
        <w:kinsoku/>
        <w:wordWrap/>
        <w:overflowPunct/>
        <w:topLinePunct w:val="0"/>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p>
    <w:p w14:paraId="20CBAAEF">
      <w:pPr>
        <w:keepNext w:val="0"/>
        <w:keepLines w:val="0"/>
        <w:pageBreakBefore w:val="0"/>
        <w:kinsoku/>
        <w:wordWrap/>
        <w:overflowPunct/>
        <w:topLinePunct w:val="0"/>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p>
    <w:p w14:paraId="5AFE2921">
      <w:pPr>
        <w:pStyle w:val="50"/>
        <w:keepNext w:val="0"/>
        <w:keepLines w:val="0"/>
        <w:pageBreakBefore w:val="0"/>
        <w:kinsoku/>
        <w:wordWrap/>
        <w:overflowPunct/>
        <w:topLinePunct w:val="0"/>
        <w:bidi w:val="0"/>
        <w:adjustRightInd w:val="0"/>
        <w:snapToGrid w:val="0"/>
        <w:ind w:left="0" w:leftChars="0" w:right="0" w:rightChars="0" w:firstLine="0" w:firstLineChars="0"/>
        <w:jc w:val="center"/>
        <w:textAlignment w:val="auto"/>
        <w:rPr>
          <w:rFonts w:hint="default" w:ascii="Times New Roman" w:hAnsi="Times New Roman" w:eastAsia="宋体" w:cs="Times New Roman"/>
          <w:color w:val="auto"/>
          <w:highlight w:val="none"/>
        </w:rPr>
      </w:pPr>
    </w:p>
    <w:p w14:paraId="1DDC12CF">
      <w:pPr>
        <w:keepNext w:val="0"/>
        <w:keepLines w:val="0"/>
        <w:pageBreakBefore w:val="0"/>
        <w:kinsoku/>
        <w:wordWrap/>
        <w:overflowPunct/>
        <w:topLinePunct w:val="0"/>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56"/>
          <w:szCs w:val="56"/>
          <w:highlight w:val="none"/>
          <w:lang w:val="en-US" w:eastAsia="zh-CN"/>
        </w:rPr>
      </w:pPr>
      <w:r>
        <w:rPr>
          <w:rFonts w:hint="default" w:ascii="Times New Roman" w:hAnsi="Times New Roman" w:eastAsia="宋体" w:cs="Times New Roman"/>
          <w:bCs/>
          <w:color w:val="auto"/>
          <w:sz w:val="56"/>
          <w:szCs w:val="56"/>
          <w:highlight w:val="none"/>
          <w:lang w:val="en-US" w:eastAsia="zh-CN"/>
        </w:rPr>
        <w:t>黑龙江龙粮油脂有限公司10万吨米糠及3万吨大豆制油加工项目</w:t>
      </w:r>
    </w:p>
    <w:p w14:paraId="7ABF88CB">
      <w:pPr>
        <w:keepNext w:val="0"/>
        <w:keepLines w:val="0"/>
        <w:pageBreakBefore w:val="0"/>
        <w:kinsoku/>
        <w:wordWrap/>
        <w:overflowPunct/>
        <w:topLinePunct w:val="0"/>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56"/>
          <w:szCs w:val="56"/>
          <w:highlight w:val="none"/>
        </w:rPr>
      </w:pPr>
      <w:r>
        <w:rPr>
          <w:rFonts w:hint="default" w:ascii="Times New Roman" w:hAnsi="Times New Roman" w:eastAsia="宋体" w:cs="Times New Roman"/>
          <w:bCs/>
          <w:color w:val="auto"/>
          <w:sz w:val="56"/>
          <w:szCs w:val="56"/>
          <w:highlight w:val="none"/>
          <w:lang w:val="en-US" w:eastAsia="zh-CN"/>
        </w:rPr>
        <w:t>环境风险专项评价</w:t>
      </w:r>
    </w:p>
    <w:p w14:paraId="647BF9EF">
      <w:pPr>
        <w:keepNext w:val="0"/>
        <w:keepLines w:val="0"/>
        <w:pageBreakBefore w:val="0"/>
        <w:kinsoku/>
        <w:wordWrap/>
        <w:overflowPunct/>
        <w:topLinePunct w:val="0"/>
        <w:bidi w:val="0"/>
        <w:adjustRightInd w:val="0"/>
        <w:snapToGrid w:val="0"/>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p>
    <w:p w14:paraId="36435711">
      <w:pPr>
        <w:keepNext w:val="0"/>
        <w:keepLines w:val="0"/>
        <w:pageBreakBefore w:val="0"/>
        <w:kinsoku/>
        <w:wordWrap/>
        <w:overflowPunct/>
        <w:topLinePunct w:val="0"/>
        <w:bidi w:val="0"/>
        <w:adjustRightInd w:val="0"/>
        <w:snapToGrid w:val="0"/>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p>
    <w:p w14:paraId="0E16F497">
      <w:pPr>
        <w:keepNext w:val="0"/>
        <w:keepLines w:val="0"/>
        <w:pageBreakBefore w:val="0"/>
        <w:widowControl/>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p>
    <w:p w14:paraId="4FE8E3C9">
      <w:pPr>
        <w:keepNext w:val="0"/>
        <w:keepLines w:val="0"/>
        <w:pageBreakBefore w:val="0"/>
        <w:kinsoku/>
        <w:wordWrap/>
        <w:overflowPunct/>
        <w:topLinePunct w:val="0"/>
        <w:bidi w:val="0"/>
        <w:adjustRightInd w:val="0"/>
        <w:snapToGrid w:val="0"/>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p>
    <w:p w14:paraId="78717940">
      <w:pPr>
        <w:keepNext w:val="0"/>
        <w:keepLines w:val="0"/>
        <w:pageBreakBefore w:val="0"/>
        <w:widowControl/>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p>
    <w:p w14:paraId="61014E0C">
      <w:pPr>
        <w:keepNext w:val="0"/>
        <w:keepLines w:val="0"/>
        <w:pageBreakBefore w:val="0"/>
        <w:kinsoku/>
        <w:wordWrap/>
        <w:overflowPunct/>
        <w:topLinePunct w:val="0"/>
        <w:bidi w:val="0"/>
        <w:adjustRightInd w:val="0"/>
        <w:snapToGrid w:val="0"/>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p>
    <w:p w14:paraId="510E4717">
      <w:pPr>
        <w:keepNext w:val="0"/>
        <w:keepLines w:val="0"/>
        <w:pageBreakBefore w:val="0"/>
        <w:kinsoku/>
        <w:wordWrap/>
        <w:overflowPunct/>
        <w:topLinePunct w:val="0"/>
        <w:bidi w:val="0"/>
        <w:adjustRightInd w:val="0"/>
        <w:snapToGrid w:val="0"/>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p>
    <w:p w14:paraId="186491AE">
      <w:pPr>
        <w:pStyle w:val="50"/>
        <w:keepNext w:val="0"/>
        <w:keepLines w:val="0"/>
        <w:pageBreakBefore w:val="0"/>
        <w:kinsoku/>
        <w:wordWrap/>
        <w:overflowPunct/>
        <w:topLinePunct w:val="0"/>
        <w:bidi w:val="0"/>
        <w:adjustRightInd w:val="0"/>
        <w:snapToGrid w:val="0"/>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p>
    <w:p w14:paraId="63DE63E2">
      <w:pPr>
        <w:pStyle w:val="52"/>
        <w:keepNext w:val="0"/>
        <w:keepLines w:val="0"/>
        <w:pageBreakBefore w:val="0"/>
        <w:kinsoku/>
        <w:wordWrap/>
        <w:overflowPunct/>
        <w:topLinePunct w:val="0"/>
        <w:bidi w:val="0"/>
        <w:adjustRightInd w:val="0"/>
        <w:snapToGrid w:val="0"/>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p>
    <w:p w14:paraId="435E97FA">
      <w:pPr>
        <w:keepNext w:val="0"/>
        <w:keepLines w:val="0"/>
        <w:pageBreakBefore w:val="0"/>
        <w:kinsoku/>
        <w:wordWrap/>
        <w:overflowPunct/>
        <w:topLinePunct w:val="0"/>
        <w:bidi w:val="0"/>
        <w:adjustRightInd w:val="0"/>
        <w:snapToGrid w:val="0"/>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p>
    <w:p w14:paraId="665A4266">
      <w:pPr>
        <w:pStyle w:val="50"/>
        <w:keepNext w:val="0"/>
        <w:keepLines w:val="0"/>
        <w:pageBreakBefore w:val="0"/>
        <w:kinsoku/>
        <w:wordWrap/>
        <w:overflowPunct/>
        <w:topLinePunct w:val="0"/>
        <w:bidi w:val="0"/>
        <w:adjustRightInd w:val="0"/>
        <w:snapToGrid w:val="0"/>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p>
    <w:p w14:paraId="57A8F5E7">
      <w:pPr>
        <w:pStyle w:val="52"/>
        <w:keepNext w:val="0"/>
        <w:keepLines w:val="0"/>
        <w:pageBreakBefore w:val="0"/>
        <w:kinsoku/>
        <w:wordWrap/>
        <w:overflowPunct/>
        <w:topLinePunct w:val="0"/>
        <w:bidi w:val="0"/>
        <w:adjustRightInd w:val="0"/>
        <w:snapToGrid w:val="0"/>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p>
    <w:p w14:paraId="00B7C364">
      <w:pPr>
        <w:keepNext w:val="0"/>
        <w:keepLines w:val="0"/>
        <w:pageBreakBefore w:val="0"/>
        <w:widowControl/>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p>
    <w:p w14:paraId="7BE21CD9">
      <w:pPr>
        <w:pageBreakBefore w:val="0"/>
        <w:kinsoku/>
        <w:bidi w:val="0"/>
        <w:adjustRightInd w:val="0"/>
        <w:snapToGrid w:val="0"/>
        <w:spacing w:line="288" w:lineRule="auto"/>
        <w:ind w:left="0" w:leftChars="0" w:right="0" w:rightChars="0" w:firstLine="0" w:firstLineChars="0"/>
        <w:jc w:val="center"/>
        <w:outlineLvl w:val="9"/>
        <w:rPr>
          <w:rFonts w:hint="default" w:ascii="Times New Roman" w:hAnsi="Times New Roman" w:eastAsia="宋体" w:cs="Times New Roman"/>
          <w:color w:val="auto"/>
          <w:sz w:val="36"/>
          <w:szCs w:val="36"/>
          <w:highlight w:val="none"/>
          <w:u w:val="single"/>
          <w:lang w:val="en-US" w:eastAsia="zh-CN"/>
        </w:rPr>
      </w:pPr>
      <w:r>
        <w:rPr>
          <w:rFonts w:hint="default" w:ascii="Times New Roman" w:hAnsi="Times New Roman" w:eastAsia="宋体" w:cs="Times New Roman"/>
          <w:color w:val="auto"/>
          <w:sz w:val="36"/>
          <w:szCs w:val="36"/>
          <w:highlight w:val="none"/>
          <w:u w:val="single"/>
          <w:lang w:val="en-US" w:eastAsia="zh-CN"/>
        </w:rPr>
        <w:t>项目名称：黑龙江龙粮油脂有限公司10万吨米糠及3万吨大豆制油加工项目</w:t>
      </w:r>
    </w:p>
    <w:p w14:paraId="36E33F00">
      <w:pPr>
        <w:pageBreakBefore w:val="0"/>
        <w:kinsoku/>
        <w:bidi w:val="0"/>
        <w:adjustRightInd w:val="0"/>
        <w:snapToGrid w:val="0"/>
        <w:spacing w:line="288" w:lineRule="auto"/>
        <w:ind w:left="0" w:leftChars="0" w:right="0" w:rightChars="0" w:firstLine="0" w:firstLineChars="0"/>
        <w:jc w:val="center"/>
        <w:outlineLvl w:val="9"/>
        <w:rPr>
          <w:rFonts w:hint="default" w:ascii="Times New Roman" w:hAnsi="Times New Roman" w:eastAsia="宋体" w:cs="Times New Roman"/>
          <w:color w:val="auto"/>
          <w:sz w:val="36"/>
          <w:szCs w:val="36"/>
          <w:highlight w:val="none"/>
          <w:u w:val="single"/>
          <w:lang w:val="en-US" w:eastAsia="zh-CN"/>
        </w:rPr>
      </w:pPr>
      <w:r>
        <w:rPr>
          <w:rFonts w:hint="default" w:ascii="Times New Roman" w:hAnsi="Times New Roman" w:eastAsia="宋体" w:cs="Times New Roman"/>
          <w:color w:val="auto"/>
          <w:sz w:val="36"/>
          <w:szCs w:val="36"/>
          <w:highlight w:val="none"/>
          <w:u w:val="single"/>
          <w:lang w:val="en-US" w:eastAsia="zh-CN"/>
        </w:rPr>
        <w:t>建设单位（盖章）：黑龙江龙粮油脂有限公司</w:t>
      </w:r>
    </w:p>
    <w:p w14:paraId="289F25C3">
      <w:pPr>
        <w:pageBreakBefore w:val="0"/>
        <w:kinsoku/>
        <w:bidi w:val="0"/>
        <w:adjustRightInd w:val="0"/>
        <w:snapToGrid w:val="0"/>
        <w:spacing w:line="288" w:lineRule="auto"/>
        <w:ind w:left="0" w:leftChars="0" w:right="0" w:rightChars="0" w:firstLine="0" w:firstLineChars="0"/>
        <w:jc w:val="center"/>
        <w:outlineLvl w:val="9"/>
        <w:rPr>
          <w:rFonts w:hint="default" w:ascii="Times New Roman" w:hAnsi="Times New Roman" w:eastAsia="宋体" w:cs="Times New Roman"/>
          <w:color w:val="auto"/>
          <w:sz w:val="36"/>
          <w:szCs w:val="36"/>
          <w:highlight w:val="none"/>
          <w:u w:val="single"/>
          <w:lang w:val="en-US" w:eastAsia="zh-CN"/>
        </w:rPr>
      </w:pPr>
      <w:r>
        <w:rPr>
          <w:rFonts w:hint="default" w:ascii="Times New Roman" w:hAnsi="Times New Roman" w:eastAsia="宋体" w:cs="Times New Roman"/>
          <w:color w:val="auto"/>
          <w:sz w:val="36"/>
          <w:szCs w:val="36"/>
          <w:highlight w:val="none"/>
          <w:u w:val="single"/>
          <w:lang w:val="en-US" w:eastAsia="zh-CN"/>
        </w:rPr>
        <w:t>编制日期：2026年4月</w:t>
      </w:r>
    </w:p>
    <w:p w14:paraId="17F3EFF3">
      <w:pPr>
        <w:pageBreakBefore w:val="0"/>
        <w:kinsoku/>
        <w:bidi w:val="0"/>
        <w:adjustRightInd w:val="0"/>
        <w:snapToGrid w:val="0"/>
        <w:ind w:left="0" w:leftChars="0" w:right="0" w:rightChars="0" w:firstLine="0" w:firstLineChars="0"/>
        <w:rPr>
          <w:rFonts w:hint="default" w:ascii="Times New Roman" w:hAnsi="Times New Roman" w:eastAsia="宋体" w:cs="Times New Roman"/>
          <w:color w:val="auto"/>
          <w:sz w:val="24"/>
          <w:szCs w:val="24"/>
          <w:highlight w:val="none"/>
        </w:rPr>
      </w:pPr>
    </w:p>
    <w:p w14:paraId="351BDB21">
      <w:pPr>
        <w:pageBreakBefore w:val="0"/>
        <w:widowControl/>
        <w:kinsoku/>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4"/>
          <w:szCs w:val="24"/>
          <w:highlight w:val="none"/>
        </w:rPr>
      </w:pPr>
    </w:p>
    <w:p w14:paraId="1249568F">
      <w:pPr>
        <w:pageBreakBefore w:val="0"/>
        <w:widowControl/>
        <w:kinsoku/>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4"/>
          <w:szCs w:val="24"/>
          <w:highlight w:val="none"/>
        </w:rPr>
      </w:pPr>
    </w:p>
    <w:p w14:paraId="326071E4">
      <w:pPr>
        <w:pageBreakBefore w:val="0"/>
        <w:kinsoku/>
        <w:bidi w:val="0"/>
        <w:adjustRightInd w:val="0"/>
        <w:snapToGrid w:val="0"/>
        <w:ind w:left="0" w:leftChars="0" w:right="0" w:rightChars="0" w:firstLine="0" w:firstLineChars="0"/>
        <w:rPr>
          <w:rFonts w:hint="default" w:ascii="Times New Roman" w:hAnsi="Times New Roman" w:eastAsia="宋体" w:cs="Times New Roman"/>
          <w:color w:val="auto"/>
          <w:sz w:val="24"/>
          <w:szCs w:val="24"/>
          <w:highlight w:val="none"/>
        </w:rPr>
      </w:pPr>
    </w:p>
    <w:p w14:paraId="58D6C909">
      <w:pPr>
        <w:pageBreakBefore w:val="0"/>
        <w:widowControl/>
        <w:kinsoku/>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4"/>
          <w:szCs w:val="24"/>
          <w:highlight w:val="none"/>
        </w:rPr>
      </w:pPr>
    </w:p>
    <w:p w14:paraId="420AC4BF">
      <w:pPr>
        <w:pageBreakBefore w:val="0"/>
        <w:widowControl/>
        <w:kinsoku/>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4"/>
          <w:szCs w:val="24"/>
          <w:highlight w:val="none"/>
        </w:rPr>
      </w:pPr>
    </w:p>
    <w:p w14:paraId="71A09647">
      <w:pPr>
        <w:pageBreakBefore w:val="0"/>
        <w:kinsoku/>
        <w:bidi w:val="0"/>
        <w:adjustRightInd w:val="0"/>
        <w:snapToGrid w:val="0"/>
        <w:ind w:left="0" w:leftChars="0" w:right="0" w:rightChars="0" w:firstLine="480"/>
        <w:rPr>
          <w:rFonts w:hint="default" w:ascii="Times New Roman" w:hAnsi="Times New Roman" w:eastAsia="宋体" w:cs="Times New Roman"/>
          <w:color w:val="auto"/>
          <w:sz w:val="24"/>
          <w:szCs w:val="24"/>
          <w:highlight w:val="none"/>
        </w:rPr>
        <w:sectPr>
          <w:headerReference r:id="rId11" w:type="first"/>
          <w:footerReference r:id="rId14" w:type="first"/>
          <w:headerReference r:id="rId9" w:type="default"/>
          <w:footerReference r:id="rId12" w:type="default"/>
          <w:headerReference r:id="rId10" w:type="even"/>
          <w:footerReference r:id="rId13" w:type="even"/>
          <w:pgSz w:w="11906" w:h="16838"/>
          <w:pgMar w:top="1440" w:right="1800" w:bottom="1440" w:left="1800" w:header="851" w:footer="992" w:gutter="0"/>
          <w:pgBorders>
            <w:top w:val="none" w:sz="0" w:space="0"/>
            <w:left w:val="none" w:sz="0" w:space="0"/>
            <w:bottom w:val="none" w:sz="0" w:space="0"/>
            <w:right w:val="none" w:sz="0" w:space="0"/>
          </w:pgBorders>
          <w:pgNumType w:fmt="numberInDash"/>
          <w:cols w:space="720" w:num="1"/>
          <w:titlePg/>
          <w:docGrid w:type="lines" w:linePitch="312" w:charSpace="0"/>
        </w:sectPr>
      </w:pPr>
    </w:p>
    <w:p w14:paraId="4868C21F">
      <w:pPr>
        <w:pStyle w:val="115"/>
        <w:keepNext/>
        <w:keepLines/>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auto"/>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36"/>
          <w:szCs w:val="36"/>
          <w:highlight w:val="none"/>
        </w:rPr>
        <w:t>目  录</w:t>
      </w:r>
    </w:p>
    <w:p w14:paraId="78D31FC5">
      <w:pPr>
        <w:pStyle w:val="19"/>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TOC \o "1-2" \h \z \u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_Toc21400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val="0"/>
          <w:color w:val="auto"/>
          <w:kern w:val="2"/>
          <w:szCs w:val="28"/>
          <w:highlight w:val="none"/>
          <w:lang w:val="en-US" w:eastAsia="zh-CN" w:bidi="ar-SA"/>
        </w:rPr>
        <w:t>1总则</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_Toc21400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- 130 -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29F38C9B">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_Toc14675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color w:val="auto"/>
          <w:kern w:val="0"/>
          <w:szCs w:val="28"/>
          <w:highlight w:val="none"/>
          <w:lang w:val="en-US" w:eastAsia="zh-CN" w:bidi="ar"/>
        </w:rPr>
        <w:t>1.1项目由来</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_Toc14675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- 130 -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3CD327B2">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_Toc5293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color w:val="auto"/>
          <w:kern w:val="2"/>
          <w:szCs w:val="28"/>
          <w:highlight w:val="none"/>
          <w:lang w:val="en-US" w:eastAsia="zh-CN" w:bidi="ar-SA"/>
        </w:rPr>
        <w:t>1.2编制依据</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_Toc5293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- 131 -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0104CD4A">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_Toc3952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color w:val="auto"/>
          <w:kern w:val="0"/>
          <w:szCs w:val="28"/>
          <w:highlight w:val="none"/>
          <w:lang w:val="en-US" w:eastAsia="zh-CN" w:bidi="ar"/>
        </w:rPr>
        <w:t>1.3</w:t>
      </w:r>
      <w:r>
        <w:rPr>
          <w:rFonts w:hint="default" w:ascii="Times New Roman" w:hAnsi="Times New Roman" w:eastAsia="宋体" w:cs="Times New Roman"/>
          <w:color w:val="auto"/>
          <w:szCs w:val="28"/>
          <w:highlight w:val="none"/>
          <w:lang w:val="en-US" w:eastAsia="zh-CN"/>
        </w:rPr>
        <w:t>评价目的及评价重点</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_Toc3952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- 132 -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676B8E8B">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_Toc8543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color w:val="auto"/>
          <w:szCs w:val="28"/>
          <w:highlight w:val="none"/>
          <w:lang w:val="en-US" w:eastAsia="zh-CN"/>
        </w:rPr>
        <w:t>1.4</w:t>
      </w:r>
      <w:r>
        <w:rPr>
          <w:rFonts w:hint="default" w:ascii="Times New Roman" w:hAnsi="Times New Roman" w:eastAsia="宋体" w:cs="Times New Roman"/>
          <w:color w:val="auto"/>
          <w:szCs w:val="28"/>
          <w:highlight w:val="none"/>
        </w:rPr>
        <w:t>评价工作程序</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_Toc8543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- 132 -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22752FD2">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_Toc10969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color w:val="auto"/>
          <w:szCs w:val="28"/>
          <w:highlight w:val="none"/>
          <w:lang w:val="en-US" w:eastAsia="zh-CN"/>
        </w:rPr>
        <w:t>1.5</w:t>
      </w:r>
      <w:r>
        <w:rPr>
          <w:rFonts w:hint="default" w:ascii="Times New Roman" w:hAnsi="Times New Roman" w:eastAsia="宋体" w:cs="Times New Roman"/>
          <w:color w:val="auto"/>
          <w:szCs w:val="28"/>
          <w:highlight w:val="none"/>
        </w:rPr>
        <w:t>评价工作等级划分</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_Toc10969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- 133 -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3FD706ED">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_Toc16074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color w:val="auto"/>
          <w:szCs w:val="28"/>
          <w:highlight w:val="none"/>
          <w:lang w:val="en-US" w:eastAsia="zh-CN"/>
        </w:rPr>
        <w:t>1.6</w:t>
      </w:r>
      <w:r>
        <w:rPr>
          <w:rFonts w:hint="default" w:ascii="Times New Roman" w:hAnsi="Times New Roman" w:eastAsia="宋体" w:cs="Times New Roman"/>
          <w:color w:val="auto"/>
          <w:szCs w:val="28"/>
          <w:highlight w:val="none"/>
        </w:rPr>
        <w:t>评价范围</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_Toc16074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- 134 -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3B0977AF">
      <w:pPr>
        <w:pStyle w:val="19"/>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_Toc26444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val="0"/>
          <w:color w:val="auto"/>
          <w:kern w:val="2"/>
          <w:szCs w:val="28"/>
          <w:highlight w:val="none"/>
          <w:lang w:val="en-US" w:eastAsia="zh-CN" w:bidi="ar-SA"/>
        </w:rPr>
        <w:t>2环境风险调查</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_Toc26444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- 135 -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24CB04EC">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_Toc8314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color w:val="auto"/>
          <w:kern w:val="0"/>
          <w:szCs w:val="28"/>
          <w:highlight w:val="none"/>
          <w:lang w:val="en-US" w:eastAsia="zh-CN" w:bidi="ar"/>
        </w:rPr>
        <w:t>2.1建设项目风险源调查</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_Toc8314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- 135 -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0D5F7873">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_Toc32197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color w:val="auto"/>
          <w:kern w:val="0"/>
          <w:szCs w:val="28"/>
          <w:highlight w:val="none"/>
          <w:lang w:val="en-US" w:eastAsia="zh-CN" w:bidi="ar"/>
        </w:rPr>
        <w:t>2.2环境敏感目标调查</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_Toc32197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- 139 -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09FE2DCC">
      <w:pPr>
        <w:pStyle w:val="19"/>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_Toc10388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val="0"/>
          <w:color w:val="auto"/>
          <w:kern w:val="2"/>
          <w:szCs w:val="28"/>
          <w:highlight w:val="none"/>
          <w:lang w:val="en-US" w:eastAsia="zh-CN" w:bidi="ar-SA"/>
        </w:rPr>
        <w:t>3环境风险潜势初判</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_Toc10388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- 141 -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5AE64952">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_Toc2185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color w:val="auto"/>
          <w:kern w:val="0"/>
          <w:szCs w:val="28"/>
          <w:highlight w:val="none"/>
          <w:lang w:val="en-US" w:eastAsia="zh-CN" w:bidi="ar"/>
        </w:rPr>
        <w:t>3.1环境风险潜势划分</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_Toc2185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- 141 -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29CEF13C">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_Toc3636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color w:val="auto"/>
          <w:kern w:val="0"/>
          <w:szCs w:val="28"/>
          <w:highlight w:val="none"/>
          <w:lang w:val="en-US" w:eastAsia="zh-CN" w:bidi="ar"/>
        </w:rPr>
        <w:t>3.2 P的分级确定</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_Toc3636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- 141 -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3D535925">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_Toc30852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color w:val="auto"/>
          <w:kern w:val="0"/>
          <w:szCs w:val="28"/>
          <w:highlight w:val="none"/>
          <w:lang w:val="en-US" w:eastAsia="zh-CN" w:bidi="ar"/>
        </w:rPr>
        <w:t>3.3 E的分级确定</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_Toc30852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- 143 -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3273B32B">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_Toc17360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color w:val="auto"/>
          <w:kern w:val="0"/>
          <w:szCs w:val="28"/>
          <w:highlight w:val="none"/>
          <w:lang w:val="en-US" w:eastAsia="zh-CN" w:bidi="ar"/>
        </w:rPr>
        <w:t>3.4建设项目环境风险潜势判断</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_Toc17360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- 146 -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3A4809E2">
      <w:pPr>
        <w:pStyle w:val="19"/>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_Toc3750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val="0"/>
          <w:color w:val="auto"/>
          <w:kern w:val="2"/>
          <w:szCs w:val="28"/>
          <w:highlight w:val="none"/>
          <w:lang w:val="en-US" w:eastAsia="zh-CN" w:bidi="ar-SA"/>
        </w:rPr>
        <w:t>4风险识别</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_Toc3750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- 147 -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67C12884">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_Toc1443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val="0"/>
          <w:color w:val="auto"/>
          <w:kern w:val="2"/>
          <w:szCs w:val="28"/>
          <w:highlight w:val="none"/>
          <w:lang w:val="en-US" w:eastAsia="zh-CN" w:bidi="ar-SA"/>
        </w:rPr>
        <w:t>4.1物质危险性识别</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_Toc1443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- 147 -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2251AC27">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_Toc16677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val="0"/>
          <w:color w:val="auto"/>
          <w:kern w:val="2"/>
          <w:szCs w:val="28"/>
          <w:highlight w:val="none"/>
          <w:lang w:val="en-US" w:eastAsia="zh-CN" w:bidi="ar-SA"/>
        </w:rPr>
        <w:t>4.2生产系统危险性识别</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_Toc16677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- 147 -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10F44CA6">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_Toc30818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val="0"/>
          <w:color w:val="auto"/>
          <w:kern w:val="2"/>
          <w:szCs w:val="28"/>
          <w:highlight w:val="none"/>
          <w:lang w:val="en-US" w:eastAsia="zh-CN" w:bidi="ar-SA"/>
        </w:rPr>
        <w:t>4.3释放环境风险物质的扩散途径分析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_Toc30818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- 150 -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71477DB2">
      <w:pPr>
        <w:pStyle w:val="19"/>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_Toc29644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val="0"/>
          <w:color w:val="auto"/>
          <w:kern w:val="2"/>
          <w:szCs w:val="28"/>
          <w:highlight w:val="none"/>
          <w:lang w:val="en-US" w:eastAsia="zh-CN" w:bidi="ar-SA"/>
        </w:rPr>
        <w:t>5风险事故情形分析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_Toc29644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- 152 -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7C292F05">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_Toc17114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val="0"/>
          <w:color w:val="auto"/>
          <w:kern w:val="2"/>
          <w:szCs w:val="28"/>
          <w:highlight w:val="none"/>
          <w:lang w:val="en-US" w:eastAsia="zh-CN" w:bidi="ar-SA"/>
        </w:rPr>
        <w:t>5.1风险事故情形设定</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_Toc17114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- 152 -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7906C593">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_Toc25534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val="0"/>
          <w:color w:val="auto"/>
          <w:kern w:val="2"/>
          <w:szCs w:val="28"/>
          <w:highlight w:val="none"/>
          <w:lang w:val="en-US" w:eastAsia="zh-CN" w:bidi="ar-SA"/>
        </w:rPr>
        <w:t>5.2源项分析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_Toc25534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- 152 -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7285D264">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_Toc8476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val="0"/>
          <w:color w:val="auto"/>
          <w:kern w:val="2"/>
          <w:szCs w:val="28"/>
          <w:highlight w:val="none"/>
          <w:lang w:val="en-US" w:eastAsia="zh-CN" w:bidi="ar-SA"/>
        </w:rPr>
        <w:t>5.3同类项目典型事故统计分析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_Toc8476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- 157 -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04754FD5">
      <w:pPr>
        <w:pStyle w:val="19"/>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_Toc27221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color w:val="auto"/>
          <w:szCs w:val="28"/>
          <w:highlight w:val="none"/>
          <w:lang w:val="en-US" w:eastAsia="zh-CN"/>
        </w:rPr>
        <w:t>6环境风险影响分析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_Toc27221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- 158 -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0F3A9195">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_Toc9824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color w:val="auto"/>
          <w:szCs w:val="28"/>
          <w:highlight w:val="none"/>
          <w:lang w:val="en-US" w:eastAsia="zh-CN"/>
        </w:rPr>
        <w:t>6.1大气环境风险影响分析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_Toc9824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- 158 -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7203A9C7">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_Toc6155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color w:val="auto"/>
          <w:kern w:val="2"/>
          <w:szCs w:val="24"/>
          <w:highlight w:val="none"/>
          <w:lang w:val="en-US" w:eastAsia="zh-CN" w:bidi="ar-SA"/>
        </w:rPr>
        <w:t>6</w:t>
      </w:r>
      <w:r>
        <w:rPr>
          <w:rFonts w:hint="default" w:ascii="Times New Roman" w:hAnsi="Times New Roman" w:eastAsia="宋体" w:cs="Times New Roman"/>
          <w:color w:val="auto"/>
          <w:szCs w:val="24"/>
          <w:highlight w:val="none"/>
          <w:lang w:val="en-US" w:eastAsia="zh-CN"/>
        </w:rPr>
        <w:t>.2</w:t>
      </w:r>
      <w:r>
        <w:rPr>
          <w:rFonts w:hint="default" w:ascii="Times New Roman" w:hAnsi="Times New Roman" w:eastAsia="宋体" w:cs="Times New Roman"/>
          <w:color w:val="auto"/>
          <w:szCs w:val="24"/>
          <w:highlight w:val="none"/>
        </w:rPr>
        <w:t>地表水环境风险分析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_Toc6155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- 163 -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51DD3CC0">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_Toc19156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color w:val="auto"/>
          <w:szCs w:val="24"/>
          <w:highlight w:val="none"/>
          <w:lang w:val="en-US" w:eastAsia="zh-CN"/>
        </w:rPr>
        <w:t>6.3</w:t>
      </w:r>
      <w:r>
        <w:rPr>
          <w:rFonts w:hint="default" w:ascii="Times New Roman" w:hAnsi="Times New Roman" w:eastAsia="宋体" w:cs="Times New Roman"/>
          <w:color w:val="auto"/>
          <w:szCs w:val="24"/>
          <w:highlight w:val="none"/>
        </w:rPr>
        <w:t>地下水环境风险分析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_Toc19156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- 164 -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58AF8D50">
      <w:pPr>
        <w:pStyle w:val="19"/>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_Toc28556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color w:val="auto"/>
          <w:highlight w:val="none"/>
          <w:lang w:val="en-US" w:eastAsia="zh-CN"/>
        </w:rPr>
        <w:t>7环境风险防范措施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_Toc28556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- 165 -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3E9E9430">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_Toc3297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color w:val="auto"/>
          <w:kern w:val="2"/>
          <w:szCs w:val="28"/>
          <w:highlight w:val="none"/>
          <w:lang w:val="en-US" w:eastAsia="zh-CN" w:bidi="ar-SA"/>
        </w:rPr>
        <w:t>7</w:t>
      </w:r>
      <w:r>
        <w:rPr>
          <w:rFonts w:hint="default" w:ascii="Times New Roman" w:hAnsi="Times New Roman" w:eastAsia="宋体" w:cs="Times New Roman"/>
          <w:color w:val="auto"/>
          <w:szCs w:val="24"/>
          <w:highlight w:val="none"/>
          <w:lang w:val="en-US" w:eastAsia="zh-CN"/>
        </w:rPr>
        <w:t>.1</w:t>
      </w:r>
      <w:r>
        <w:rPr>
          <w:rFonts w:hint="default" w:ascii="Times New Roman" w:hAnsi="Times New Roman" w:eastAsia="宋体" w:cs="Times New Roman"/>
          <w:color w:val="auto"/>
          <w:szCs w:val="24"/>
          <w:highlight w:val="none"/>
          <w:lang w:val="zh-CN" w:eastAsia="zh-CN"/>
        </w:rPr>
        <w:t>选址、总图布置和建筑安全防范措施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_Toc3297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- 165 -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25FC333A">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_Toc2649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color w:val="auto"/>
          <w:kern w:val="2"/>
          <w:szCs w:val="28"/>
          <w:highlight w:val="none"/>
          <w:lang w:val="en-US" w:eastAsia="zh-CN" w:bidi="ar-SA"/>
        </w:rPr>
        <w:t>7</w:t>
      </w:r>
      <w:r>
        <w:rPr>
          <w:rFonts w:hint="default" w:ascii="Times New Roman" w:hAnsi="Times New Roman" w:eastAsia="宋体" w:cs="Times New Roman"/>
          <w:color w:val="auto"/>
          <w:szCs w:val="24"/>
          <w:highlight w:val="none"/>
          <w:lang w:val="en-US" w:eastAsia="zh-CN"/>
        </w:rPr>
        <w:t>.2</w:t>
      </w:r>
      <w:r>
        <w:rPr>
          <w:rFonts w:hint="default" w:ascii="Times New Roman" w:hAnsi="Times New Roman" w:eastAsia="宋体" w:cs="Times New Roman"/>
          <w:color w:val="auto"/>
          <w:szCs w:val="24"/>
          <w:highlight w:val="none"/>
          <w:lang w:val="zh-CN" w:eastAsia="zh-CN"/>
        </w:rPr>
        <w:t>危险化学品贮运安全防范措施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_Toc2649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- 165 -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20AD5964">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_Toc27065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color w:val="auto"/>
          <w:kern w:val="2"/>
          <w:szCs w:val="28"/>
          <w:highlight w:val="none"/>
          <w:lang w:val="en-US" w:eastAsia="zh-CN" w:bidi="ar-SA"/>
        </w:rPr>
        <w:t>7</w:t>
      </w:r>
      <w:r>
        <w:rPr>
          <w:rFonts w:hint="default" w:ascii="Times New Roman" w:hAnsi="Times New Roman" w:eastAsia="宋体" w:cs="Times New Roman"/>
          <w:color w:val="auto"/>
          <w:szCs w:val="24"/>
          <w:highlight w:val="none"/>
          <w:lang w:val="en-US" w:eastAsia="zh-CN"/>
        </w:rPr>
        <w:t>.3</w:t>
      </w:r>
      <w:r>
        <w:rPr>
          <w:rFonts w:hint="default" w:ascii="Times New Roman" w:hAnsi="Times New Roman" w:eastAsia="宋体" w:cs="Times New Roman"/>
          <w:color w:val="auto"/>
          <w:szCs w:val="24"/>
          <w:highlight w:val="none"/>
          <w:lang w:val="zh-CN" w:eastAsia="zh-CN"/>
        </w:rPr>
        <w:t>工艺技术设计安全防范措施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_Toc27065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- 166 -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177939C6">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_Toc31667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color w:val="auto"/>
          <w:kern w:val="2"/>
          <w:szCs w:val="28"/>
          <w:highlight w:val="none"/>
          <w:lang w:val="en-US" w:eastAsia="zh-CN" w:bidi="ar-SA"/>
        </w:rPr>
        <w:t>7</w:t>
      </w:r>
      <w:r>
        <w:rPr>
          <w:rFonts w:hint="default" w:ascii="Times New Roman" w:hAnsi="Times New Roman" w:eastAsia="宋体" w:cs="Times New Roman"/>
          <w:color w:val="auto"/>
          <w:szCs w:val="24"/>
          <w:highlight w:val="none"/>
          <w:lang w:val="en-US" w:eastAsia="zh-CN"/>
        </w:rPr>
        <w:t>.4</w:t>
      </w:r>
      <w:r>
        <w:rPr>
          <w:rFonts w:hint="default" w:ascii="Times New Roman" w:hAnsi="Times New Roman" w:eastAsia="宋体" w:cs="Times New Roman"/>
          <w:color w:val="auto"/>
          <w:szCs w:val="24"/>
          <w:highlight w:val="none"/>
          <w:lang w:val="zh-CN" w:eastAsia="zh-CN"/>
        </w:rPr>
        <w:t>自动控制设计安全防范措施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_Toc31667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- 167 -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1F8FED96">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_Toc20260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color w:val="auto"/>
          <w:kern w:val="2"/>
          <w:szCs w:val="28"/>
          <w:highlight w:val="none"/>
          <w:lang w:val="en-US" w:eastAsia="zh-CN" w:bidi="ar-SA"/>
        </w:rPr>
        <w:t>7</w:t>
      </w:r>
      <w:r>
        <w:rPr>
          <w:rFonts w:hint="default" w:ascii="Times New Roman" w:hAnsi="Times New Roman" w:eastAsia="宋体" w:cs="Times New Roman"/>
          <w:color w:val="auto"/>
          <w:szCs w:val="24"/>
          <w:highlight w:val="none"/>
          <w:lang w:val="en-US" w:eastAsia="zh-CN"/>
        </w:rPr>
        <w:t>.5</w:t>
      </w:r>
      <w:r>
        <w:rPr>
          <w:rFonts w:hint="default" w:ascii="Times New Roman" w:hAnsi="Times New Roman" w:eastAsia="宋体" w:cs="Times New Roman"/>
          <w:color w:val="auto"/>
          <w:szCs w:val="24"/>
          <w:highlight w:val="none"/>
          <w:lang w:val="zh-CN" w:eastAsia="zh-CN"/>
        </w:rPr>
        <w:t>电气、电讯安全防范措施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_Toc20260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- 167 -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351A7E60">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_Toc11170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color w:val="auto"/>
          <w:kern w:val="2"/>
          <w:szCs w:val="28"/>
          <w:highlight w:val="none"/>
          <w:lang w:val="en-US" w:eastAsia="zh-CN" w:bidi="ar-SA"/>
        </w:rPr>
        <w:t>7</w:t>
      </w:r>
      <w:r>
        <w:rPr>
          <w:rFonts w:hint="default" w:ascii="Times New Roman" w:hAnsi="Times New Roman" w:eastAsia="宋体" w:cs="Times New Roman"/>
          <w:color w:val="auto"/>
          <w:szCs w:val="24"/>
          <w:highlight w:val="none"/>
          <w:lang w:val="en-US" w:eastAsia="zh-CN"/>
        </w:rPr>
        <w:t>.6</w:t>
      </w:r>
      <w:r>
        <w:rPr>
          <w:rFonts w:hint="default" w:ascii="Times New Roman" w:hAnsi="Times New Roman" w:eastAsia="宋体" w:cs="Times New Roman"/>
          <w:color w:val="auto"/>
          <w:szCs w:val="24"/>
          <w:highlight w:val="none"/>
          <w:lang w:val="zh-CN" w:eastAsia="zh-CN"/>
        </w:rPr>
        <w:t>应急设施及物资</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_Toc11170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- 167 -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779A29DC">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_Toc30951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color w:val="auto"/>
          <w:kern w:val="2"/>
          <w:szCs w:val="28"/>
          <w:highlight w:val="none"/>
          <w:lang w:val="en-US" w:eastAsia="zh-CN" w:bidi="ar-SA"/>
        </w:rPr>
        <w:t>7</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lang w:val="zh-CN" w:eastAsia="zh-CN"/>
        </w:rPr>
        <w:t>三级防控体系</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_Toc30951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- 168 -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47A4D67F">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_Toc29515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color w:val="auto"/>
          <w:kern w:val="2"/>
          <w:szCs w:val="28"/>
          <w:highlight w:val="none"/>
          <w:lang w:val="en-US" w:eastAsia="zh-CN" w:bidi="ar-SA"/>
        </w:rPr>
        <w:t>7</w:t>
      </w:r>
      <w:r>
        <w:rPr>
          <w:rFonts w:hint="default" w:ascii="Times New Roman" w:hAnsi="Times New Roman" w:eastAsia="宋体" w:cs="Times New Roman"/>
          <w:color w:val="auto"/>
          <w:szCs w:val="24"/>
          <w:highlight w:val="none"/>
          <w:lang w:val="en-US" w:eastAsia="zh-CN"/>
        </w:rPr>
        <w:t>.8</w:t>
      </w:r>
      <w:r>
        <w:rPr>
          <w:rFonts w:hint="default" w:ascii="Times New Roman" w:hAnsi="Times New Roman" w:eastAsia="宋体" w:cs="Times New Roman"/>
          <w:color w:val="auto"/>
          <w:szCs w:val="24"/>
          <w:highlight w:val="none"/>
          <w:lang w:val="zh-CN" w:eastAsia="zh-CN"/>
        </w:rPr>
        <w:t>地下水环境风险防范措施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_Toc29515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- 169 -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5A32A857">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_Toc32317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color w:val="auto"/>
          <w:kern w:val="2"/>
          <w:szCs w:val="28"/>
          <w:highlight w:val="none"/>
          <w:lang w:val="en-US" w:eastAsia="zh-CN" w:bidi="ar-SA"/>
        </w:rPr>
        <w:t>7</w:t>
      </w:r>
      <w:r>
        <w:rPr>
          <w:rFonts w:hint="default" w:ascii="Times New Roman" w:hAnsi="Times New Roman" w:eastAsia="宋体" w:cs="Times New Roman"/>
          <w:color w:val="auto"/>
          <w:szCs w:val="24"/>
          <w:highlight w:val="none"/>
          <w:lang w:val="en-US" w:eastAsia="zh-CN"/>
        </w:rPr>
        <w:t>.9</w:t>
      </w:r>
      <w:r>
        <w:rPr>
          <w:rFonts w:hint="default" w:ascii="Times New Roman" w:hAnsi="Times New Roman" w:eastAsia="宋体" w:cs="Times New Roman"/>
          <w:color w:val="auto"/>
          <w:szCs w:val="24"/>
          <w:highlight w:val="none"/>
          <w:lang w:val="zh-CN" w:eastAsia="zh-CN"/>
        </w:rPr>
        <w:t>应急疏散通道及安全区</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_Toc32317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- 169 -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3D0D884D">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_Toc19706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color w:val="auto"/>
          <w:kern w:val="2"/>
          <w:szCs w:val="28"/>
          <w:highlight w:val="none"/>
          <w:lang w:val="en-US" w:eastAsia="zh-CN" w:bidi="ar-SA"/>
        </w:rPr>
        <w:t>7</w:t>
      </w:r>
      <w:r>
        <w:rPr>
          <w:rFonts w:hint="default" w:ascii="Times New Roman" w:hAnsi="Times New Roman" w:eastAsia="宋体" w:cs="Times New Roman"/>
          <w:color w:val="auto"/>
          <w:szCs w:val="24"/>
          <w:highlight w:val="none"/>
          <w:lang w:val="en-US" w:eastAsia="zh-CN"/>
        </w:rPr>
        <w:t>.10</w:t>
      </w:r>
      <w:r>
        <w:rPr>
          <w:rFonts w:hint="default" w:ascii="Times New Roman" w:hAnsi="Times New Roman" w:eastAsia="宋体" w:cs="Times New Roman"/>
          <w:color w:val="auto"/>
          <w:szCs w:val="24"/>
          <w:highlight w:val="none"/>
          <w:lang w:val="zh-CN" w:eastAsia="zh-CN"/>
        </w:rPr>
        <w:t>应急救援管理</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_Toc19706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- 171 -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21CB623F">
      <w:pPr>
        <w:pStyle w:val="21"/>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_Toc14392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color w:val="auto"/>
          <w:kern w:val="2"/>
          <w:szCs w:val="28"/>
          <w:highlight w:val="none"/>
          <w:lang w:val="en-US" w:eastAsia="zh-CN" w:bidi="ar-SA"/>
        </w:rPr>
        <w:t>7</w:t>
      </w:r>
      <w:r>
        <w:rPr>
          <w:rFonts w:hint="default" w:ascii="Times New Roman" w:hAnsi="Times New Roman" w:eastAsia="宋体" w:cs="Times New Roman"/>
          <w:color w:val="auto"/>
          <w:highlight w:val="none"/>
          <w:lang w:val="en-US" w:eastAsia="zh-CN"/>
        </w:rPr>
        <w:t>.11风险监测预警和紧急控制措施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_Toc14392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- 172 -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5D8B72B6">
      <w:pPr>
        <w:pStyle w:val="19"/>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_Toc15759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bCs/>
          <w:color w:val="auto"/>
          <w:kern w:val="2"/>
          <w:szCs w:val="30"/>
          <w:highlight w:val="none"/>
          <w:lang w:val="en-US" w:eastAsia="zh-CN" w:bidi="ar-SA"/>
        </w:rPr>
        <w:t>8</w:t>
      </w:r>
      <w:r>
        <w:rPr>
          <w:rFonts w:hint="default" w:ascii="Times New Roman" w:hAnsi="Times New Roman" w:eastAsia="宋体" w:cs="Times New Roman"/>
          <w:color w:val="auto"/>
          <w:highlight w:val="none"/>
          <w:lang w:val="en-US" w:eastAsia="zh-CN"/>
        </w:rPr>
        <w:t>应急预案</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_Toc15759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- 176 -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097A40B4">
      <w:pPr>
        <w:pStyle w:val="19"/>
        <w:keepNext w:val="0"/>
        <w:keepLines w:val="0"/>
        <w:pageBreakBefore w:val="0"/>
        <w:widowControl w:val="0"/>
        <w:tabs>
          <w:tab w:val="right" w:leader="dot" w:pos="8306"/>
        </w:tabs>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_Toc12292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color w:val="auto"/>
          <w:highlight w:val="none"/>
          <w:lang w:val="en-US" w:eastAsia="zh-CN"/>
        </w:rPr>
        <w:t>9风险评价结论</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_Toc12292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- 181 -</w:t>
      </w:r>
      <w:r>
        <w:rPr>
          <w:rFonts w:hint="default" w:ascii="Times New Roman" w:hAnsi="Times New Roman" w:cs="Times New Roman"/>
          <w:color w:val="auto"/>
          <w:highlight w:val="none"/>
        </w:rPr>
        <w:fldChar w:fldCharType="end"/>
      </w:r>
      <w:r>
        <w:rPr>
          <w:rFonts w:hint="default" w:ascii="Times New Roman" w:hAnsi="Times New Roman" w:eastAsia="宋体" w:cs="Times New Roman"/>
          <w:color w:val="auto"/>
          <w:szCs w:val="24"/>
          <w:highlight w:val="none"/>
        </w:rPr>
        <w:fldChar w:fldCharType="end"/>
      </w:r>
    </w:p>
    <w:p w14:paraId="5B889278">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Cs w:val="24"/>
          <w:highlight w:val="none"/>
        </w:rPr>
        <w:fldChar w:fldCharType="end"/>
      </w:r>
      <w:r>
        <w:rPr>
          <w:rFonts w:hint="default" w:ascii="Times New Roman" w:hAnsi="Times New Roman" w:eastAsia="宋体" w:cs="Times New Roman"/>
          <w:color w:val="auto"/>
          <w:sz w:val="24"/>
          <w:szCs w:val="24"/>
          <w:highlight w:val="none"/>
        </w:rPr>
        <w:t xml:space="preserve"> </w:t>
      </w:r>
    </w:p>
    <w:p w14:paraId="7D37D1E5">
      <w:pPr>
        <w:pageBreakBefore w:val="0"/>
        <w:kinsoku/>
        <w:bidi w:val="0"/>
        <w:adjustRightInd w:val="0"/>
        <w:snapToGrid w:val="0"/>
        <w:ind w:left="0" w:leftChars="0" w:right="0" w:rightChars="0" w:firstLine="480"/>
        <w:rPr>
          <w:rFonts w:hint="default" w:ascii="Times New Roman" w:hAnsi="Times New Roman" w:eastAsia="宋体" w:cs="Times New Roman"/>
          <w:color w:val="auto"/>
          <w:sz w:val="24"/>
          <w:szCs w:val="24"/>
          <w:highlight w:val="none"/>
        </w:rPr>
        <w:sectPr>
          <w:footerReference r:id="rId15" w:type="default"/>
          <w:pgSz w:w="11906" w:h="16838"/>
          <w:pgMar w:top="1440" w:right="1800" w:bottom="1440"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3D171842">
      <w:pPr>
        <w:pStyle w:val="2"/>
        <w:keepNext/>
        <w:keepLines/>
        <w:pageBreakBefore w:val="0"/>
        <w:widowControl w:val="0"/>
        <w:numPr>
          <w:ilvl w:val="0"/>
          <w:numId w:val="0"/>
        </w:numPr>
        <w:kinsoku/>
        <w:wordWrap/>
        <w:overflowPunct/>
        <w:topLinePunct w:val="0"/>
        <w:autoSpaceDE/>
        <w:autoSpaceDN/>
        <w:bidi w:val="0"/>
        <w:adjustRightInd w:val="0"/>
        <w:snapToGrid w:val="0"/>
        <w:spacing w:before="0" w:after="0" w:line="360" w:lineRule="auto"/>
        <w:ind w:left="0" w:leftChars="0" w:right="0" w:rightChars="0"/>
        <w:jc w:val="left"/>
        <w:textAlignment w:val="auto"/>
        <w:rPr>
          <w:rFonts w:hint="default" w:ascii="Times New Roman" w:hAnsi="Times New Roman" w:eastAsia="宋体" w:cs="Times New Roman"/>
          <w:b/>
          <w:bCs w:val="0"/>
          <w:color w:val="auto"/>
          <w:kern w:val="2"/>
          <w:sz w:val="28"/>
          <w:szCs w:val="28"/>
          <w:highlight w:val="none"/>
          <w:lang w:val="en-US" w:eastAsia="zh-CN" w:bidi="ar-SA"/>
        </w:rPr>
      </w:pPr>
      <w:bookmarkStart w:id="46" w:name="_Toc459016402"/>
      <w:bookmarkStart w:id="47" w:name="_Toc21400"/>
      <w:bookmarkStart w:id="48" w:name="_Toc17953"/>
      <w:r>
        <w:rPr>
          <w:rFonts w:hint="default" w:ascii="Times New Roman" w:hAnsi="Times New Roman" w:eastAsia="宋体" w:cs="Times New Roman"/>
          <w:b/>
          <w:bCs w:val="0"/>
          <w:color w:val="auto"/>
          <w:kern w:val="2"/>
          <w:sz w:val="28"/>
          <w:szCs w:val="28"/>
          <w:highlight w:val="none"/>
          <w:lang w:val="en-US" w:eastAsia="zh-CN" w:bidi="ar-SA"/>
        </w:rPr>
        <w:t>1总</w:t>
      </w:r>
      <w:bookmarkEnd w:id="46"/>
      <w:r>
        <w:rPr>
          <w:rFonts w:hint="default" w:ascii="Times New Roman" w:hAnsi="Times New Roman" w:eastAsia="宋体" w:cs="Times New Roman"/>
          <w:b/>
          <w:bCs w:val="0"/>
          <w:color w:val="auto"/>
          <w:kern w:val="2"/>
          <w:sz w:val="28"/>
          <w:szCs w:val="28"/>
          <w:highlight w:val="none"/>
          <w:lang w:val="en-US" w:eastAsia="zh-CN" w:bidi="ar-SA"/>
        </w:rPr>
        <w:t>则</w:t>
      </w:r>
      <w:bookmarkEnd w:id="47"/>
      <w:bookmarkEnd w:id="48"/>
    </w:p>
    <w:p w14:paraId="29B86259">
      <w:pPr>
        <w:pStyle w:val="4"/>
        <w:keepNext/>
        <w:keepLines/>
        <w:pageBreakBefore w:val="0"/>
        <w:widowControl w:val="0"/>
        <w:numPr>
          <w:ilvl w:val="2"/>
          <w:numId w:val="0"/>
        </w:numPr>
        <w:kinsoku/>
        <w:wordWrap/>
        <w:overflowPunct/>
        <w:topLinePunct w:val="0"/>
        <w:autoSpaceDE/>
        <w:autoSpaceDN/>
        <w:bidi w:val="0"/>
        <w:adjustRightInd w:val="0"/>
        <w:snapToGrid w:val="0"/>
        <w:spacing w:beforeLines="0" w:afterLines="0"/>
        <w:ind w:left="0" w:leftChars="0" w:right="0" w:rightChars="0"/>
        <w:jc w:val="left"/>
        <w:textAlignment w:val="auto"/>
        <w:outlineLvl w:val="1"/>
        <w:rPr>
          <w:rFonts w:hint="default" w:ascii="Times New Roman" w:hAnsi="Times New Roman" w:eastAsia="宋体" w:cs="Times New Roman"/>
          <w:b/>
          <w:bCs/>
          <w:color w:val="auto"/>
          <w:kern w:val="0"/>
          <w:sz w:val="24"/>
          <w:szCs w:val="24"/>
          <w:highlight w:val="none"/>
          <w:lang w:val="en-US" w:eastAsia="zh-CN" w:bidi="ar"/>
        </w:rPr>
      </w:pPr>
      <w:bookmarkStart w:id="49" w:name="_Toc26125"/>
      <w:bookmarkStart w:id="50" w:name="_Toc14675"/>
      <w:r>
        <w:rPr>
          <w:rFonts w:hint="default" w:ascii="Times New Roman" w:hAnsi="Times New Roman" w:eastAsia="宋体" w:cs="Times New Roman"/>
          <w:b/>
          <w:bCs/>
          <w:color w:val="auto"/>
          <w:kern w:val="0"/>
          <w:sz w:val="24"/>
          <w:szCs w:val="24"/>
          <w:highlight w:val="none"/>
          <w:lang w:val="en-US" w:eastAsia="zh-CN" w:bidi="ar"/>
        </w:rPr>
        <w:t>1.1项目由来</w:t>
      </w:r>
      <w:bookmarkEnd w:id="49"/>
      <w:bookmarkEnd w:id="50"/>
    </w:p>
    <w:p w14:paraId="5936DE4A">
      <w:pPr>
        <w:pageBreakBefore w:val="0"/>
        <w:kinsoku/>
        <w:bidi w:val="0"/>
        <w:adjustRightInd w:val="0"/>
        <w:snapToGrid w:val="0"/>
        <w:spacing w:line="360" w:lineRule="auto"/>
        <w:ind w:left="0" w:leftChars="0" w:right="0" w:rightChars="0" w:firstLine="480"/>
        <w:rPr>
          <w:rFonts w:hint="default" w:ascii="Times New Roman" w:hAnsi="Times New Roman" w:eastAsia="宋体" w:cs="Times New Roman"/>
          <w:color w:val="auto"/>
          <w:kern w:val="2"/>
          <w:sz w:val="24"/>
          <w:szCs w:val="24"/>
          <w:highlight w:val="none"/>
          <w:shd w:val="clear" w:color="auto" w:fill="auto"/>
          <w:lang w:val="en-US" w:eastAsia="zh-CN" w:bidi="zh-CN"/>
        </w:rPr>
      </w:pPr>
      <w:r>
        <w:rPr>
          <w:rFonts w:hint="default" w:ascii="Times New Roman" w:hAnsi="Times New Roman" w:eastAsia="宋体" w:cs="Times New Roman"/>
          <w:color w:val="auto"/>
          <w:kern w:val="2"/>
          <w:sz w:val="24"/>
          <w:szCs w:val="24"/>
          <w:highlight w:val="none"/>
          <w:shd w:val="clear" w:color="auto" w:fill="auto"/>
          <w:lang w:val="en-US" w:eastAsia="zh-CN" w:bidi="zh-CN"/>
        </w:rPr>
        <w:t>本项目位于黑龙江省佳木斯市桦川县悦来镇悦来大街南段（桦川县泰丰植物油脂有限公司院内），项目东侧为悦来大街，南侧为汽车修配厂，西侧为冷云大街，北侧为桦川鸿泰油脂有限公司。本项目运行产生的各项污染物在有效的治理措施防治下均可实现达标排放，对周边环境产生的影响较小。</w:t>
      </w:r>
    </w:p>
    <w:p w14:paraId="59BAAAFF">
      <w:pPr>
        <w:pageBreakBefore w:val="0"/>
        <w:kinsoku/>
        <w:bidi w:val="0"/>
        <w:adjustRightInd w:val="0"/>
        <w:snapToGrid w:val="0"/>
        <w:spacing w:line="360" w:lineRule="auto"/>
        <w:ind w:left="0" w:leftChars="0" w:right="0" w:rightChars="0" w:firstLine="480"/>
        <w:rPr>
          <w:rFonts w:hint="default" w:ascii="Times New Roman" w:hAnsi="Times New Roman" w:eastAsia="宋体" w:cs="Times New Roman"/>
          <w:color w:val="auto"/>
          <w:kern w:val="2"/>
          <w:sz w:val="24"/>
          <w:szCs w:val="24"/>
          <w:highlight w:val="none"/>
          <w:shd w:val="clear" w:color="auto" w:fill="auto"/>
          <w:lang w:val="en-US" w:eastAsia="zh-CN" w:bidi="zh-CN"/>
        </w:rPr>
      </w:pPr>
      <w:r>
        <w:rPr>
          <w:rFonts w:hint="default" w:ascii="Times New Roman" w:hAnsi="Times New Roman" w:eastAsia="宋体" w:cs="Times New Roman"/>
          <w:color w:val="auto"/>
          <w:kern w:val="2"/>
          <w:sz w:val="24"/>
          <w:szCs w:val="24"/>
          <w:highlight w:val="none"/>
          <w:shd w:val="clear" w:color="auto" w:fill="auto"/>
          <w:lang w:val="en-US" w:eastAsia="zh-CN" w:bidi="zh-CN"/>
        </w:rPr>
        <w:t>按照《建设项目环境风险评价技术导则》（HJ169-2018）附录中附录B和《危险化学品重大危险源辨识》（GB18218-2018），本项目主要风险物质为正己烷、磷酸、氢氧化钠、废机油。本工程属于“涉及有毒有害和易燃易爆危险物质生产、使用、储存（包括使用管线</w:t>
      </w:r>
      <w:r>
        <w:rPr>
          <w:rFonts w:hint="eastAsia" w:cs="Times New Roman"/>
          <w:color w:val="auto"/>
          <w:kern w:val="2"/>
          <w:sz w:val="24"/>
          <w:szCs w:val="24"/>
          <w:highlight w:val="none"/>
          <w:shd w:val="clear" w:color="auto" w:fill="auto"/>
          <w:lang w:val="en-US" w:eastAsia="zh-CN" w:bidi="zh-CN"/>
        </w:rPr>
        <w:t>运输</w:t>
      </w:r>
      <w:r>
        <w:rPr>
          <w:rFonts w:hint="default" w:ascii="Times New Roman" w:hAnsi="Times New Roman" w:eastAsia="宋体" w:cs="Times New Roman"/>
          <w:color w:val="auto"/>
          <w:kern w:val="2"/>
          <w:sz w:val="24"/>
          <w:szCs w:val="24"/>
          <w:highlight w:val="none"/>
          <w:shd w:val="clear" w:color="auto" w:fill="auto"/>
          <w:lang w:val="en-US" w:eastAsia="zh-CN" w:bidi="zh-CN"/>
        </w:rPr>
        <w:t>）的建设项目可能发生的突发性事故（不包括人为破坏及自然灾害引发的事故）的环境风险评价，因此本项目适用于该导则。</w:t>
      </w:r>
    </w:p>
    <w:p w14:paraId="62649C60">
      <w:pPr>
        <w:pageBreakBefore w:val="0"/>
        <w:kinsoku/>
        <w:bidi w:val="0"/>
        <w:adjustRightInd w:val="0"/>
        <w:snapToGrid w:val="0"/>
        <w:spacing w:line="360" w:lineRule="auto"/>
        <w:ind w:left="0" w:leftChars="0" w:right="0" w:rightChars="0" w:firstLine="480"/>
        <w:rPr>
          <w:rFonts w:hint="default" w:ascii="Times New Roman" w:hAnsi="Times New Roman" w:eastAsia="宋体" w:cs="Times New Roman"/>
          <w:color w:val="auto"/>
          <w:kern w:val="2"/>
          <w:sz w:val="24"/>
          <w:szCs w:val="24"/>
          <w:highlight w:val="none"/>
          <w:shd w:val="clear" w:color="auto" w:fill="auto"/>
          <w:lang w:val="en-US" w:eastAsia="zh-CN" w:bidi="zh-CN"/>
        </w:rPr>
      </w:pPr>
      <w:r>
        <w:rPr>
          <w:rFonts w:hint="default" w:ascii="Times New Roman" w:hAnsi="Times New Roman" w:eastAsia="宋体" w:cs="Times New Roman"/>
          <w:color w:val="auto"/>
          <w:kern w:val="2"/>
          <w:sz w:val="24"/>
          <w:szCs w:val="24"/>
          <w:highlight w:val="none"/>
          <w:shd w:val="clear" w:color="auto" w:fill="auto"/>
          <w:lang w:val="en-US" w:eastAsia="zh-CN" w:bidi="zh-CN"/>
        </w:rPr>
        <w:t>根据《建设项目环境风险评价技术导则》（HJ169-2018）附录B的辨别方法，本项目的Q&gt;1，根据《建设项目环境影响报告表编制技术指南》（污染影响类）（试行）中表1专项评价设置原则表中，有毒有害和易燃易爆危险物质存储量超过临界量的建设项目需要设置环境风险专项评价，因此本项目需编制环境风险专项评价。</w:t>
      </w:r>
    </w:p>
    <w:p w14:paraId="765BAA19">
      <w:pPr>
        <w:pageBreakBefore w:val="0"/>
        <w:kinsoku/>
        <w:bidi w:val="0"/>
        <w:adjustRightInd w:val="0"/>
        <w:snapToGrid w:val="0"/>
        <w:spacing w:line="360" w:lineRule="auto"/>
        <w:ind w:left="0" w:leftChars="0" w:right="0" w:rightChars="0" w:firstLine="48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color w:val="auto"/>
          <w:kern w:val="2"/>
          <w:sz w:val="24"/>
          <w:szCs w:val="24"/>
          <w:highlight w:val="none"/>
          <w:shd w:val="clear" w:color="auto" w:fill="auto"/>
          <w:lang w:val="en-US" w:eastAsia="zh-CN" w:bidi="zh-CN"/>
        </w:rPr>
        <w:t>编制单位根据《关于进一步加强环境影响评价管理防范环境风险的通知》（环发〔2012〕77号）和《关于切实加强风险防范严格环境评价管理的通知》（环发〔2012〕98号）的有关要求，以《建设项目环境风险评价技术导则》（HJ169-2018）为准则，编写完成了《黑龙江龙粮油脂有限公司10万吨米糠及3万吨大豆制油加工项目环境风险专项评价》。本专项评价通过对项目的风险调查、环境风险潜势初判、风险识别、风险事故情形分析及风险预测和评估，了解其环境风险的可接受程度，提出减少风险的事故应急措施及社会应急预案，为工程设计和环境管理提供资料和依据，以期达到降低危险，减少公害的目的</w:t>
      </w:r>
      <w:r>
        <w:rPr>
          <w:rFonts w:hint="default" w:ascii="Times New Roman" w:hAnsi="Times New Roman" w:eastAsia="宋体" w:cs="Times New Roman"/>
          <w:bCs/>
          <w:color w:val="auto"/>
          <w:sz w:val="24"/>
          <w:highlight w:val="none"/>
          <w:lang w:val="en-US" w:eastAsia="zh-CN"/>
        </w:rPr>
        <w:t>。</w:t>
      </w:r>
    </w:p>
    <w:p w14:paraId="3C6F36FC">
      <w:pPr>
        <w:pStyle w:val="4"/>
        <w:keepNext/>
        <w:keepLines/>
        <w:pageBreakBefore w:val="0"/>
        <w:widowControl w:val="0"/>
        <w:numPr>
          <w:ilvl w:val="2"/>
          <w:numId w:val="0"/>
        </w:numPr>
        <w:kinsoku/>
        <w:wordWrap/>
        <w:overflowPunct/>
        <w:topLinePunct w:val="0"/>
        <w:autoSpaceDE/>
        <w:autoSpaceDN/>
        <w:bidi w:val="0"/>
        <w:adjustRightInd w:val="0"/>
        <w:snapToGrid w:val="0"/>
        <w:spacing w:beforeLines="0" w:afterLines="0"/>
        <w:ind w:left="0" w:leftChars="0" w:right="0" w:rightChars="0"/>
        <w:jc w:val="left"/>
        <w:textAlignment w:val="auto"/>
        <w:outlineLvl w:val="1"/>
        <w:rPr>
          <w:rFonts w:hint="default" w:ascii="Times New Roman" w:hAnsi="Times New Roman" w:eastAsia="宋体" w:cs="Times New Roman"/>
          <w:b/>
          <w:bCs/>
          <w:color w:val="auto"/>
          <w:kern w:val="2"/>
          <w:sz w:val="24"/>
          <w:szCs w:val="24"/>
          <w:highlight w:val="none"/>
          <w:lang w:val="en-US" w:eastAsia="zh-CN" w:bidi="ar-SA"/>
        </w:rPr>
      </w:pPr>
      <w:bookmarkStart w:id="51" w:name="_Toc10787"/>
      <w:bookmarkStart w:id="52" w:name="_Toc5293"/>
      <w:r>
        <w:rPr>
          <w:rFonts w:hint="default" w:ascii="Times New Roman" w:hAnsi="Times New Roman" w:eastAsia="宋体" w:cs="Times New Roman"/>
          <w:b/>
          <w:bCs/>
          <w:color w:val="auto"/>
          <w:kern w:val="2"/>
          <w:sz w:val="24"/>
          <w:szCs w:val="24"/>
          <w:highlight w:val="none"/>
          <w:lang w:val="en-US" w:eastAsia="zh-CN" w:bidi="ar-SA"/>
        </w:rPr>
        <w:t>1.2编制依据</w:t>
      </w:r>
      <w:bookmarkEnd w:id="51"/>
      <w:bookmarkEnd w:id="52"/>
    </w:p>
    <w:p w14:paraId="47033BA5">
      <w:pPr>
        <w:pStyle w:val="4"/>
        <w:keepNext/>
        <w:keepLines/>
        <w:pageBreakBefore w:val="0"/>
        <w:widowControl w:val="0"/>
        <w:numPr>
          <w:ilvl w:val="2"/>
          <w:numId w:val="0"/>
        </w:numPr>
        <w:kinsoku/>
        <w:wordWrap/>
        <w:overflowPunct/>
        <w:topLinePunct w:val="0"/>
        <w:autoSpaceDE/>
        <w:autoSpaceDN/>
        <w:bidi w:val="0"/>
        <w:adjustRightInd w:val="0"/>
        <w:snapToGrid w:val="0"/>
        <w:spacing w:beforeLines="0" w:afterLines="0" w:line="360" w:lineRule="auto"/>
        <w:ind w:left="0" w:leftChars="0" w:right="0" w:rightChars="0"/>
        <w:textAlignment w:val="auto"/>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1.2.1</w:t>
      </w:r>
      <w:r>
        <w:rPr>
          <w:rFonts w:hint="eastAsia" w:cs="Times New Roman"/>
          <w:b/>
          <w:bCs/>
          <w:color w:val="auto"/>
          <w:kern w:val="2"/>
          <w:sz w:val="24"/>
          <w:szCs w:val="24"/>
          <w:highlight w:val="none"/>
          <w:lang w:val="en-US" w:eastAsia="zh-CN" w:bidi="ar-SA"/>
        </w:rPr>
        <w:t>法律法规</w:t>
      </w:r>
      <w:r>
        <w:rPr>
          <w:rFonts w:hint="default" w:ascii="Times New Roman" w:hAnsi="Times New Roman" w:eastAsia="宋体" w:cs="Times New Roman"/>
          <w:b/>
          <w:bCs/>
          <w:color w:val="auto"/>
          <w:kern w:val="2"/>
          <w:sz w:val="24"/>
          <w:szCs w:val="24"/>
          <w:highlight w:val="none"/>
          <w:lang w:val="en-US" w:eastAsia="zh-CN" w:bidi="ar-SA"/>
        </w:rPr>
        <w:t>及有关文件</w:t>
      </w:r>
    </w:p>
    <w:p w14:paraId="17B3083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kern w:val="2"/>
          <w:sz w:val="24"/>
          <w:szCs w:val="22"/>
          <w:highlight w:val="none"/>
          <w:lang w:val="en-US" w:eastAsia="zh-CN" w:bidi="ar-SA"/>
        </w:rPr>
        <w:t>（1）</w:t>
      </w:r>
      <w:r>
        <w:rPr>
          <w:rFonts w:hint="default" w:ascii="Times New Roman" w:hAnsi="Times New Roman" w:eastAsia="宋体" w:cs="Times New Roman"/>
          <w:color w:val="auto"/>
          <w:kern w:val="2"/>
          <w:sz w:val="24"/>
          <w:szCs w:val="24"/>
          <w:highlight w:val="none"/>
          <w:shd w:val="clear" w:color="auto" w:fill="auto"/>
          <w:lang w:val="en-US" w:eastAsia="zh-CN" w:bidi="zh-CN"/>
        </w:rPr>
        <w:t>《中华人</w:t>
      </w:r>
      <w:r>
        <w:rPr>
          <w:rFonts w:hint="default" w:ascii="Times New Roman" w:hAnsi="Times New Roman" w:eastAsia="宋体" w:cs="Times New Roman"/>
          <w:bCs/>
          <w:color w:val="auto"/>
          <w:sz w:val="24"/>
          <w:highlight w:val="none"/>
          <w:lang w:val="en-US" w:eastAsia="zh-CN"/>
        </w:rPr>
        <w:t>民共和国环境保护法》（中华人民共和国主席令第九号，2014.4.24修订，2015.1.1施行）；</w:t>
      </w:r>
    </w:p>
    <w:p w14:paraId="0FA8108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kern w:val="2"/>
          <w:sz w:val="24"/>
          <w:szCs w:val="22"/>
          <w:highlight w:val="none"/>
          <w:lang w:val="en-US" w:eastAsia="zh-CN" w:bidi="ar-SA"/>
        </w:rPr>
        <w:t>（2）</w:t>
      </w:r>
      <w:r>
        <w:rPr>
          <w:rFonts w:hint="default" w:ascii="Times New Roman" w:hAnsi="Times New Roman" w:eastAsia="宋体" w:cs="Times New Roman"/>
          <w:bCs/>
          <w:color w:val="auto"/>
          <w:sz w:val="24"/>
          <w:highlight w:val="none"/>
          <w:lang w:val="en-US" w:eastAsia="zh-CN"/>
        </w:rPr>
        <w:t>《中华人民共和国环境影响评价法》（中华人民共和国主席令第四十八号，2018.12.29修订施行）；</w:t>
      </w:r>
    </w:p>
    <w:p w14:paraId="37BA4ED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kern w:val="2"/>
          <w:sz w:val="24"/>
          <w:szCs w:val="22"/>
          <w:highlight w:val="none"/>
          <w:lang w:val="en-US" w:eastAsia="zh-CN" w:bidi="ar-SA"/>
        </w:rPr>
        <w:t>（3）</w:t>
      </w:r>
      <w:r>
        <w:rPr>
          <w:rFonts w:hint="default" w:ascii="Times New Roman" w:hAnsi="Times New Roman" w:eastAsia="宋体" w:cs="Times New Roman"/>
          <w:bCs/>
          <w:color w:val="auto"/>
          <w:sz w:val="24"/>
          <w:highlight w:val="none"/>
          <w:lang w:val="en-US" w:eastAsia="zh-CN"/>
        </w:rPr>
        <w:t>《建设项目环境保护管理条例》（中华人民共和国国务院令第682号，2017.7.16修订，2017.10.1施行）；</w:t>
      </w:r>
    </w:p>
    <w:p w14:paraId="6B0E420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kern w:val="2"/>
          <w:sz w:val="24"/>
          <w:szCs w:val="22"/>
          <w:highlight w:val="none"/>
          <w:lang w:val="en-US" w:eastAsia="zh-CN" w:bidi="ar-SA"/>
        </w:rPr>
        <w:t>（4）</w:t>
      </w:r>
      <w:r>
        <w:rPr>
          <w:rFonts w:hint="default" w:ascii="Times New Roman" w:hAnsi="Times New Roman" w:eastAsia="宋体" w:cs="Times New Roman"/>
          <w:bCs/>
          <w:color w:val="auto"/>
          <w:sz w:val="24"/>
          <w:highlight w:val="none"/>
          <w:lang w:val="en-US" w:eastAsia="zh-CN"/>
        </w:rPr>
        <w:t>《建设项目环境影响评价分类管理名录（2021年版）》（生态环境部令第16号）（2021年1月1</w:t>
      </w:r>
      <w:r>
        <w:rPr>
          <w:rFonts w:hint="default" w:ascii="Times New Roman" w:hAnsi="Times New Roman" w:cs="Times New Roman"/>
          <w:bCs/>
          <w:color w:val="auto"/>
          <w:sz w:val="24"/>
          <w:highlight w:val="none"/>
          <w:lang w:val="en-US" w:eastAsia="zh-CN"/>
        </w:rPr>
        <w:t>日</w:t>
      </w:r>
      <w:r>
        <w:rPr>
          <w:rFonts w:hint="default" w:ascii="Times New Roman" w:hAnsi="Times New Roman" w:eastAsia="宋体" w:cs="Times New Roman"/>
          <w:bCs/>
          <w:color w:val="auto"/>
          <w:sz w:val="24"/>
          <w:highlight w:val="none"/>
          <w:lang w:val="en-US" w:eastAsia="zh-CN"/>
        </w:rPr>
        <w:t>施行）；</w:t>
      </w:r>
    </w:p>
    <w:p w14:paraId="47EF299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kern w:val="2"/>
          <w:sz w:val="24"/>
          <w:szCs w:val="22"/>
          <w:highlight w:val="none"/>
          <w:lang w:val="en-US" w:eastAsia="zh-CN" w:bidi="ar-SA"/>
        </w:rPr>
        <w:t>（5）</w:t>
      </w:r>
      <w:r>
        <w:rPr>
          <w:rFonts w:hint="default" w:ascii="Times New Roman" w:hAnsi="Times New Roman" w:eastAsia="宋体" w:cs="Times New Roman"/>
          <w:bCs/>
          <w:color w:val="auto"/>
          <w:sz w:val="24"/>
          <w:highlight w:val="none"/>
          <w:lang w:val="en-US" w:eastAsia="zh-CN"/>
        </w:rPr>
        <w:t>《产业结构调整指导目录（2024年本）》（中华人民共和国国家发展和改革委员会令第7号，2023.12.27发布，2024.2.1实施）；</w:t>
      </w:r>
    </w:p>
    <w:p w14:paraId="70A5009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kern w:val="2"/>
          <w:sz w:val="24"/>
          <w:szCs w:val="22"/>
          <w:highlight w:val="none"/>
          <w:lang w:val="en-US" w:eastAsia="zh-CN" w:bidi="ar-SA"/>
        </w:rPr>
        <w:t>（6）</w:t>
      </w:r>
      <w:r>
        <w:rPr>
          <w:rFonts w:hint="default" w:ascii="Times New Roman" w:hAnsi="Times New Roman" w:eastAsia="宋体" w:cs="Times New Roman"/>
          <w:bCs/>
          <w:color w:val="auto"/>
          <w:sz w:val="24"/>
          <w:highlight w:val="none"/>
          <w:lang w:val="en-US" w:eastAsia="zh-CN"/>
        </w:rPr>
        <w:t>《国民经济行业分类》（GB/T4754-2017）（及2019年第一号修改单的通知，国统字〔2019〕66号）；</w:t>
      </w:r>
    </w:p>
    <w:p w14:paraId="3D25D8B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kern w:val="2"/>
          <w:sz w:val="24"/>
          <w:szCs w:val="22"/>
          <w:highlight w:val="none"/>
          <w:lang w:val="en-US" w:eastAsia="zh-CN" w:bidi="ar-SA"/>
        </w:rPr>
        <w:t>（7）</w:t>
      </w:r>
      <w:r>
        <w:rPr>
          <w:rFonts w:hint="default" w:ascii="Times New Roman" w:hAnsi="Times New Roman" w:eastAsia="宋体" w:cs="Times New Roman"/>
          <w:bCs/>
          <w:color w:val="auto"/>
          <w:sz w:val="24"/>
          <w:highlight w:val="none"/>
          <w:lang w:val="en-US" w:eastAsia="zh-CN"/>
        </w:rPr>
        <w:t>《危险化学品安全管理条例》（国务院令第645号）2013.12.7施行；</w:t>
      </w:r>
    </w:p>
    <w:p w14:paraId="32E8F7E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kern w:val="2"/>
          <w:sz w:val="24"/>
          <w:szCs w:val="22"/>
          <w:highlight w:val="none"/>
          <w:lang w:val="en-US" w:eastAsia="zh-CN" w:bidi="ar-SA"/>
        </w:rPr>
        <w:t>（8）</w:t>
      </w:r>
      <w:r>
        <w:rPr>
          <w:rFonts w:hint="default" w:ascii="Times New Roman" w:hAnsi="Times New Roman" w:eastAsia="宋体" w:cs="Times New Roman"/>
          <w:bCs/>
          <w:color w:val="auto"/>
          <w:sz w:val="24"/>
          <w:highlight w:val="none"/>
          <w:lang w:val="en-US" w:eastAsia="zh-CN"/>
        </w:rPr>
        <w:t>《突发环境事件应急管理办法》环境保护部，部令34号，2015.6.5施行；</w:t>
      </w:r>
    </w:p>
    <w:p w14:paraId="052F706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kern w:val="2"/>
          <w:sz w:val="24"/>
          <w:szCs w:val="22"/>
          <w:highlight w:val="none"/>
          <w:lang w:val="en-US" w:eastAsia="zh-CN" w:bidi="ar-SA"/>
        </w:rPr>
        <w:t>（9）</w:t>
      </w:r>
      <w:r>
        <w:rPr>
          <w:rFonts w:hint="default" w:ascii="Times New Roman" w:hAnsi="Times New Roman" w:eastAsia="宋体" w:cs="Times New Roman"/>
          <w:bCs/>
          <w:color w:val="auto"/>
          <w:sz w:val="24"/>
          <w:highlight w:val="none"/>
          <w:lang w:val="en-US" w:eastAsia="zh-CN"/>
        </w:rPr>
        <w:t>《关于进一步加强环境影响评价管理防范环境风险的通知》环发〔2012〕77号，2012.7；</w:t>
      </w:r>
    </w:p>
    <w:p w14:paraId="3F98711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kern w:val="2"/>
          <w:sz w:val="24"/>
          <w:szCs w:val="22"/>
          <w:highlight w:val="none"/>
          <w:lang w:val="en-US" w:eastAsia="zh-CN" w:bidi="ar-SA"/>
        </w:rPr>
        <w:t>（10）</w:t>
      </w:r>
      <w:r>
        <w:rPr>
          <w:rFonts w:hint="default" w:ascii="Times New Roman" w:hAnsi="Times New Roman" w:eastAsia="宋体" w:cs="Times New Roman"/>
          <w:bCs/>
          <w:color w:val="auto"/>
          <w:sz w:val="24"/>
          <w:highlight w:val="none"/>
          <w:lang w:val="en-US" w:eastAsia="zh-CN"/>
        </w:rPr>
        <w:t>《关于切实加强风险防范严格环境影响评价管理的通知》环发〔2012〕98号，2012.08.07；</w:t>
      </w:r>
    </w:p>
    <w:p w14:paraId="001B95F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kern w:val="2"/>
          <w:sz w:val="24"/>
          <w:szCs w:val="22"/>
          <w:highlight w:val="none"/>
          <w:lang w:val="en-US" w:eastAsia="zh-CN" w:bidi="ar-SA"/>
        </w:rPr>
        <w:t>（11）</w:t>
      </w:r>
      <w:r>
        <w:rPr>
          <w:rFonts w:hint="default" w:ascii="Times New Roman" w:hAnsi="Times New Roman" w:eastAsia="宋体" w:cs="Times New Roman"/>
          <w:bCs/>
          <w:color w:val="auto"/>
          <w:sz w:val="24"/>
          <w:highlight w:val="none"/>
          <w:lang w:val="en-US" w:eastAsia="zh-CN"/>
        </w:rPr>
        <w:t>关于印发《企业事业单位突发环境事件应急预案备案管理办法（试行）》的通知，环发〔2015〕4号，2015.01.08；</w:t>
      </w:r>
    </w:p>
    <w:p w14:paraId="664D293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kern w:val="2"/>
          <w:sz w:val="24"/>
          <w:szCs w:val="22"/>
          <w:highlight w:val="none"/>
          <w:lang w:val="en-US" w:eastAsia="zh-CN" w:bidi="ar-SA"/>
        </w:rPr>
        <w:t>（12）</w:t>
      </w:r>
      <w:r>
        <w:rPr>
          <w:rFonts w:hint="default" w:ascii="Times New Roman" w:hAnsi="Times New Roman" w:eastAsia="宋体" w:cs="Times New Roman"/>
          <w:bCs/>
          <w:color w:val="auto"/>
          <w:sz w:val="24"/>
          <w:highlight w:val="none"/>
          <w:lang w:val="en-US" w:eastAsia="zh-CN"/>
        </w:rPr>
        <w:t>关于印发《企业突发环境事件风险评估指南（试行）》的通知，环办〔2014〕34号，2014.04.03；</w:t>
      </w:r>
    </w:p>
    <w:p w14:paraId="1BC5C88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kern w:val="2"/>
          <w:sz w:val="24"/>
          <w:szCs w:val="22"/>
          <w:highlight w:val="none"/>
          <w:lang w:val="en-US" w:eastAsia="zh-CN" w:bidi="ar-SA"/>
        </w:rPr>
        <w:t>（13）</w:t>
      </w:r>
      <w:r>
        <w:rPr>
          <w:rFonts w:hint="default" w:ascii="Times New Roman" w:hAnsi="Times New Roman" w:eastAsia="宋体" w:cs="Times New Roman"/>
          <w:bCs/>
          <w:color w:val="auto"/>
          <w:sz w:val="24"/>
          <w:highlight w:val="none"/>
          <w:lang w:val="en-US" w:eastAsia="zh-CN"/>
        </w:rPr>
        <w:t>《国家危险废物名录（2025年版）》，部令第36号，2025.1.1实施；</w:t>
      </w:r>
    </w:p>
    <w:p w14:paraId="6522C01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kern w:val="2"/>
          <w:sz w:val="24"/>
          <w:szCs w:val="22"/>
          <w:highlight w:val="none"/>
          <w:lang w:val="en-US" w:eastAsia="zh-CN" w:bidi="ar-SA"/>
        </w:rPr>
        <w:t>（14）</w:t>
      </w:r>
      <w:r>
        <w:rPr>
          <w:rFonts w:hint="default" w:ascii="Times New Roman" w:hAnsi="Times New Roman" w:eastAsia="宋体" w:cs="Times New Roman"/>
          <w:bCs/>
          <w:color w:val="auto"/>
          <w:sz w:val="24"/>
          <w:highlight w:val="none"/>
          <w:lang w:val="en-US" w:eastAsia="zh-CN"/>
        </w:rPr>
        <w:t>《关于全面加强危险化学品安全生产工作的意见》，国务院办公厅印发，2020年2月26日；</w:t>
      </w:r>
    </w:p>
    <w:p w14:paraId="7564B529">
      <w:pPr>
        <w:pStyle w:val="4"/>
        <w:keepNext/>
        <w:keepLines/>
        <w:pageBreakBefore w:val="0"/>
        <w:widowControl w:val="0"/>
        <w:numPr>
          <w:ilvl w:val="2"/>
          <w:numId w:val="0"/>
        </w:numPr>
        <w:kinsoku/>
        <w:wordWrap/>
        <w:overflowPunct/>
        <w:topLinePunct w:val="0"/>
        <w:autoSpaceDE/>
        <w:autoSpaceDN/>
        <w:bidi w:val="0"/>
        <w:adjustRightInd w:val="0"/>
        <w:snapToGrid w:val="0"/>
        <w:spacing w:beforeLines="0" w:afterLines="0" w:line="360" w:lineRule="auto"/>
        <w:ind w:left="0" w:leftChars="0" w:right="0" w:rightChars="0"/>
        <w:textAlignment w:val="auto"/>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1.2.2技术规范</w:t>
      </w:r>
    </w:p>
    <w:p w14:paraId="229F92B4">
      <w:pPr>
        <w:pageBreakBefore w:val="0"/>
        <w:numPr>
          <w:ilvl w:val="0"/>
          <w:numId w:val="0"/>
        </w:numPr>
        <w:kinsoku/>
        <w:bidi w:val="0"/>
        <w:adjustRightInd w:val="0"/>
        <w:snapToGrid w:val="0"/>
        <w:spacing w:line="360" w:lineRule="auto"/>
        <w:ind w:left="0" w:leftChars="0" w:right="0" w:rightChars="0"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kern w:val="2"/>
          <w:sz w:val="24"/>
          <w:szCs w:val="22"/>
          <w:highlight w:val="none"/>
          <w:lang w:val="en-US" w:eastAsia="zh-CN" w:bidi="ar-SA"/>
        </w:rPr>
        <w:t>（1）</w:t>
      </w:r>
      <w:r>
        <w:rPr>
          <w:rFonts w:hint="default" w:ascii="Times New Roman" w:hAnsi="Times New Roman" w:eastAsia="宋体" w:cs="Times New Roman"/>
          <w:bCs/>
          <w:color w:val="auto"/>
          <w:sz w:val="24"/>
          <w:highlight w:val="none"/>
          <w:lang w:val="en-US" w:eastAsia="zh-CN"/>
        </w:rPr>
        <w:t>《环境影响评价技术导则总纲》（HJ2.1-2016）；</w:t>
      </w:r>
    </w:p>
    <w:p w14:paraId="46DF0741">
      <w:pPr>
        <w:pageBreakBefore w:val="0"/>
        <w:numPr>
          <w:ilvl w:val="0"/>
          <w:numId w:val="0"/>
        </w:numPr>
        <w:kinsoku/>
        <w:bidi w:val="0"/>
        <w:adjustRightInd w:val="0"/>
        <w:snapToGrid w:val="0"/>
        <w:spacing w:line="360" w:lineRule="auto"/>
        <w:ind w:left="0" w:leftChars="0" w:right="0" w:rightChars="0"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kern w:val="2"/>
          <w:sz w:val="24"/>
          <w:szCs w:val="22"/>
          <w:highlight w:val="none"/>
          <w:lang w:val="en-US" w:eastAsia="zh-CN" w:bidi="ar-SA"/>
        </w:rPr>
        <w:t>（2）</w:t>
      </w:r>
      <w:r>
        <w:rPr>
          <w:rFonts w:hint="default" w:ascii="Times New Roman" w:hAnsi="Times New Roman" w:eastAsia="宋体" w:cs="Times New Roman"/>
          <w:bCs/>
          <w:color w:val="auto"/>
          <w:sz w:val="24"/>
          <w:highlight w:val="none"/>
          <w:lang w:val="en-US" w:eastAsia="zh-CN"/>
        </w:rPr>
        <w:t>《建设项目环境风险评价技术导则》（HJ169-2018）；</w:t>
      </w:r>
    </w:p>
    <w:p w14:paraId="7E80F4C6">
      <w:pPr>
        <w:pageBreakBefore w:val="0"/>
        <w:numPr>
          <w:ilvl w:val="0"/>
          <w:numId w:val="0"/>
        </w:numPr>
        <w:kinsoku/>
        <w:bidi w:val="0"/>
        <w:adjustRightInd w:val="0"/>
        <w:snapToGrid w:val="0"/>
        <w:spacing w:line="360" w:lineRule="auto"/>
        <w:ind w:left="0" w:leftChars="0" w:right="0" w:rightChars="0"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kern w:val="2"/>
          <w:sz w:val="24"/>
          <w:szCs w:val="22"/>
          <w:highlight w:val="none"/>
          <w:lang w:val="en-US" w:eastAsia="zh-CN" w:bidi="ar-SA"/>
        </w:rPr>
        <w:t>（3）</w:t>
      </w:r>
      <w:r>
        <w:rPr>
          <w:rFonts w:hint="default" w:ascii="Times New Roman" w:hAnsi="Times New Roman" w:eastAsia="宋体" w:cs="Times New Roman"/>
          <w:bCs/>
          <w:color w:val="auto"/>
          <w:sz w:val="24"/>
          <w:highlight w:val="none"/>
          <w:lang w:val="en-US" w:eastAsia="zh-CN"/>
        </w:rPr>
        <w:t>《化工建设项目环境保护设计规范》（GB50483-2019）；</w:t>
      </w:r>
    </w:p>
    <w:p w14:paraId="20A34C45">
      <w:pPr>
        <w:pageBreakBefore w:val="0"/>
        <w:numPr>
          <w:ilvl w:val="0"/>
          <w:numId w:val="0"/>
        </w:numPr>
        <w:kinsoku/>
        <w:bidi w:val="0"/>
        <w:adjustRightInd w:val="0"/>
        <w:snapToGrid w:val="0"/>
        <w:spacing w:line="360" w:lineRule="auto"/>
        <w:ind w:left="0" w:leftChars="0" w:right="0" w:rightChars="0"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kern w:val="2"/>
          <w:sz w:val="24"/>
          <w:szCs w:val="22"/>
          <w:highlight w:val="none"/>
          <w:lang w:val="en-US" w:eastAsia="zh-CN" w:bidi="ar-SA"/>
        </w:rPr>
        <w:t>（4）</w:t>
      </w:r>
      <w:r>
        <w:rPr>
          <w:rFonts w:hint="default" w:ascii="Times New Roman" w:hAnsi="Times New Roman" w:eastAsia="宋体" w:cs="Times New Roman"/>
          <w:bCs/>
          <w:color w:val="auto"/>
          <w:sz w:val="24"/>
          <w:highlight w:val="none"/>
          <w:lang w:val="en-US" w:eastAsia="zh-CN"/>
        </w:rPr>
        <w:t>《石油化工工程防渗技术规范》（GB/T50934-2013）；</w:t>
      </w:r>
    </w:p>
    <w:p w14:paraId="1FDF9B6D">
      <w:pPr>
        <w:pStyle w:val="3"/>
        <w:keepNext/>
        <w:keepLines/>
        <w:pageBreakBefore w:val="0"/>
        <w:widowControl w:val="0"/>
        <w:numPr>
          <w:ilvl w:val="1"/>
          <w:numId w:val="0"/>
        </w:numPr>
        <w:kinsoku/>
        <w:wordWrap/>
        <w:overflowPunct/>
        <w:topLinePunct w:val="0"/>
        <w:autoSpaceDE/>
        <w:autoSpaceDN/>
        <w:bidi w:val="0"/>
        <w:adjustRightInd w:val="0"/>
        <w:snapToGrid w:val="0"/>
        <w:spacing w:before="0" w:after="0" w:line="360" w:lineRule="auto"/>
        <w:ind w:left="0" w:leftChars="0" w:right="0" w:rightChars="0"/>
        <w:textAlignment w:val="auto"/>
        <w:rPr>
          <w:rFonts w:hint="default" w:ascii="Times New Roman" w:hAnsi="Times New Roman" w:eastAsia="宋体" w:cs="Times New Roman"/>
          <w:b/>
          <w:bCs/>
          <w:color w:val="auto"/>
          <w:kern w:val="0"/>
          <w:sz w:val="24"/>
          <w:szCs w:val="24"/>
          <w:highlight w:val="none"/>
          <w:lang w:val="en-US" w:eastAsia="zh-CN" w:bidi="ar"/>
        </w:rPr>
      </w:pPr>
      <w:bookmarkStart w:id="53" w:name="_Toc3952"/>
      <w:r>
        <w:rPr>
          <w:rFonts w:hint="default" w:ascii="Times New Roman" w:hAnsi="Times New Roman" w:eastAsia="宋体" w:cs="Times New Roman"/>
          <w:b/>
          <w:bCs/>
          <w:color w:val="auto"/>
          <w:kern w:val="0"/>
          <w:sz w:val="24"/>
          <w:szCs w:val="24"/>
          <w:highlight w:val="none"/>
          <w:lang w:val="en-US" w:eastAsia="zh-CN" w:bidi="ar"/>
        </w:rPr>
        <w:t>1.3</w:t>
      </w:r>
      <w:r>
        <w:rPr>
          <w:rFonts w:hint="default" w:ascii="Times New Roman" w:hAnsi="Times New Roman" w:eastAsia="宋体" w:cs="Times New Roman"/>
          <w:color w:val="auto"/>
          <w:sz w:val="24"/>
          <w:szCs w:val="24"/>
          <w:highlight w:val="none"/>
          <w:lang w:val="en-US" w:eastAsia="zh-CN"/>
        </w:rPr>
        <w:t>评价目的及评价重点</w:t>
      </w:r>
      <w:bookmarkEnd w:id="53"/>
    </w:p>
    <w:p w14:paraId="6A88140F">
      <w:pPr>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环境风险是指突发性事故对环境造成的危害程度及可能性。</w:t>
      </w:r>
    </w:p>
    <w:p w14:paraId="68967949">
      <w:pPr>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14:paraId="33BD6A6B">
      <w:pPr>
        <w:pStyle w:val="116"/>
        <w:pageBreakBefore w:val="0"/>
        <w:widowControl w:val="0"/>
        <w:kinsoku/>
        <w:wordWrap/>
        <w:overflowPunct/>
        <w:topLinePunct w:val="0"/>
        <w:autoSpaceDE/>
        <w:autoSpaceDN/>
        <w:bidi w:val="0"/>
        <w:adjustRightInd w:val="0"/>
        <w:snapToGrid w:val="0"/>
        <w:spacing w:line="360" w:lineRule="auto"/>
        <w:ind w:left="0" w:leftChars="0" w:right="0" w:rightChars="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highlight w:val="none"/>
          <w:lang w:val="en-US" w:eastAsia="zh-CN"/>
        </w:rPr>
        <w:t>本次环境风险评价的重点是正己烷在储存过程中发生泄漏、火灾以及爆炸对周围环境以及人体健康的影响</w:t>
      </w:r>
      <w:r>
        <w:rPr>
          <w:rFonts w:hint="default" w:ascii="Times New Roman" w:hAnsi="Times New Roman" w:eastAsia="宋体" w:cs="Times New Roman"/>
          <w:color w:val="auto"/>
          <w:sz w:val="24"/>
          <w:szCs w:val="24"/>
          <w:highlight w:val="none"/>
        </w:rPr>
        <w:t>。</w:t>
      </w:r>
    </w:p>
    <w:p w14:paraId="454ED78E">
      <w:pPr>
        <w:pStyle w:val="3"/>
        <w:keepNext/>
        <w:keepLines/>
        <w:pageBreakBefore w:val="0"/>
        <w:widowControl w:val="0"/>
        <w:numPr>
          <w:ilvl w:val="1"/>
          <w:numId w:val="0"/>
        </w:numPr>
        <w:kinsoku/>
        <w:wordWrap/>
        <w:overflowPunct/>
        <w:topLinePunct w:val="0"/>
        <w:autoSpaceDE/>
        <w:autoSpaceDN/>
        <w:bidi w:val="0"/>
        <w:adjustRightInd w:val="0"/>
        <w:snapToGrid w:val="0"/>
        <w:spacing w:before="0" w:after="0" w:line="360" w:lineRule="auto"/>
        <w:ind w:left="0" w:leftChars="0" w:right="0" w:rightChars="0"/>
        <w:jc w:val="left"/>
        <w:textAlignment w:val="auto"/>
        <w:rPr>
          <w:rFonts w:hint="default" w:ascii="Times New Roman" w:hAnsi="Times New Roman" w:eastAsia="宋体" w:cs="Times New Roman"/>
          <w:color w:val="auto"/>
          <w:sz w:val="24"/>
          <w:szCs w:val="24"/>
          <w:highlight w:val="none"/>
        </w:rPr>
      </w:pPr>
      <w:bookmarkStart w:id="54" w:name="_Toc8543"/>
      <w:r>
        <w:rPr>
          <w:rFonts w:hint="default" w:ascii="Times New Roman" w:hAnsi="Times New Roman" w:eastAsia="宋体" w:cs="Times New Roman"/>
          <w:color w:val="auto"/>
          <w:sz w:val="24"/>
          <w:szCs w:val="24"/>
          <w:highlight w:val="none"/>
          <w:lang w:val="en-US" w:eastAsia="zh-CN"/>
        </w:rPr>
        <w:t>1.4</w:t>
      </w:r>
      <w:r>
        <w:rPr>
          <w:rFonts w:hint="default" w:ascii="Times New Roman" w:hAnsi="Times New Roman" w:eastAsia="宋体" w:cs="Times New Roman"/>
          <w:color w:val="auto"/>
          <w:sz w:val="24"/>
          <w:szCs w:val="24"/>
          <w:highlight w:val="none"/>
        </w:rPr>
        <w:t>评价工作程序</w:t>
      </w:r>
      <w:bookmarkEnd w:id="54"/>
    </w:p>
    <w:p w14:paraId="1055A3AC">
      <w:pPr>
        <w:pStyle w:val="116"/>
        <w:pageBreakBefore w:val="0"/>
        <w:widowControl w:val="0"/>
        <w:kinsoku/>
        <w:wordWrap/>
        <w:overflowPunct/>
        <w:topLinePunct w:val="0"/>
        <w:autoSpaceDE/>
        <w:autoSpaceDN/>
        <w:bidi w:val="0"/>
        <w:adjustRightInd w:val="0"/>
        <w:snapToGrid w:val="0"/>
        <w:spacing w:line="360" w:lineRule="auto"/>
        <w:ind w:left="0" w:leftChars="0" w:right="0" w:right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建设项目环境风险评价工作程序见图1-1。</w:t>
      </w:r>
    </w:p>
    <w:p w14:paraId="6EAABC9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0" distR="0">
            <wp:extent cx="5273040" cy="4979035"/>
            <wp:effectExtent l="19050" t="19050" r="22860" b="311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74"/>
                    <a:srcRect t="1697"/>
                    <a:stretch>
                      <a:fillRect/>
                    </a:stretch>
                  </pic:blipFill>
                  <pic:spPr>
                    <a:xfrm>
                      <a:off x="0" y="0"/>
                      <a:ext cx="5273040" cy="4979035"/>
                    </a:xfrm>
                    <a:prstGeom prst="rect">
                      <a:avLst/>
                    </a:prstGeom>
                    <a:noFill/>
                    <a:ln w="19050" cmpd="sng">
                      <a:solidFill>
                        <a:srgbClr val="000000"/>
                      </a:solidFill>
                      <a:miter lim="800000"/>
                      <a:headEnd/>
                      <a:tailEnd/>
                    </a:ln>
                    <a:effectLst/>
                  </pic:spPr>
                </pic:pic>
              </a:graphicData>
            </a:graphic>
          </wp:inline>
        </w:drawing>
      </w:r>
    </w:p>
    <w:p w14:paraId="6895009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图1-1建设项目环境风险评价工作程序图</w:t>
      </w:r>
    </w:p>
    <w:p w14:paraId="33F6B772">
      <w:pPr>
        <w:pStyle w:val="3"/>
        <w:keepNext/>
        <w:keepLines/>
        <w:pageBreakBefore w:val="0"/>
        <w:widowControl w:val="0"/>
        <w:numPr>
          <w:ilvl w:val="1"/>
          <w:numId w:val="0"/>
        </w:numPr>
        <w:kinsoku/>
        <w:wordWrap/>
        <w:overflowPunct/>
        <w:topLinePunct w:val="0"/>
        <w:autoSpaceDE/>
        <w:autoSpaceDN/>
        <w:bidi w:val="0"/>
        <w:adjustRightInd w:val="0"/>
        <w:snapToGrid w:val="0"/>
        <w:spacing w:before="0" w:after="0" w:line="360" w:lineRule="auto"/>
        <w:ind w:left="0" w:leftChars="0" w:right="0" w:rightChars="0"/>
        <w:textAlignment w:val="auto"/>
        <w:rPr>
          <w:rFonts w:hint="default" w:ascii="Times New Roman" w:hAnsi="Times New Roman" w:eastAsia="宋体" w:cs="Times New Roman"/>
          <w:color w:val="auto"/>
          <w:sz w:val="24"/>
          <w:szCs w:val="24"/>
          <w:highlight w:val="none"/>
        </w:rPr>
      </w:pPr>
      <w:bookmarkStart w:id="55" w:name="_Toc10969"/>
      <w:bookmarkStart w:id="56" w:name="_Toc359179951"/>
      <w:bookmarkStart w:id="57" w:name="_Toc440973671"/>
      <w:bookmarkStart w:id="58" w:name="_Toc436406186"/>
      <w:bookmarkStart w:id="59" w:name="_Toc440973405"/>
      <w:bookmarkStart w:id="60" w:name="_Toc360142516"/>
      <w:bookmarkStart w:id="61" w:name="_Toc451367529"/>
      <w:r>
        <w:rPr>
          <w:rFonts w:hint="default" w:ascii="Times New Roman" w:hAnsi="Times New Roman" w:eastAsia="宋体" w:cs="Times New Roman"/>
          <w:color w:val="auto"/>
          <w:sz w:val="24"/>
          <w:szCs w:val="24"/>
          <w:highlight w:val="none"/>
          <w:lang w:val="en-US" w:eastAsia="zh-CN"/>
        </w:rPr>
        <w:t>1.5</w:t>
      </w:r>
      <w:r>
        <w:rPr>
          <w:rFonts w:hint="default" w:ascii="Times New Roman" w:hAnsi="Times New Roman" w:eastAsia="宋体" w:cs="Times New Roman"/>
          <w:color w:val="auto"/>
          <w:sz w:val="24"/>
          <w:szCs w:val="24"/>
          <w:highlight w:val="none"/>
        </w:rPr>
        <w:t>评价工作等级划分</w:t>
      </w:r>
      <w:bookmarkEnd w:id="55"/>
      <w:bookmarkEnd w:id="56"/>
      <w:bookmarkEnd w:id="57"/>
      <w:bookmarkEnd w:id="58"/>
      <w:bookmarkEnd w:id="59"/>
      <w:bookmarkEnd w:id="60"/>
      <w:bookmarkEnd w:id="61"/>
    </w:p>
    <w:p w14:paraId="42599A1D">
      <w:pPr>
        <w:pageBreakBefore w:val="0"/>
        <w:kinsoku/>
        <w:bidi w:val="0"/>
        <w:adjustRightInd w:val="0"/>
        <w:snapToGrid w:val="0"/>
        <w:spacing w:line="360" w:lineRule="auto"/>
        <w:ind w:left="0" w:leftChars="0" w:right="0" w:rightChars="0" w:firstLine="480"/>
        <w:rPr>
          <w:rFonts w:hint="default" w:ascii="Times New Roman" w:hAnsi="Times New Roman" w:eastAsia="宋体" w:cs="Times New Roman"/>
          <w:color w:val="auto"/>
          <w:sz w:val="24"/>
          <w:szCs w:val="24"/>
          <w:highlight w:val="none"/>
        </w:rPr>
      </w:pPr>
      <w:bookmarkStart w:id="62" w:name="_Toc440973673"/>
      <w:bookmarkStart w:id="63" w:name="_Toc360142518"/>
      <w:bookmarkStart w:id="64" w:name="_Toc440973037"/>
      <w:bookmarkStart w:id="65" w:name="_Toc440973407"/>
      <w:bookmarkStart w:id="66" w:name="_Toc359179953"/>
      <w:r>
        <w:rPr>
          <w:rFonts w:hint="default" w:ascii="Times New Roman" w:hAnsi="Times New Roman" w:eastAsia="宋体" w:cs="Times New Roman"/>
          <w:color w:val="auto"/>
          <w:sz w:val="24"/>
          <w:szCs w:val="24"/>
          <w:highlight w:val="none"/>
        </w:rPr>
        <w:t>依据《建设项目环境风险评价技术导则》（</w:t>
      </w:r>
      <w:r>
        <w:rPr>
          <w:rFonts w:hint="default" w:ascii="Times New Roman" w:hAnsi="Times New Roman" w:eastAsia="宋体" w:cs="Times New Roman"/>
          <w:color w:val="auto"/>
          <w:kern w:val="2"/>
          <w:sz w:val="24"/>
          <w:szCs w:val="24"/>
          <w:highlight w:val="none"/>
          <w:shd w:val="clear" w:color="auto" w:fill="auto"/>
          <w:lang w:val="en-US" w:eastAsia="zh-CN" w:bidi="zh-CN"/>
        </w:rPr>
        <w:t>HJ169-2018</w:t>
      </w:r>
      <w:r>
        <w:rPr>
          <w:rFonts w:hint="default" w:ascii="Times New Roman" w:hAnsi="Times New Roman" w:eastAsia="宋体" w:cs="Times New Roman"/>
          <w:color w:val="auto"/>
          <w:sz w:val="24"/>
          <w:szCs w:val="24"/>
          <w:highlight w:val="none"/>
        </w:rPr>
        <w:t>）的有关规定，根据建设项目涉及的物质及工艺系统危险性和所在地的环境敏感性确定环境风险潜势，按照表1-1确定评价工作等级。</w:t>
      </w:r>
    </w:p>
    <w:p w14:paraId="3D1B80D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表1-1 评价工作等级划分</w:t>
      </w:r>
    </w:p>
    <w:tbl>
      <w:tblPr>
        <w:tblStyle w:val="2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3"/>
        <w:gridCol w:w="1462"/>
        <w:gridCol w:w="1706"/>
        <w:gridCol w:w="2192"/>
        <w:gridCol w:w="1465"/>
      </w:tblGrid>
      <w:tr w14:paraId="2493DB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vAlign w:val="center"/>
          </w:tcPr>
          <w:p w14:paraId="02B85D1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en-US"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环境风险潜势</w:t>
            </w:r>
          </w:p>
        </w:tc>
        <w:tc>
          <w:tcPr>
            <w:tcW w:w="857" w:type="pct"/>
            <w:vAlign w:val="center"/>
          </w:tcPr>
          <w:p w14:paraId="790D00B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en-US" w:bidi="zh-CN"/>
              </w:rPr>
              <w:t>Ⅳ</w:t>
            </w:r>
            <w:r>
              <w:rPr>
                <w:rFonts w:hint="default" w:ascii="Times New Roman" w:hAnsi="Times New Roman" w:eastAsia="宋体" w:cs="Times New Roman"/>
                <w:color w:val="auto"/>
                <w:kern w:val="2"/>
                <w:sz w:val="21"/>
                <w:szCs w:val="21"/>
                <w:highlight w:val="none"/>
                <w:shd w:val="clear" w:color="auto" w:fill="auto"/>
                <w:lang w:val="en-US" w:eastAsia="zh-CN" w:bidi="zh-CN"/>
              </w:rPr>
              <w:t>、</w:t>
            </w:r>
            <w:r>
              <w:rPr>
                <w:rFonts w:hint="default" w:ascii="Times New Roman" w:hAnsi="Times New Roman" w:eastAsia="宋体" w:cs="Times New Roman"/>
                <w:color w:val="auto"/>
                <w:kern w:val="2"/>
                <w:sz w:val="21"/>
                <w:szCs w:val="21"/>
                <w:highlight w:val="none"/>
                <w:shd w:val="clear" w:color="auto" w:fill="auto"/>
                <w:lang w:val="en-US" w:eastAsia="en-US" w:bidi="zh-CN"/>
              </w:rPr>
              <w:t>Ⅳ</w:t>
            </w:r>
            <w:r>
              <w:rPr>
                <w:rFonts w:hint="default" w:ascii="Times New Roman" w:hAnsi="Times New Roman" w:eastAsia="宋体" w:cs="Times New Roman"/>
                <w:color w:val="auto"/>
                <w:kern w:val="2"/>
                <w:sz w:val="21"/>
                <w:szCs w:val="21"/>
                <w:highlight w:val="none"/>
                <w:shd w:val="clear" w:color="auto" w:fill="auto"/>
                <w:lang w:val="en-US" w:eastAsia="zh-CN" w:bidi="zh-CN"/>
              </w:rPr>
              <w:t>+</w:t>
            </w:r>
          </w:p>
        </w:tc>
        <w:tc>
          <w:tcPr>
            <w:tcW w:w="1000" w:type="pct"/>
            <w:tcBorders>
              <w:bottom w:val="single" w:color="auto" w:sz="4" w:space="0"/>
            </w:tcBorders>
            <w:vAlign w:val="center"/>
          </w:tcPr>
          <w:p w14:paraId="784A5B7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en-US" w:bidi="zh-CN"/>
              </w:rPr>
            </w:pPr>
            <w:r>
              <w:rPr>
                <w:rFonts w:hint="default" w:ascii="Times New Roman" w:hAnsi="Times New Roman" w:eastAsia="宋体" w:cs="Times New Roman"/>
                <w:color w:val="auto"/>
                <w:kern w:val="2"/>
                <w:sz w:val="21"/>
                <w:szCs w:val="21"/>
                <w:highlight w:val="none"/>
                <w:shd w:val="clear" w:color="auto" w:fill="auto"/>
                <w:lang w:val="en-US" w:eastAsia="en-US" w:bidi="zh-CN"/>
              </w:rPr>
              <w:t>Ⅲ</w:t>
            </w:r>
          </w:p>
        </w:tc>
        <w:tc>
          <w:tcPr>
            <w:tcW w:w="1285" w:type="pct"/>
            <w:vAlign w:val="center"/>
          </w:tcPr>
          <w:p w14:paraId="12297B3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Ⅱ</w:t>
            </w:r>
          </w:p>
        </w:tc>
        <w:tc>
          <w:tcPr>
            <w:tcW w:w="857" w:type="pct"/>
            <w:vAlign w:val="center"/>
          </w:tcPr>
          <w:p w14:paraId="0F99E0F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en-US" w:bidi="zh-CN"/>
              </w:rPr>
            </w:pPr>
            <w:r>
              <w:rPr>
                <w:rFonts w:hint="default" w:ascii="Times New Roman" w:hAnsi="Times New Roman" w:eastAsia="宋体" w:cs="Times New Roman"/>
                <w:color w:val="auto"/>
                <w:kern w:val="2"/>
                <w:sz w:val="21"/>
                <w:szCs w:val="21"/>
                <w:highlight w:val="none"/>
                <w:shd w:val="clear" w:color="auto" w:fill="auto"/>
                <w:lang w:val="en-US" w:eastAsia="en-US" w:bidi="zh-CN"/>
              </w:rPr>
              <w:t>Ⅰ</w:t>
            </w:r>
          </w:p>
        </w:tc>
      </w:tr>
      <w:tr w14:paraId="60D296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vAlign w:val="center"/>
          </w:tcPr>
          <w:p w14:paraId="1B98CE9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en-US"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评价工作等级</w:t>
            </w:r>
          </w:p>
        </w:tc>
        <w:tc>
          <w:tcPr>
            <w:tcW w:w="857" w:type="pct"/>
            <w:vAlign w:val="center"/>
          </w:tcPr>
          <w:p w14:paraId="6D449AA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en-US"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一</w:t>
            </w:r>
          </w:p>
        </w:tc>
        <w:tc>
          <w:tcPr>
            <w:tcW w:w="1000" w:type="pct"/>
            <w:tcBorders>
              <w:top w:val="single" w:color="auto" w:sz="4" w:space="0"/>
              <w:bottom w:val="single" w:color="auto" w:sz="4" w:space="0"/>
            </w:tcBorders>
            <w:shd w:val="clear" w:color="auto" w:fill="auto"/>
            <w:vAlign w:val="center"/>
          </w:tcPr>
          <w:p w14:paraId="0BC8A7D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en-US"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二</w:t>
            </w:r>
          </w:p>
        </w:tc>
        <w:tc>
          <w:tcPr>
            <w:tcW w:w="1285" w:type="pct"/>
            <w:vAlign w:val="center"/>
          </w:tcPr>
          <w:p w14:paraId="766056C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en-US"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三</w:t>
            </w:r>
          </w:p>
        </w:tc>
        <w:tc>
          <w:tcPr>
            <w:tcW w:w="857" w:type="pct"/>
            <w:vAlign w:val="center"/>
          </w:tcPr>
          <w:p w14:paraId="2D98E3B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en-US"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简单分析a</w:t>
            </w:r>
          </w:p>
        </w:tc>
      </w:tr>
      <w:tr w14:paraId="3C3C7F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5"/>
            <w:vAlign w:val="center"/>
          </w:tcPr>
          <w:p w14:paraId="28DE0D3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a是相对于详细评价工作内容而言，在描述危险物质、环境影响途径、环境危害后果、风险防范措施等方面给出定性的说明。见HJ169-2018附录A</w:t>
            </w:r>
          </w:p>
        </w:tc>
      </w:tr>
    </w:tbl>
    <w:p w14:paraId="0510B982">
      <w:pPr>
        <w:pStyle w:val="4"/>
        <w:keepNext/>
        <w:keepLines/>
        <w:pageBreakBefore w:val="0"/>
        <w:widowControl w:val="0"/>
        <w:numPr>
          <w:ilvl w:val="2"/>
          <w:numId w:val="0"/>
        </w:numPr>
        <w:kinsoku/>
        <w:wordWrap/>
        <w:overflowPunct/>
        <w:topLinePunct w:val="0"/>
        <w:autoSpaceDE/>
        <w:autoSpaceDN/>
        <w:bidi w:val="0"/>
        <w:adjustRightInd w:val="0"/>
        <w:snapToGrid w:val="0"/>
        <w:spacing w:beforeLines="0" w:afterLines="0" w:line="360" w:lineRule="auto"/>
        <w:ind w:left="0" w:leftChars="0" w:right="0" w:right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1.5.1</w:t>
      </w:r>
      <w:r>
        <w:rPr>
          <w:rFonts w:hint="default" w:ascii="Times New Roman" w:hAnsi="Times New Roman" w:eastAsia="宋体" w:cs="Times New Roman"/>
          <w:color w:val="auto"/>
          <w:sz w:val="24"/>
          <w:szCs w:val="24"/>
          <w:highlight w:val="none"/>
        </w:rPr>
        <w:t>建设项目环境风险潜势划分</w:t>
      </w:r>
    </w:p>
    <w:p w14:paraId="128275D2">
      <w:pPr>
        <w:pageBreakBefore w:val="0"/>
        <w:kinsoku/>
        <w:bidi w:val="0"/>
        <w:adjustRightInd w:val="0"/>
        <w:snapToGrid w:val="0"/>
        <w:spacing w:line="360" w:lineRule="auto"/>
        <w:ind w:left="0" w:leftChars="0" w:right="0" w:rightChars="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根据建设项目涉及的物质及工艺系统危险性和所在地的环境敏感程度，结合事故情形下环境影响途径，对建设潜在的环境危害程度进行概化，按照表1-2确定环境风险潜势。</w:t>
      </w:r>
    </w:p>
    <w:p w14:paraId="2FD3005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表1-2 建设项目环境风险潜势划分</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14"/>
        <w:gridCol w:w="1527"/>
        <w:gridCol w:w="1527"/>
        <w:gridCol w:w="1527"/>
        <w:gridCol w:w="1533"/>
      </w:tblGrid>
      <w:tr w14:paraId="08E340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16" w:type="pct"/>
            <w:vMerge w:val="restart"/>
            <w:vAlign w:val="center"/>
          </w:tcPr>
          <w:p w14:paraId="5A5F175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环境敏感程度（E）</w:t>
            </w:r>
          </w:p>
        </w:tc>
        <w:tc>
          <w:tcPr>
            <w:tcW w:w="3583" w:type="pct"/>
            <w:gridSpan w:val="4"/>
            <w:vAlign w:val="center"/>
          </w:tcPr>
          <w:p w14:paraId="4D953A4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危险物质及工艺系统危险性（P）</w:t>
            </w:r>
          </w:p>
        </w:tc>
      </w:tr>
      <w:tr w14:paraId="773108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16" w:type="pct"/>
            <w:vMerge w:val="continue"/>
            <w:vAlign w:val="center"/>
          </w:tcPr>
          <w:p w14:paraId="3D09C12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p>
        </w:tc>
        <w:tc>
          <w:tcPr>
            <w:tcW w:w="895" w:type="pct"/>
            <w:vAlign w:val="center"/>
          </w:tcPr>
          <w:p w14:paraId="6EBB6AC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极高危害（P1）</w:t>
            </w:r>
          </w:p>
        </w:tc>
        <w:tc>
          <w:tcPr>
            <w:tcW w:w="895" w:type="pct"/>
            <w:vAlign w:val="center"/>
          </w:tcPr>
          <w:p w14:paraId="1E8C1D9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高度危害（P2）</w:t>
            </w:r>
          </w:p>
        </w:tc>
        <w:tc>
          <w:tcPr>
            <w:tcW w:w="895" w:type="pct"/>
            <w:vAlign w:val="center"/>
          </w:tcPr>
          <w:p w14:paraId="391AD55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中度危害（P3）</w:t>
            </w:r>
          </w:p>
        </w:tc>
        <w:tc>
          <w:tcPr>
            <w:tcW w:w="895" w:type="pct"/>
            <w:vAlign w:val="center"/>
          </w:tcPr>
          <w:p w14:paraId="0C678F7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轻度危害（P4）</w:t>
            </w:r>
          </w:p>
        </w:tc>
      </w:tr>
      <w:tr w14:paraId="09DD3C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16" w:type="pct"/>
            <w:vAlign w:val="center"/>
          </w:tcPr>
          <w:p w14:paraId="57866D6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环境高度敏感区（E1）</w:t>
            </w:r>
          </w:p>
        </w:tc>
        <w:tc>
          <w:tcPr>
            <w:tcW w:w="895" w:type="pct"/>
            <w:vAlign w:val="center"/>
          </w:tcPr>
          <w:p w14:paraId="3E186CC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en-US" w:bidi="zh-CN"/>
              </w:rPr>
              <w:t>Ⅳ</w:t>
            </w:r>
            <w:r>
              <w:rPr>
                <w:rFonts w:hint="default" w:ascii="Times New Roman" w:hAnsi="Times New Roman" w:eastAsia="宋体" w:cs="Times New Roman"/>
                <w:color w:val="auto"/>
                <w:kern w:val="2"/>
                <w:sz w:val="21"/>
                <w:szCs w:val="21"/>
                <w:highlight w:val="none"/>
                <w:shd w:val="clear" w:color="auto" w:fill="auto"/>
                <w:vertAlign w:val="superscript"/>
                <w:lang w:val="en-US" w:eastAsia="zh-CN" w:bidi="zh-CN"/>
              </w:rPr>
              <w:t>+</w:t>
            </w:r>
          </w:p>
        </w:tc>
        <w:tc>
          <w:tcPr>
            <w:tcW w:w="895" w:type="pct"/>
            <w:tcBorders>
              <w:bottom w:val="single" w:color="auto" w:sz="4" w:space="0"/>
            </w:tcBorders>
            <w:vAlign w:val="center"/>
          </w:tcPr>
          <w:p w14:paraId="28F0D52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en-US" w:bidi="zh-CN"/>
              </w:rPr>
              <w:t>Ⅳ</w:t>
            </w:r>
          </w:p>
        </w:tc>
        <w:tc>
          <w:tcPr>
            <w:tcW w:w="895" w:type="pct"/>
            <w:vAlign w:val="center"/>
          </w:tcPr>
          <w:p w14:paraId="2758E18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en-US" w:bidi="zh-CN"/>
              </w:rPr>
              <w:t>Ⅲ</w:t>
            </w:r>
          </w:p>
        </w:tc>
        <w:tc>
          <w:tcPr>
            <w:tcW w:w="895" w:type="pct"/>
            <w:vAlign w:val="center"/>
          </w:tcPr>
          <w:p w14:paraId="24F8EFF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en-US" w:bidi="zh-CN"/>
              </w:rPr>
              <w:t>Ⅲ</w:t>
            </w:r>
          </w:p>
        </w:tc>
      </w:tr>
      <w:tr w14:paraId="694DDD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16" w:type="pct"/>
            <w:vAlign w:val="center"/>
          </w:tcPr>
          <w:p w14:paraId="63E0011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环境中度敏感区（E2）</w:t>
            </w:r>
          </w:p>
        </w:tc>
        <w:tc>
          <w:tcPr>
            <w:tcW w:w="895" w:type="pct"/>
            <w:vAlign w:val="center"/>
          </w:tcPr>
          <w:p w14:paraId="2C59D89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en-US" w:bidi="zh-CN"/>
              </w:rPr>
              <w:t>Ⅳ</w:t>
            </w:r>
          </w:p>
        </w:tc>
        <w:tc>
          <w:tcPr>
            <w:tcW w:w="895" w:type="pct"/>
            <w:tcBorders>
              <w:top w:val="single" w:color="auto" w:sz="4" w:space="0"/>
              <w:bottom w:val="single" w:color="auto" w:sz="4" w:space="0"/>
            </w:tcBorders>
            <w:shd w:val="clear" w:color="auto" w:fill="auto"/>
            <w:vAlign w:val="center"/>
          </w:tcPr>
          <w:p w14:paraId="768986A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en-US" w:bidi="zh-CN"/>
              </w:rPr>
              <w:t>Ⅲ</w:t>
            </w:r>
          </w:p>
        </w:tc>
        <w:tc>
          <w:tcPr>
            <w:tcW w:w="895" w:type="pct"/>
            <w:vAlign w:val="center"/>
          </w:tcPr>
          <w:p w14:paraId="477ECAF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en-US" w:bidi="zh-CN"/>
              </w:rPr>
              <w:t>Ⅲ</w:t>
            </w:r>
          </w:p>
        </w:tc>
        <w:tc>
          <w:tcPr>
            <w:tcW w:w="895" w:type="pct"/>
            <w:vAlign w:val="center"/>
          </w:tcPr>
          <w:p w14:paraId="67168B3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Ⅱ</w:t>
            </w:r>
          </w:p>
        </w:tc>
      </w:tr>
      <w:tr w14:paraId="0E46FD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16" w:type="pct"/>
            <w:vAlign w:val="center"/>
          </w:tcPr>
          <w:p w14:paraId="6911072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环境低度敏感区（E3）</w:t>
            </w:r>
          </w:p>
        </w:tc>
        <w:tc>
          <w:tcPr>
            <w:tcW w:w="895" w:type="pct"/>
            <w:vAlign w:val="center"/>
          </w:tcPr>
          <w:p w14:paraId="40729CA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en-US" w:bidi="zh-CN"/>
              </w:rPr>
              <w:t>Ⅲ</w:t>
            </w:r>
          </w:p>
        </w:tc>
        <w:tc>
          <w:tcPr>
            <w:tcW w:w="895" w:type="pct"/>
            <w:tcBorders>
              <w:top w:val="single" w:color="auto" w:sz="4" w:space="0"/>
              <w:bottom w:val="single" w:color="auto" w:sz="4" w:space="0"/>
            </w:tcBorders>
            <w:shd w:val="clear" w:color="auto" w:fill="auto"/>
            <w:vAlign w:val="center"/>
          </w:tcPr>
          <w:p w14:paraId="335FF22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en-US" w:bidi="zh-CN"/>
              </w:rPr>
              <w:t>Ⅲ</w:t>
            </w:r>
          </w:p>
        </w:tc>
        <w:tc>
          <w:tcPr>
            <w:tcW w:w="895" w:type="pct"/>
            <w:vAlign w:val="center"/>
          </w:tcPr>
          <w:p w14:paraId="2CC193D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Ⅱ</w:t>
            </w:r>
          </w:p>
        </w:tc>
        <w:tc>
          <w:tcPr>
            <w:tcW w:w="895" w:type="pct"/>
            <w:vAlign w:val="center"/>
          </w:tcPr>
          <w:p w14:paraId="19F625F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en-US" w:bidi="zh-CN"/>
              </w:rPr>
              <w:t>Ⅰ</w:t>
            </w:r>
          </w:p>
        </w:tc>
      </w:tr>
      <w:tr w14:paraId="40A616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5"/>
            <w:vAlign w:val="center"/>
          </w:tcPr>
          <w:p w14:paraId="1C9EA06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注：Ⅳ</w:t>
            </w:r>
            <w:r>
              <w:rPr>
                <w:rFonts w:hint="default" w:ascii="Times New Roman" w:hAnsi="Times New Roman" w:eastAsia="宋体" w:cs="Times New Roman"/>
                <w:color w:val="auto"/>
                <w:kern w:val="2"/>
                <w:sz w:val="21"/>
                <w:szCs w:val="21"/>
                <w:highlight w:val="none"/>
                <w:shd w:val="clear" w:color="auto" w:fill="auto"/>
                <w:vertAlign w:val="superscript"/>
                <w:lang w:val="en-US" w:eastAsia="zh-CN" w:bidi="zh-CN"/>
              </w:rPr>
              <w:t>+</w:t>
            </w:r>
            <w:r>
              <w:rPr>
                <w:rFonts w:hint="default" w:ascii="Times New Roman" w:hAnsi="Times New Roman" w:eastAsia="宋体" w:cs="Times New Roman"/>
                <w:color w:val="auto"/>
                <w:kern w:val="2"/>
                <w:sz w:val="21"/>
                <w:szCs w:val="21"/>
                <w:highlight w:val="none"/>
                <w:shd w:val="clear" w:color="auto" w:fill="auto"/>
                <w:lang w:val="en-US" w:eastAsia="zh-CN" w:bidi="zh-CN"/>
              </w:rPr>
              <w:t>为极高环境风险</w:t>
            </w:r>
          </w:p>
        </w:tc>
      </w:tr>
    </w:tbl>
    <w:p w14:paraId="61E7E3F2">
      <w:pPr>
        <w:pStyle w:val="4"/>
        <w:keepNext/>
        <w:keepLines/>
        <w:pageBreakBefore w:val="0"/>
        <w:widowControl w:val="0"/>
        <w:numPr>
          <w:ilvl w:val="2"/>
          <w:numId w:val="0"/>
        </w:numPr>
        <w:kinsoku/>
        <w:wordWrap/>
        <w:overflowPunct/>
        <w:topLinePunct w:val="0"/>
        <w:autoSpaceDE/>
        <w:autoSpaceDN/>
        <w:bidi w:val="0"/>
        <w:adjustRightInd w:val="0"/>
        <w:snapToGrid w:val="0"/>
        <w:spacing w:beforeLines="0" w:afterLines="0"/>
        <w:ind w:left="0" w:leftChars="0" w:right="0" w:right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 xml:space="preserve">1.5.2 </w:t>
      </w:r>
      <w:r>
        <w:rPr>
          <w:rFonts w:hint="default" w:ascii="Times New Roman" w:hAnsi="Times New Roman" w:eastAsia="宋体" w:cs="Times New Roman"/>
          <w:color w:val="auto"/>
          <w:sz w:val="24"/>
          <w:szCs w:val="24"/>
          <w:highlight w:val="none"/>
        </w:rPr>
        <w:t>P的分级确定结果</w:t>
      </w:r>
    </w:p>
    <w:p w14:paraId="5AA52007">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2"/>
          <w:sz w:val="24"/>
          <w:szCs w:val="24"/>
          <w:highlight w:val="none"/>
          <w:shd w:val="clear" w:color="auto" w:fill="auto"/>
          <w:lang w:val="en-US" w:eastAsia="zh-CN" w:bidi="zh-CN"/>
        </w:rPr>
        <w:t>根据本文“3.2 P的分级确定”章节的确定结果，本项目危险物质及工艺系统危险性（P）等级为P4</w:t>
      </w:r>
      <w:r>
        <w:rPr>
          <w:rFonts w:hint="default" w:ascii="Times New Roman" w:hAnsi="Times New Roman" w:eastAsia="宋体" w:cs="Times New Roman"/>
          <w:color w:val="auto"/>
          <w:sz w:val="24"/>
          <w:szCs w:val="24"/>
          <w:highlight w:val="none"/>
        </w:rPr>
        <w:t>。</w:t>
      </w:r>
    </w:p>
    <w:p w14:paraId="6DA181A9">
      <w:pPr>
        <w:pStyle w:val="4"/>
        <w:keepNext/>
        <w:keepLines/>
        <w:pageBreakBefore w:val="0"/>
        <w:widowControl w:val="0"/>
        <w:numPr>
          <w:ilvl w:val="2"/>
          <w:numId w:val="0"/>
        </w:numPr>
        <w:kinsoku/>
        <w:wordWrap/>
        <w:overflowPunct/>
        <w:topLinePunct w:val="0"/>
        <w:autoSpaceDE/>
        <w:autoSpaceDN/>
        <w:bidi w:val="0"/>
        <w:adjustRightInd w:val="0"/>
        <w:snapToGrid w:val="0"/>
        <w:spacing w:beforeLines="0" w:afterLines="0"/>
        <w:ind w:left="0" w:leftChars="0" w:right="0" w:right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1.5.3</w:t>
      </w:r>
      <w:r>
        <w:rPr>
          <w:rFonts w:hint="default" w:ascii="Times New Roman" w:hAnsi="Times New Roman" w:eastAsia="宋体" w:cs="Times New Roman"/>
          <w:color w:val="auto"/>
          <w:sz w:val="24"/>
          <w:szCs w:val="24"/>
          <w:highlight w:val="none"/>
        </w:rPr>
        <w:t>各要素E的分级确定结果</w:t>
      </w:r>
    </w:p>
    <w:p w14:paraId="231FA54C">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2"/>
          <w:sz w:val="24"/>
          <w:szCs w:val="24"/>
          <w:highlight w:val="none"/>
          <w:shd w:val="clear" w:color="auto" w:fill="auto"/>
          <w:lang w:val="en-US" w:eastAsia="zh-CN" w:bidi="zh-CN"/>
        </w:rPr>
        <w:t>根据本文“3.3 E的分级确定”章节的确定结果，本项目大气环境敏感程度分级为E1，地表水敏感程度分级为E3，地下水敏感程度分级为E3</w:t>
      </w:r>
      <w:r>
        <w:rPr>
          <w:rFonts w:hint="default" w:ascii="Times New Roman" w:hAnsi="Times New Roman" w:eastAsia="宋体" w:cs="Times New Roman"/>
          <w:color w:val="auto"/>
          <w:sz w:val="24"/>
          <w:szCs w:val="24"/>
          <w:highlight w:val="none"/>
        </w:rPr>
        <w:t>。</w:t>
      </w:r>
    </w:p>
    <w:p w14:paraId="708C872E">
      <w:pPr>
        <w:pStyle w:val="4"/>
        <w:keepNext/>
        <w:keepLines/>
        <w:pageBreakBefore w:val="0"/>
        <w:widowControl w:val="0"/>
        <w:numPr>
          <w:ilvl w:val="2"/>
          <w:numId w:val="0"/>
        </w:numPr>
        <w:kinsoku/>
        <w:wordWrap/>
        <w:overflowPunct/>
        <w:topLinePunct w:val="0"/>
        <w:autoSpaceDE/>
        <w:autoSpaceDN/>
        <w:bidi w:val="0"/>
        <w:adjustRightInd w:val="0"/>
        <w:snapToGrid w:val="0"/>
        <w:spacing w:beforeLines="0" w:afterLines="0"/>
        <w:ind w:left="0" w:leftChars="0" w:right="0" w:right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1.5.4</w:t>
      </w:r>
      <w:r>
        <w:rPr>
          <w:rFonts w:hint="default" w:ascii="Times New Roman" w:hAnsi="Times New Roman" w:eastAsia="宋体" w:cs="Times New Roman"/>
          <w:color w:val="auto"/>
          <w:sz w:val="24"/>
          <w:szCs w:val="24"/>
          <w:highlight w:val="none"/>
        </w:rPr>
        <w:t>各要素及综合环境风险评价工作等级划分结果</w:t>
      </w:r>
    </w:p>
    <w:p w14:paraId="4BCFDB75">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本项目各要素</w:t>
      </w:r>
      <w:r>
        <w:rPr>
          <w:rFonts w:hint="default" w:ascii="Times New Roman" w:hAnsi="Times New Roman" w:eastAsia="宋体" w:cs="Times New Roman"/>
          <w:color w:val="auto"/>
          <w:kern w:val="2"/>
          <w:sz w:val="24"/>
          <w:szCs w:val="24"/>
          <w:highlight w:val="none"/>
          <w:shd w:val="clear" w:color="auto" w:fill="auto"/>
          <w:lang w:val="en-US" w:eastAsia="zh-CN" w:bidi="zh-CN"/>
        </w:rPr>
        <w:t>及综合环境风险评价工作等级划分结果表见表1-3</w:t>
      </w:r>
      <w:r>
        <w:rPr>
          <w:rFonts w:hint="default" w:ascii="Times New Roman" w:hAnsi="Times New Roman" w:eastAsia="宋体" w:cs="Times New Roman"/>
          <w:color w:val="auto"/>
          <w:sz w:val="24"/>
          <w:szCs w:val="24"/>
          <w:highlight w:val="none"/>
        </w:rPr>
        <w:t>。</w:t>
      </w:r>
    </w:p>
    <w:p w14:paraId="11470D2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表1-3 各要素及综合环境风险评价工作等级划分结果表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12"/>
        <w:gridCol w:w="901"/>
        <w:gridCol w:w="1988"/>
        <w:gridCol w:w="2413"/>
        <w:gridCol w:w="1614"/>
      </w:tblGrid>
      <w:tr w14:paraId="331F1C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45" w:type="pct"/>
            <w:vAlign w:val="center"/>
          </w:tcPr>
          <w:p w14:paraId="3F2A2AD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要素名称</w:t>
            </w:r>
          </w:p>
        </w:tc>
        <w:tc>
          <w:tcPr>
            <w:tcW w:w="528" w:type="pct"/>
            <w:vAlign w:val="center"/>
          </w:tcPr>
          <w:p w14:paraId="78F7B30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P值</w:t>
            </w:r>
          </w:p>
        </w:tc>
        <w:tc>
          <w:tcPr>
            <w:tcW w:w="1164" w:type="pct"/>
            <w:vAlign w:val="center"/>
          </w:tcPr>
          <w:p w14:paraId="4359873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E值</w:t>
            </w:r>
          </w:p>
        </w:tc>
        <w:tc>
          <w:tcPr>
            <w:tcW w:w="1414" w:type="pct"/>
            <w:vAlign w:val="center"/>
          </w:tcPr>
          <w:p w14:paraId="2E1A751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环境风险潜势</w:t>
            </w:r>
          </w:p>
        </w:tc>
        <w:tc>
          <w:tcPr>
            <w:tcW w:w="946" w:type="pct"/>
            <w:vAlign w:val="center"/>
          </w:tcPr>
          <w:p w14:paraId="1825EE8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评价等级</w:t>
            </w:r>
          </w:p>
        </w:tc>
      </w:tr>
      <w:tr w14:paraId="64D2EC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45" w:type="pct"/>
            <w:vAlign w:val="center"/>
          </w:tcPr>
          <w:p w14:paraId="20F39C1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大气环境</w:t>
            </w:r>
          </w:p>
        </w:tc>
        <w:tc>
          <w:tcPr>
            <w:tcW w:w="528" w:type="pct"/>
            <w:vMerge w:val="restart"/>
            <w:vAlign w:val="center"/>
          </w:tcPr>
          <w:p w14:paraId="7DDB0F6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P4</w:t>
            </w:r>
          </w:p>
        </w:tc>
        <w:tc>
          <w:tcPr>
            <w:tcW w:w="1164" w:type="pct"/>
            <w:vAlign w:val="center"/>
          </w:tcPr>
          <w:p w14:paraId="5C5C599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E1</w:t>
            </w:r>
          </w:p>
        </w:tc>
        <w:tc>
          <w:tcPr>
            <w:tcW w:w="1414" w:type="pct"/>
            <w:vAlign w:val="center"/>
          </w:tcPr>
          <w:p w14:paraId="3D960A0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en-US" w:bidi="zh-CN"/>
              </w:rPr>
              <w:t>Ⅲ</w:t>
            </w:r>
          </w:p>
        </w:tc>
        <w:tc>
          <w:tcPr>
            <w:tcW w:w="946" w:type="pct"/>
            <w:vAlign w:val="center"/>
          </w:tcPr>
          <w:p w14:paraId="7794CBE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二级</w:t>
            </w:r>
          </w:p>
        </w:tc>
      </w:tr>
      <w:tr w14:paraId="7CF5F5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45" w:type="pct"/>
            <w:vAlign w:val="center"/>
          </w:tcPr>
          <w:p w14:paraId="68055F4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地表水环境</w:t>
            </w:r>
          </w:p>
        </w:tc>
        <w:tc>
          <w:tcPr>
            <w:tcW w:w="528" w:type="pct"/>
            <w:vMerge w:val="continue"/>
            <w:vAlign w:val="center"/>
          </w:tcPr>
          <w:p w14:paraId="01841F9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p>
        </w:tc>
        <w:tc>
          <w:tcPr>
            <w:tcW w:w="1164" w:type="pct"/>
            <w:vAlign w:val="center"/>
          </w:tcPr>
          <w:p w14:paraId="6C1E989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E3</w:t>
            </w:r>
          </w:p>
        </w:tc>
        <w:tc>
          <w:tcPr>
            <w:tcW w:w="1414" w:type="pct"/>
            <w:vAlign w:val="center"/>
          </w:tcPr>
          <w:p w14:paraId="23CACD5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en-US" w:bidi="zh-CN"/>
              </w:rPr>
              <w:t>Ⅰ</w:t>
            </w:r>
          </w:p>
        </w:tc>
        <w:tc>
          <w:tcPr>
            <w:tcW w:w="946" w:type="pct"/>
            <w:vAlign w:val="center"/>
          </w:tcPr>
          <w:p w14:paraId="0F6F7C0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简单分析</w:t>
            </w:r>
          </w:p>
        </w:tc>
      </w:tr>
      <w:tr w14:paraId="768906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45" w:type="pct"/>
            <w:vAlign w:val="center"/>
          </w:tcPr>
          <w:p w14:paraId="0C1105F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地下水环境</w:t>
            </w:r>
          </w:p>
        </w:tc>
        <w:tc>
          <w:tcPr>
            <w:tcW w:w="528" w:type="pct"/>
            <w:vMerge w:val="continue"/>
            <w:vAlign w:val="center"/>
          </w:tcPr>
          <w:p w14:paraId="60ACE8F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p>
        </w:tc>
        <w:tc>
          <w:tcPr>
            <w:tcW w:w="1164" w:type="pct"/>
            <w:vAlign w:val="center"/>
          </w:tcPr>
          <w:p w14:paraId="5D3E683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E3</w:t>
            </w:r>
          </w:p>
        </w:tc>
        <w:tc>
          <w:tcPr>
            <w:tcW w:w="1414" w:type="pct"/>
            <w:vAlign w:val="center"/>
          </w:tcPr>
          <w:p w14:paraId="7D6BFE4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en-US" w:bidi="zh-CN"/>
              </w:rPr>
              <w:t>Ⅰ</w:t>
            </w:r>
          </w:p>
        </w:tc>
        <w:tc>
          <w:tcPr>
            <w:tcW w:w="946" w:type="pct"/>
            <w:vAlign w:val="center"/>
          </w:tcPr>
          <w:p w14:paraId="0335BEA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简单分析</w:t>
            </w:r>
          </w:p>
        </w:tc>
      </w:tr>
      <w:tr w14:paraId="7FF050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38" w:type="pct"/>
            <w:gridSpan w:val="3"/>
            <w:vAlign w:val="center"/>
          </w:tcPr>
          <w:p w14:paraId="1D98690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综合</w:t>
            </w:r>
          </w:p>
        </w:tc>
        <w:tc>
          <w:tcPr>
            <w:tcW w:w="1414" w:type="pct"/>
            <w:vAlign w:val="center"/>
          </w:tcPr>
          <w:p w14:paraId="2AA35BB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en-US" w:bidi="zh-CN"/>
              </w:rPr>
              <w:t>Ⅲ</w:t>
            </w:r>
          </w:p>
        </w:tc>
        <w:tc>
          <w:tcPr>
            <w:tcW w:w="946" w:type="pct"/>
            <w:vAlign w:val="center"/>
          </w:tcPr>
          <w:p w14:paraId="214510B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zh-CN"/>
              </w:rPr>
            </w:pPr>
            <w:r>
              <w:rPr>
                <w:rFonts w:hint="default" w:ascii="Times New Roman" w:hAnsi="Times New Roman" w:eastAsia="宋体" w:cs="Times New Roman"/>
                <w:color w:val="auto"/>
                <w:kern w:val="2"/>
                <w:sz w:val="21"/>
                <w:szCs w:val="21"/>
                <w:highlight w:val="none"/>
                <w:shd w:val="clear" w:color="auto" w:fill="auto"/>
                <w:lang w:val="en-US" w:eastAsia="zh-CN" w:bidi="zh-CN"/>
              </w:rPr>
              <w:t>二级</w:t>
            </w:r>
          </w:p>
        </w:tc>
      </w:tr>
    </w:tbl>
    <w:p w14:paraId="5B784C3C">
      <w:pPr>
        <w:pageBreakBefore w:val="0"/>
        <w:kinsoku/>
        <w:bidi w:val="0"/>
        <w:adjustRightInd w:val="0"/>
        <w:snapToGrid w:val="0"/>
        <w:spacing w:line="360" w:lineRule="auto"/>
        <w:ind w:left="0" w:leftChars="0" w:right="0" w:rightChars="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综上，本项目综合环境风险评价工作等级为二级。</w:t>
      </w:r>
    </w:p>
    <w:bookmarkEnd w:id="62"/>
    <w:bookmarkEnd w:id="63"/>
    <w:bookmarkEnd w:id="64"/>
    <w:bookmarkEnd w:id="65"/>
    <w:bookmarkEnd w:id="66"/>
    <w:p w14:paraId="3CC59CAD">
      <w:pPr>
        <w:pStyle w:val="3"/>
        <w:keepNext/>
        <w:keepLines/>
        <w:pageBreakBefore w:val="0"/>
        <w:widowControl w:val="0"/>
        <w:numPr>
          <w:ilvl w:val="1"/>
          <w:numId w:val="0"/>
        </w:numPr>
        <w:kinsoku/>
        <w:wordWrap/>
        <w:overflowPunct/>
        <w:topLinePunct w:val="0"/>
        <w:autoSpaceDE/>
        <w:autoSpaceDN/>
        <w:bidi w:val="0"/>
        <w:adjustRightInd w:val="0"/>
        <w:snapToGrid w:val="0"/>
        <w:spacing w:before="0" w:after="0" w:line="360" w:lineRule="auto"/>
        <w:ind w:left="0" w:leftChars="0" w:right="0" w:rightChars="0"/>
        <w:textAlignment w:val="auto"/>
        <w:rPr>
          <w:rFonts w:hint="default" w:ascii="Times New Roman" w:hAnsi="Times New Roman" w:eastAsia="宋体" w:cs="Times New Roman"/>
          <w:color w:val="auto"/>
          <w:sz w:val="24"/>
          <w:szCs w:val="24"/>
          <w:highlight w:val="none"/>
        </w:rPr>
      </w:pPr>
      <w:bookmarkStart w:id="67" w:name="_Toc16074"/>
      <w:bookmarkStart w:id="68" w:name="_Toc359179954"/>
      <w:bookmarkStart w:id="69" w:name="_Toc436406187"/>
      <w:bookmarkStart w:id="70" w:name="_Toc451367530"/>
      <w:bookmarkStart w:id="71" w:name="_Toc440973674"/>
      <w:bookmarkStart w:id="72" w:name="_Toc360142519"/>
      <w:bookmarkStart w:id="73" w:name="_Toc440973408"/>
      <w:r>
        <w:rPr>
          <w:rFonts w:hint="default" w:ascii="Times New Roman" w:hAnsi="Times New Roman" w:eastAsia="宋体" w:cs="Times New Roman"/>
          <w:color w:val="auto"/>
          <w:sz w:val="24"/>
          <w:szCs w:val="24"/>
          <w:highlight w:val="none"/>
          <w:lang w:val="en-US" w:eastAsia="zh-CN"/>
        </w:rPr>
        <w:t>1.6</w:t>
      </w:r>
      <w:r>
        <w:rPr>
          <w:rFonts w:hint="default" w:ascii="Times New Roman" w:hAnsi="Times New Roman" w:eastAsia="宋体" w:cs="Times New Roman"/>
          <w:color w:val="auto"/>
          <w:sz w:val="24"/>
          <w:szCs w:val="24"/>
          <w:highlight w:val="none"/>
        </w:rPr>
        <w:t>评价范围</w:t>
      </w:r>
      <w:bookmarkEnd w:id="67"/>
    </w:p>
    <w:p w14:paraId="2A7E3235">
      <w:pPr>
        <w:pageBreakBefore w:val="0"/>
        <w:kinsoku/>
        <w:bidi w:val="0"/>
        <w:adjustRightInd w:val="0"/>
        <w:snapToGrid w:val="0"/>
        <w:ind w:left="0" w:leftChars="0" w:right="0" w:rightChars="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本项目评价范围详见表1-4。</w:t>
      </w:r>
    </w:p>
    <w:p w14:paraId="6A2A383F">
      <w:pPr>
        <w:pStyle w:val="8"/>
        <w:keepNext w:val="0"/>
        <w:keepLines w:val="0"/>
        <w:pageBreakBefore w:val="0"/>
        <w:widowControl w:val="0"/>
        <w:kinsoku/>
        <w:wordWrap/>
        <w:overflowPunct/>
        <w:topLinePunct w:val="0"/>
        <w:autoSpaceDE/>
        <w:autoSpaceDN/>
        <w:bidi w:val="0"/>
        <w:adjustRightInd w:val="0"/>
        <w:snapToGrid w:val="0"/>
        <w:spacing w:before="0" w:after="0" w:line="240" w:lineRule="auto"/>
        <w:ind w:left="0" w:leftChars="0" w:right="0" w:rightChars="0" w:firstLine="0" w:firstLineChars="0"/>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表1-4 本项目评价范围一览表</w:t>
      </w:r>
    </w:p>
    <w:tbl>
      <w:tblPr>
        <w:tblStyle w:val="29"/>
        <w:tblW w:w="4998" w:type="pct"/>
        <w:tblInd w:w="0" w:type="dxa"/>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189"/>
        <w:gridCol w:w="1833"/>
        <w:gridCol w:w="2901"/>
        <w:gridCol w:w="2602"/>
      </w:tblGrid>
      <w:tr w14:paraId="0F79C404">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97" w:type="pct"/>
            <w:vAlign w:val="center"/>
          </w:tcPr>
          <w:p w14:paraId="6DE1A541">
            <w:pPr>
              <w:pStyle w:val="117"/>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bookmarkStart w:id="74" w:name="_Hlk527407482"/>
            <w:r>
              <w:rPr>
                <w:rFonts w:hint="default" w:ascii="Times New Roman" w:hAnsi="Times New Roman" w:eastAsia="宋体" w:cs="Times New Roman"/>
                <w:color w:val="auto"/>
                <w:sz w:val="21"/>
                <w:szCs w:val="21"/>
                <w:highlight w:val="none"/>
              </w:rPr>
              <w:t>评价要素</w:t>
            </w:r>
          </w:p>
        </w:tc>
        <w:tc>
          <w:tcPr>
            <w:tcW w:w="2776" w:type="pct"/>
            <w:gridSpan w:val="2"/>
            <w:tcBorders>
              <w:right w:val="single" w:color="auto" w:sz="4" w:space="0"/>
            </w:tcBorders>
            <w:vAlign w:val="center"/>
          </w:tcPr>
          <w:p w14:paraId="4411CDEB">
            <w:pPr>
              <w:pStyle w:val="117"/>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评价范围</w:t>
            </w:r>
          </w:p>
        </w:tc>
        <w:tc>
          <w:tcPr>
            <w:tcW w:w="1526" w:type="pct"/>
            <w:tcBorders>
              <w:left w:val="single" w:color="auto" w:sz="4" w:space="0"/>
            </w:tcBorders>
            <w:vAlign w:val="center"/>
          </w:tcPr>
          <w:p w14:paraId="1F9FF0C2">
            <w:pPr>
              <w:pStyle w:val="117"/>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备注</w:t>
            </w:r>
          </w:p>
        </w:tc>
      </w:tr>
      <w:tr w14:paraId="2BFFED8B">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97" w:type="pct"/>
            <w:vMerge w:val="restart"/>
            <w:vAlign w:val="center"/>
          </w:tcPr>
          <w:p w14:paraId="1230910F">
            <w:pPr>
              <w:pStyle w:val="117"/>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w:t>
            </w:r>
          </w:p>
        </w:tc>
        <w:tc>
          <w:tcPr>
            <w:tcW w:w="1075" w:type="pct"/>
            <w:tcBorders>
              <w:right w:val="single" w:color="auto" w:sz="4" w:space="0"/>
            </w:tcBorders>
            <w:vAlign w:val="center"/>
          </w:tcPr>
          <w:p w14:paraId="395F77D6">
            <w:pPr>
              <w:pStyle w:val="117"/>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大气环境风险</w:t>
            </w:r>
          </w:p>
        </w:tc>
        <w:tc>
          <w:tcPr>
            <w:tcW w:w="1700" w:type="pct"/>
            <w:tcBorders>
              <w:right w:val="single" w:color="auto" w:sz="4" w:space="0"/>
            </w:tcBorders>
            <w:vAlign w:val="center"/>
          </w:tcPr>
          <w:p w14:paraId="7F07F90E">
            <w:pPr>
              <w:pStyle w:val="117"/>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以项目厂区为中心，半径5km的区域内</w:t>
            </w:r>
          </w:p>
        </w:tc>
        <w:tc>
          <w:tcPr>
            <w:tcW w:w="1526" w:type="pct"/>
            <w:tcBorders>
              <w:left w:val="single" w:color="auto" w:sz="4" w:space="0"/>
            </w:tcBorders>
            <w:vAlign w:val="center"/>
          </w:tcPr>
          <w:p w14:paraId="2E947F10">
            <w:pPr>
              <w:pStyle w:val="117"/>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二级评价距建设项目边界一般不低于5km</w:t>
            </w:r>
          </w:p>
        </w:tc>
      </w:tr>
      <w:tr w14:paraId="00E94BD0">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97" w:type="pct"/>
            <w:vMerge w:val="continue"/>
            <w:vAlign w:val="center"/>
          </w:tcPr>
          <w:p w14:paraId="4936DA59">
            <w:pPr>
              <w:pStyle w:val="117"/>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p>
        </w:tc>
        <w:tc>
          <w:tcPr>
            <w:tcW w:w="1075" w:type="pct"/>
            <w:tcBorders>
              <w:right w:val="single" w:color="auto" w:sz="4" w:space="0"/>
            </w:tcBorders>
            <w:vAlign w:val="center"/>
          </w:tcPr>
          <w:p w14:paraId="244097CE">
            <w:pPr>
              <w:pStyle w:val="117"/>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地表水环境风险</w:t>
            </w:r>
          </w:p>
        </w:tc>
        <w:tc>
          <w:tcPr>
            <w:tcW w:w="1700" w:type="pct"/>
            <w:tcBorders>
              <w:right w:val="single" w:color="auto" w:sz="4" w:space="0"/>
            </w:tcBorders>
            <w:vAlign w:val="center"/>
          </w:tcPr>
          <w:p w14:paraId="0001BD05">
            <w:pPr>
              <w:pStyle w:val="117"/>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w:t>
            </w:r>
          </w:p>
        </w:tc>
        <w:tc>
          <w:tcPr>
            <w:tcW w:w="1526" w:type="pct"/>
            <w:tcBorders>
              <w:left w:val="single" w:color="auto" w:sz="4" w:space="0"/>
            </w:tcBorders>
            <w:vAlign w:val="center"/>
          </w:tcPr>
          <w:p w14:paraId="3420F11A">
            <w:pPr>
              <w:pStyle w:val="117"/>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简单分析</w:t>
            </w:r>
          </w:p>
        </w:tc>
      </w:tr>
      <w:tr w14:paraId="7657826E">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97" w:type="pct"/>
            <w:vMerge w:val="continue"/>
            <w:vAlign w:val="center"/>
          </w:tcPr>
          <w:p w14:paraId="259386D1">
            <w:pPr>
              <w:pStyle w:val="117"/>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p>
        </w:tc>
        <w:tc>
          <w:tcPr>
            <w:tcW w:w="1075" w:type="pct"/>
            <w:tcBorders>
              <w:right w:val="single" w:color="auto" w:sz="4" w:space="0"/>
            </w:tcBorders>
            <w:vAlign w:val="center"/>
          </w:tcPr>
          <w:p w14:paraId="564D38D9">
            <w:pPr>
              <w:pStyle w:val="117"/>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地下水环境风险</w:t>
            </w:r>
          </w:p>
        </w:tc>
        <w:tc>
          <w:tcPr>
            <w:tcW w:w="1700" w:type="pct"/>
            <w:tcBorders>
              <w:right w:val="single" w:color="auto" w:sz="4" w:space="0"/>
            </w:tcBorders>
            <w:vAlign w:val="center"/>
          </w:tcPr>
          <w:p w14:paraId="63B3D317">
            <w:pPr>
              <w:pStyle w:val="117"/>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w:t>
            </w:r>
          </w:p>
        </w:tc>
        <w:tc>
          <w:tcPr>
            <w:tcW w:w="1526" w:type="pct"/>
            <w:tcBorders>
              <w:left w:val="single" w:color="auto" w:sz="4" w:space="0"/>
            </w:tcBorders>
            <w:vAlign w:val="center"/>
          </w:tcPr>
          <w:p w14:paraId="0A938D14">
            <w:pPr>
              <w:pStyle w:val="117"/>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简单分析</w:t>
            </w:r>
          </w:p>
        </w:tc>
      </w:tr>
      <w:bookmarkEnd w:id="68"/>
      <w:bookmarkEnd w:id="69"/>
      <w:bookmarkEnd w:id="70"/>
      <w:bookmarkEnd w:id="71"/>
      <w:bookmarkEnd w:id="72"/>
      <w:bookmarkEnd w:id="73"/>
      <w:bookmarkEnd w:id="74"/>
    </w:tbl>
    <w:p w14:paraId="7333265A">
      <w:pPr>
        <w:pageBreakBefore w:val="0"/>
        <w:widowControl/>
        <w:kinsoku/>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4"/>
          <w:szCs w:val="24"/>
          <w:highlight w:val="none"/>
        </w:rPr>
      </w:pPr>
    </w:p>
    <w:p w14:paraId="0DE7D59C">
      <w:pPr>
        <w:pageBreakBefore w:val="0"/>
        <w:widowControl/>
        <w:kinsoku/>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4"/>
          <w:szCs w:val="24"/>
          <w:highlight w:val="none"/>
        </w:rPr>
        <w:sectPr>
          <w:footerReference r:id="rId16" w:type="default"/>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type="linesAndChars" w:linePitch="326" w:charSpace="0"/>
        </w:sectPr>
      </w:pPr>
    </w:p>
    <w:p w14:paraId="104E6AF0">
      <w:pPr>
        <w:pStyle w:val="2"/>
        <w:keepNext/>
        <w:keepLines/>
        <w:pageBreakBefore w:val="0"/>
        <w:widowControl w:val="0"/>
        <w:numPr>
          <w:ilvl w:val="0"/>
          <w:numId w:val="0"/>
        </w:numPr>
        <w:kinsoku/>
        <w:wordWrap/>
        <w:overflowPunct/>
        <w:topLinePunct w:val="0"/>
        <w:autoSpaceDE/>
        <w:autoSpaceDN/>
        <w:bidi w:val="0"/>
        <w:adjustRightInd w:val="0"/>
        <w:snapToGrid w:val="0"/>
        <w:spacing w:before="0" w:after="0" w:line="360" w:lineRule="auto"/>
        <w:ind w:left="0" w:leftChars="0" w:right="0" w:rightChars="0"/>
        <w:jc w:val="left"/>
        <w:textAlignment w:val="auto"/>
        <w:rPr>
          <w:rFonts w:hint="default" w:ascii="Times New Roman" w:hAnsi="Times New Roman" w:eastAsia="宋体" w:cs="Times New Roman"/>
          <w:b/>
          <w:bCs w:val="0"/>
          <w:color w:val="auto"/>
          <w:kern w:val="2"/>
          <w:sz w:val="28"/>
          <w:szCs w:val="28"/>
          <w:highlight w:val="none"/>
          <w:lang w:val="en-US" w:eastAsia="zh-CN" w:bidi="ar-SA"/>
        </w:rPr>
      </w:pPr>
      <w:bookmarkStart w:id="75" w:name="_Toc19775"/>
      <w:bookmarkStart w:id="76" w:name="_Toc26444"/>
      <w:r>
        <w:rPr>
          <w:rFonts w:hint="default" w:ascii="Times New Roman" w:hAnsi="Times New Roman" w:eastAsia="宋体" w:cs="Times New Roman"/>
          <w:b/>
          <w:bCs w:val="0"/>
          <w:color w:val="auto"/>
          <w:kern w:val="2"/>
          <w:sz w:val="28"/>
          <w:szCs w:val="28"/>
          <w:highlight w:val="none"/>
          <w:lang w:val="en-US" w:eastAsia="zh-CN" w:bidi="ar-SA"/>
        </w:rPr>
        <w:t>2环境风险调查</w:t>
      </w:r>
      <w:bookmarkEnd w:id="75"/>
      <w:bookmarkEnd w:id="76"/>
    </w:p>
    <w:p w14:paraId="219E2858">
      <w:pPr>
        <w:pStyle w:val="3"/>
        <w:keepNext/>
        <w:keepLines/>
        <w:pageBreakBefore w:val="0"/>
        <w:widowControl w:val="0"/>
        <w:numPr>
          <w:ilvl w:val="1"/>
          <w:numId w:val="0"/>
        </w:numPr>
        <w:kinsoku/>
        <w:wordWrap/>
        <w:overflowPunct/>
        <w:topLinePunct w:val="0"/>
        <w:autoSpaceDE/>
        <w:autoSpaceDN/>
        <w:bidi w:val="0"/>
        <w:adjustRightInd w:val="0"/>
        <w:snapToGrid w:val="0"/>
        <w:spacing w:before="0" w:after="0" w:line="360" w:lineRule="auto"/>
        <w:ind w:left="0" w:leftChars="0" w:right="0" w:rightChars="0"/>
        <w:textAlignment w:val="auto"/>
        <w:rPr>
          <w:rFonts w:hint="default" w:ascii="Times New Roman" w:hAnsi="Times New Roman" w:eastAsia="宋体" w:cs="Times New Roman"/>
          <w:b/>
          <w:bCs/>
          <w:color w:val="auto"/>
          <w:kern w:val="0"/>
          <w:sz w:val="24"/>
          <w:szCs w:val="24"/>
          <w:highlight w:val="none"/>
          <w:lang w:val="en-US" w:eastAsia="zh-CN" w:bidi="ar"/>
        </w:rPr>
      </w:pPr>
      <w:bookmarkStart w:id="77" w:name="_Toc8314"/>
      <w:r>
        <w:rPr>
          <w:rFonts w:hint="default" w:ascii="Times New Roman" w:hAnsi="Times New Roman" w:eastAsia="宋体" w:cs="Times New Roman"/>
          <w:b/>
          <w:bCs/>
          <w:color w:val="auto"/>
          <w:kern w:val="0"/>
          <w:sz w:val="24"/>
          <w:szCs w:val="24"/>
          <w:highlight w:val="none"/>
          <w:lang w:val="en-US" w:eastAsia="zh-CN" w:bidi="ar"/>
        </w:rPr>
        <w:t>2.1建设项目风险源调查</w:t>
      </w:r>
      <w:bookmarkEnd w:id="77"/>
    </w:p>
    <w:p w14:paraId="585CAE03">
      <w:pPr>
        <w:pStyle w:val="4"/>
        <w:keepNext/>
        <w:keepLines/>
        <w:pageBreakBefore w:val="0"/>
        <w:widowControl w:val="0"/>
        <w:numPr>
          <w:ilvl w:val="2"/>
          <w:numId w:val="0"/>
        </w:numPr>
        <w:kinsoku/>
        <w:wordWrap/>
        <w:overflowPunct/>
        <w:topLinePunct w:val="0"/>
        <w:autoSpaceDE/>
        <w:autoSpaceDN/>
        <w:bidi w:val="0"/>
        <w:adjustRightInd w:val="0"/>
        <w:snapToGrid w:val="0"/>
        <w:spacing w:beforeLines="0" w:afterLines="0" w:line="360" w:lineRule="auto"/>
        <w:ind w:left="0" w:leftChars="0" w:right="0" w:rightChars="0"/>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2.1.1建设项目风险物质数量和分布情况</w:t>
      </w:r>
    </w:p>
    <w:p w14:paraId="28203FE3">
      <w:pPr>
        <w:pageBreakBefore w:val="0"/>
        <w:kinsoku/>
        <w:bidi w:val="0"/>
        <w:adjustRightInd w:val="0"/>
        <w:snapToGrid w:val="0"/>
        <w:spacing w:line="360" w:lineRule="auto"/>
        <w:ind w:left="0" w:leftChars="0" w:right="0" w:rightChars="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shd w:val="clear"/>
        </w:rPr>
        <w:t>按照《建设项目环境风险评价技术导则》（HJ169-2018）附录中附录B和《危险化学品重大危险源辨识》（GB18218-2018），本项目主要风险物质为正己烷、磷酸、氢氧化钠、废机油。</w:t>
      </w:r>
      <w:r>
        <w:rPr>
          <w:rFonts w:hint="default" w:ascii="Times New Roman" w:hAnsi="Times New Roman" w:eastAsia="宋体" w:cs="Times New Roman"/>
          <w:bCs/>
          <w:color w:val="auto"/>
          <w:sz w:val="24"/>
          <w:szCs w:val="24"/>
          <w:highlight w:val="none"/>
          <w:shd w:val="clear"/>
          <w:lang w:val="en-US" w:eastAsia="zh-CN"/>
        </w:rPr>
        <w:t>项目正己烷储罐最大储存量</w:t>
      </w:r>
      <w:r>
        <w:rPr>
          <w:rFonts w:hint="default" w:ascii="Times New Roman" w:hAnsi="Times New Roman" w:cs="Times New Roman"/>
          <w:bCs/>
          <w:color w:val="auto"/>
          <w:sz w:val="24"/>
          <w:szCs w:val="24"/>
          <w:highlight w:val="none"/>
          <w:shd w:val="clear"/>
          <w:lang w:val="en-US" w:eastAsia="zh-CN"/>
        </w:rPr>
        <w:t>70</w:t>
      </w:r>
      <w:r>
        <w:rPr>
          <w:rFonts w:hint="default" w:ascii="Times New Roman" w:hAnsi="Times New Roman" w:eastAsia="宋体" w:cs="Times New Roman"/>
          <w:bCs/>
          <w:color w:val="auto"/>
          <w:sz w:val="24"/>
          <w:szCs w:val="24"/>
          <w:highlight w:val="none"/>
          <w:shd w:val="clear"/>
          <w:lang w:val="en-US" w:eastAsia="zh-CN"/>
        </w:rPr>
        <w:t>t，其中生产系统中储存量10t。本项目</w:t>
      </w:r>
      <w:r>
        <w:rPr>
          <w:rFonts w:hint="default" w:ascii="Times New Roman" w:hAnsi="Times New Roman" w:eastAsia="宋体" w:cs="Times New Roman"/>
          <w:bCs/>
          <w:color w:val="auto"/>
          <w:sz w:val="24"/>
          <w:szCs w:val="24"/>
          <w:highlight w:val="none"/>
          <w:shd w:val="clear"/>
        </w:rPr>
        <w:t>主要涉及的风险物质数量和分布情况见表2-1</w:t>
      </w:r>
      <w:r>
        <w:rPr>
          <w:rFonts w:hint="default" w:ascii="Times New Roman" w:hAnsi="Times New Roman" w:eastAsia="宋体" w:cs="Times New Roman"/>
          <w:color w:val="auto"/>
          <w:sz w:val="24"/>
          <w:szCs w:val="24"/>
          <w:highlight w:val="none"/>
        </w:rPr>
        <w:t>。</w:t>
      </w:r>
    </w:p>
    <w:p w14:paraId="021CDF5A">
      <w:pPr>
        <w:pageBreakBefore w:val="0"/>
        <w:kinsoku/>
        <w:bidi w:val="0"/>
        <w:adjustRightInd w:val="0"/>
        <w:snapToGrid w:val="0"/>
        <w:spacing w:line="440" w:lineRule="exact"/>
        <w:ind w:left="0" w:leftChars="0" w:right="0" w:rightChars="0" w:firstLine="422"/>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表2-1 本项目涉及的风险物质数量和分布情况表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98"/>
        <w:gridCol w:w="3313"/>
        <w:gridCol w:w="1702"/>
        <w:gridCol w:w="1615"/>
      </w:tblGrid>
      <w:tr w14:paraId="4F3C3F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55" w:type="pct"/>
            <w:gridSpan w:val="2"/>
            <w:vAlign w:val="center"/>
          </w:tcPr>
          <w:p w14:paraId="53AAFBAA">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相关生产系统</w:t>
            </w:r>
          </w:p>
        </w:tc>
        <w:tc>
          <w:tcPr>
            <w:tcW w:w="1944" w:type="pct"/>
            <w:gridSpan w:val="2"/>
            <w:vAlign w:val="center"/>
          </w:tcPr>
          <w:p w14:paraId="4BF94614">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危险物质最大存在量</w:t>
            </w:r>
          </w:p>
        </w:tc>
      </w:tr>
      <w:tr w14:paraId="26DE51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2" w:type="pct"/>
            <w:vAlign w:val="center"/>
          </w:tcPr>
          <w:p w14:paraId="175620AA">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构筑物名称</w:t>
            </w:r>
          </w:p>
        </w:tc>
        <w:tc>
          <w:tcPr>
            <w:tcW w:w="1942" w:type="pct"/>
            <w:vAlign w:val="center"/>
          </w:tcPr>
          <w:p w14:paraId="41FD046E">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涉及的设施</w:t>
            </w:r>
          </w:p>
        </w:tc>
        <w:tc>
          <w:tcPr>
            <w:tcW w:w="997" w:type="pct"/>
            <w:vAlign w:val="center"/>
          </w:tcPr>
          <w:p w14:paraId="0D764218">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危险物质</w:t>
            </w:r>
          </w:p>
        </w:tc>
        <w:tc>
          <w:tcPr>
            <w:tcW w:w="946" w:type="pct"/>
            <w:vAlign w:val="center"/>
          </w:tcPr>
          <w:p w14:paraId="32211703">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最大存在量/t</w:t>
            </w:r>
          </w:p>
        </w:tc>
      </w:tr>
      <w:tr w14:paraId="0D1173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2" w:type="pct"/>
            <w:vAlign w:val="center"/>
          </w:tcPr>
          <w:p w14:paraId="04C50AE7">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溶剂储</w:t>
            </w:r>
            <w:r>
              <w:rPr>
                <w:rFonts w:hint="default" w:ascii="Times New Roman" w:hAnsi="Times New Roman" w:eastAsia="宋体" w:cs="Times New Roman"/>
                <w:bCs/>
                <w:color w:val="auto"/>
                <w:sz w:val="21"/>
                <w:szCs w:val="21"/>
                <w:highlight w:val="none"/>
              </w:rPr>
              <w:t>罐区</w:t>
            </w:r>
          </w:p>
        </w:tc>
        <w:tc>
          <w:tcPr>
            <w:tcW w:w="1942" w:type="pct"/>
            <w:vAlign w:val="center"/>
          </w:tcPr>
          <w:p w14:paraId="5324662C">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溶剂储罐</w:t>
            </w:r>
          </w:p>
        </w:tc>
        <w:tc>
          <w:tcPr>
            <w:tcW w:w="997" w:type="pct"/>
            <w:vAlign w:val="center"/>
          </w:tcPr>
          <w:p w14:paraId="63273807">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正己烷</w:t>
            </w:r>
          </w:p>
        </w:tc>
        <w:tc>
          <w:tcPr>
            <w:tcW w:w="946" w:type="pct"/>
            <w:vAlign w:val="center"/>
          </w:tcPr>
          <w:p w14:paraId="722052FA">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60</w:t>
            </w:r>
          </w:p>
        </w:tc>
      </w:tr>
      <w:tr w14:paraId="52165B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2" w:type="pct"/>
            <w:vAlign w:val="center"/>
          </w:tcPr>
          <w:p w14:paraId="60A04EA8">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浸出车间生产设备和管道</w:t>
            </w:r>
          </w:p>
        </w:tc>
        <w:tc>
          <w:tcPr>
            <w:tcW w:w="1942" w:type="pct"/>
            <w:vAlign w:val="center"/>
          </w:tcPr>
          <w:p w14:paraId="4A9D2239">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生产设备和管道</w:t>
            </w:r>
          </w:p>
        </w:tc>
        <w:tc>
          <w:tcPr>
            <w:tcW w:w="997" w:type="pct"/>
            <w:vAlign w:val="center"/>
          </w:tcPr>
          <w:p w14:paraId="69EF372D">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正己烷</w:t>
            </w:r>
          </w:p>
        </w:tc>
        <w:tc>
          <w:tcPr>
            <w:tcW w:w="946" w:type="pct"/>
            <w:vAlign w:val="center"/>
          </w:tcPr>
          <w:p w14:paraId="49751353">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10</w:t>
            </w:r>
          </w:p>
        </w:tc>
      </w:tr>
      <w:tr w14:paraId="4565CA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2" w:type="pct"/>
            <w:vMerge w:val="restart"/>
            <w:vAlign w:val="center"/>
          </w:tcPr>
          <w:p w14:paraId="17AAB104">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精炼车间</w:t>
            </w:r>
          </w:p>
        </w:tc>
        <w:tc>
          <w:tcPr>
            <w:tcW w:w="1942" w:type="pct"/>
            <w:vMerge w:val="restart"/>
            <w:vAlign w:val="center"/>
          </w:tcPr>
          <w:p w14:paraId="0F3B4C07">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药品存储区域</w:t>
            </w:r>
          </w:p>
        </w:tc>
        <w:tc>
          <w:tcPr>
            <w:tcW w:w="997" w:type="pct"/>
            <w:vAlign w:val="center"/>
          </w:tcPr>
          <w:p w14:paraId="367AB35B">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磷酸</w:t>
            </w:r>
          </w:p>
        </w:tc>
        <w:tc>
          <w:tcPr>
            <w:tcW w:w="946" w:type="pct"/>
            <w:vAlign w:val="center"/>
          </w:tcPr>
          <w:p w14:paraId="743E2F65">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1.2</w:t>
            </w:r>
          </w:p>
        </w:tc>
      </w:tr>
      <w:tr w14:paraId="1AE913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2" w:type="pct"/>
            <w:vMerge w:val="continue"/>
            <w:vAlign w:val="center"/>
          </w:tcPr>
          <w:p w14:paraId="6D279205">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p>
        </w:tc>
        <w:tc>
          <w:tcPr>
            <w:tcW w:w="1942" w:type="pct"/>
            <w:vMerge w:val="continue"/>
            <w:vAlign w:val="center"/>
          </w:tcPr>
          <w:p w14:paraId="1C85017B">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p>
        </w:tc>
        <w:tc>
          <w:tcPr>
            <w:tcW w:w="997" w:type="pct"/>
            <w:vAlign w:val="center"/>
          </w:tcPr>
          <w:p w14:paraId="51374CCA">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氢氧化钠</w:t>
            </w:r>
          </w:p>
        </w:tc>
        <w:tc>
          <w:tcPr>
            <w:tcW w:w="946" w:type="pct"/>
            <w:vAlign w:val="center"/>
          </w:tcPr>
          <w:p w14:paraId="22D2DBE8">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0.9</w:t>
            </w:r>
          </w:p>
        </w:tc>
      </w:tr>
      <w:tr w14:paraId="007D36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2" w:type="pct"/>
            <w:vAlign w:val="center"/>
          </w:tcPr>
          <w:p w14:paraId="05D89E70">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危险废物贮存库</w:t>
            </w:r>
          </w:p>
        </w:tc>
        <w:tc>
          <w:tcPr>
            <w:tcW w:w="1942" w:type="pct"/>
            <w:vAlign w:val="center"/>
          </w:tcPr>
          <w:p w14:paraId="7E6AB463">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危险废物贮存库</w:t>
            </w:r>
          </w:p>
        </w:tc>
        <w:tc>
          <w:tcPr>
            <w:tcW w:w="997" w:type="pct"/>
            <w:vAlign w:val="center"/>
          </w:tcPr>
          <w:p w14:paraId="003599C0">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废机油</w:t>
            </w:r>
          </w:p>
        </w:tc>
        <w:tc>
          <w:tcPr>
            <w:tcW w:w="946" w:type="pct"/>
            <w:vAlign w:val="center"/>
          </w:tcPr>
          <w:p w14:paraId="0A5C05CD">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0.1</w:t>
            </w:r>
          </w:p>
        </w:tc>
      </w:tr>
    </w:tbl>
    <w:p w14:paraId="2E6E1FF9">
      <w:pPr>
        <w:pStyle w:val="4"/>
        <w:keepNext/>
        <w:keepLines/>
        <w:pageBreakBefore w:val="0"/>
        <w:widowControl w:val="0"/>
        <w:numPr>
          <w:ilvl w:val="2"/>
          <w:numId w:val="0"/>
        </w:numPr>
        <w:kinsoku/>
        <w:wordWrap/>
        <w:overflowPunct/>
        <w:topLinePunct w:val="0"/>
        <w:autoSpaceDE/>
        <w:autoSpaceDN/>
        <w:bidi w:val="0"/>
        <w:adjustRightInd w:val="0"/>
        <w:snapToGrid w:val="0"/>
        <w:spacing w:beforeLines="0" w:afterLines="0" w:line="360" w:lineRule="auto"/>
        <w:ind w:left="0" w:leftChars="0" w:right="0" w:rightChars="0"/>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2.1.2危险物质安全技术说明书（MSDS）</w:t>
      </w:r>
    </w:p>
    <w:p w14:paraId="08CD9491">
      <w:pPr>
        <w:keepNext w:val="0"/>
        <w:keepLines w:val="0"/>
        <w:pageBreakBefore w:val="0"/>
        <w:widowControl w:val="0"/>
        <w:kinsoku/>
        <w:wordWrap/>
        <w:overflowPunct w:val="0"/>
        <w:topLinePunct w:val="0"/>
        <w:autoSpaceDE/>
        <w:autoSpaceDN/>
        <w:bidi w:val="0"/>
        <w:adjustRightInd w:val="0"/>
        <w:snapToGrid w:val="0"/>
        <w:spacing w:line="360" w:lineRule="auto"/>
        <w:ind w:left="0" w:leftChars="0" w:right="0" w:rightChars="0" w:firstLine="480" w:firstLineChars="200"/>
        <w:textAlignment w:val="auto"/>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pP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t>本项目主要风险物质为正己烷、磷酸、氢氧化钠、</w:t>
      </w: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val="en-US" w:eastAsia="zh-CN"/>
        </w:rPr>
        <w:t>废机油</w:t>
      </w: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t>。理化性质及危险特性一览表见表</w:t>
      </w: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val="en-US" w:eastAsia="zh-CN"/>
        </w:rPr>
        <w:t>2-2-表2-5</w:t>
      </w: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t>。</w:t>
      </w:r>
    </w:p>
    <w:p w14:paraId="07252BA5">
      <w:pPr>
        <w:pStyle w:val="118"/>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z w:val="24"/>
          <w:szCs w:val="24"/>
          <w:highlight w:val="none"/>
        </w:rPr>
      </w:pPr>
      <w:r>
        <w:rPr>
          <w:rFonts w:hint="default" w:ascii="Times New Roman" w:hAnsi="Times New Roman" w:eastAsia="宋体" w:cs="Times New Roman"/>
          <w:bCs/>
          <w:color w:val="auto"/>
          <w:sz w:val="24"/>
          <w:szCs w:val="24"/>
          <w:highlight w:val="none"/>
          <w:lang w:val="en-GB"/>
        </w:rPr>
        <w:t>表</w:t>
      </w:r>
      <w:r>
        <w:rPr>
          <w:rFonts w:hint="default" w:ascii="Times New Roman" w:hAnsi="Times New Roman" w:eastAsia="宋体" w:cs="Times New Roman"/>
          <w:bCs/>
          <w:color w:val="auto"/>
          <w:sz w:val="24"/>
          <w:szCs w:val="24"/>
          <w:highlight w:val="none"/>
          <w:lang w:val="en-US" w:eastAsia="zh-CN"/>
        </w:rPr>
        <w:t>2-2 正己烷</w:t>
      </w:r>
      <w:r>
        <w:rPr>
          <w:rFonts w:hint="default" w:ascii="Times New Roman" w:hAnsi="Times New Roman" w:eastAsia="宋体" w:cs="Times New Roman"/>
          <w:bCs/>
          <w:color w:val="auto"/>
          <w:sz w:val="24"/>
          <w:szCs w:val="24"/>
          <w:highlight w:val="none"/>
          <w:lang w:val="en-GB"/>
        </w:rPr>
        <w:t>理化性质</w:t>
      </w:r>
      <w:r>
        <w:rPr>
          <w:rFonts w:hint="default" w:ascii="Times New Roman" w:hAnsi="Times New Roman" w:eastAsia="宋体" w:cs="Times New Roman"/>
          <w:bCs/>
          <w:color w:val="auto"/>
          <w:sz w:val="24"/>
          <w:szCs w:val="24"/>
          <w:highlight w:val="none"/>
        </w:rPr>
        <w:t>及危险特性</w:t>
      </w:r>
      <w:r>
        <w:rPr>
          <w:rFonts w:hint="default" w:ascii="Times New Roman" w:hAnsi="Times New Roman" w:eastAsia="宋体" w:cs="Times New Roman"/>
          <w:bCs/>
          <w:color w:val="auto"/>
          <w:sz w:val="24"/>
          <w:szCs w:val="24"/>
          <w:highlight w:val="none"/>
          <w:lang w:val="en-GB"/>
        </w:rPr>
        <w:t>一览表</w:t>
      </w:r>
    </w:p>
    <w:tbl>
      <w:tblPr>
        <w:tblStyle w:val="29"/>
        <w:tblW w:w="499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5"/>
        <w:gridCol w:w="4134"/>
        <w:gridCol w:w="3504"/>
      </w:tblGrid>
      <w:tr w14:paraId="7412DD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restart"/>
            <w:tcBorders>
              <w:tl2br w:val="nil"/>
              <w:tr2bl w:val="nil"/>
            </w:tcBorders>
            <w:noWrap w:val="0"/>
            <w:vAlign w:val="center"/>
          </w:tcPr>
          <w:p w14:paraId="51F8ABBA">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标识</w:t>
            </w:r>
          </w:p>
        </w:tc>
        <w:tc>
          <w:tcPr>
            <w:tcW w:w="2427" w:type="pct"/>
            <w:tcBorders>
              <w:tl2br w:val="nil"/>
              <w:tr2bl w:val="nil"/>
            </w:tcBorders>
            <w:noWrap w:val="0"/>
            <w:vAlign w:val="center"/>
          </w:tcPr>
          <w:p w14:paraId="72C13E57">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中文名称：己烷</w:t>
            </w:r>
          </w:p>
        </w:tc>
        <w:tc>
          <w:tcPr>
            <w:tcW w:w="2058" w:type="pct"/>
            <w:tcBorders>
              <w:tl2br w:val="nil"/>
              <w:tr2bl w:val="nil"/>
            </w:tcBorders>
            <w:noWrap w:val="0"/>
            <w:vAlign w:val="center"/>
          </w:tcPr>
          <w:p w14:paraId="23192457">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中文别名：正己烷</w:t>
            </w:r>
          </w:p>
        </w:tc>
      </w:tr>
      <w:tr w14:paraId="471C81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78667324">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2427" w:type="pct"/>
            <w:tcBorders>
              <w:tl2br w:val="nil"/>
              <w:tr2bl w:val="nil"/>
            </w:tcBorders>
            <w:noWrap w:val="0"/>
            <w:vAlign w:val="center"/>
          </w:tcPr>
          <w:p w14:paraId="3436F44E">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英文名称：n-hexane</w:t>
            </w:r>
          </w:p>
        </w:tc>
        <w:tc>
          <w:tcPr>
            <w:tcW w:w="2058" w:type="pct"/>
            <w:tcBorders>
              <w:tl2br w:val="nil"/>
              <w:tr2bl w:val="nil"/>
            </w:tcBorders>
            <w:noWrap w:val="0"/>
            <w:vAlign w:val="center"/>
          </w:tcPr>
          <w:p w14:paraId="14F4069A">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英文别名：hexyl hydride</w:t>
            </w:r>
          </w:p>
        </w:tc>
      </w:tr>
      <w:tr w14:paraId="5D33C2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00B1FB58">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2427" w:type="pct"/>
            <w:tcBorders>
              <w:tl2br w:val="nil"/>
              <w:tr2bl w:val="nil"/>
            </w:tcBorders>
            <w:noWrap w:val="0"/>
            <w:vAlign w:val="center"/>
          </w:tcPr>
          <w:p w14:paraId="5FBA1EDD">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分子式：C6H14</w:t>
            </w:r>
          </w:p>
        </w:tc>
        <w:tc>
          <w:tcPr>
            <w:tcW w:w="2058" w:type="pct"/>
            <w:tcBorders>
              <w:tl2br w:val="nil"/>
              <w:tr2bl w:val="nil"/>
            </w:tcBorders>
            <w:noWrap w:val="0"/>
            <w:vAlign w:val="center"/>
          </w:tcPr>
          <w:p w14:paraId="57D2B778">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分子量：86.17</w:t>
            </w:r>
          </w:p>
        </w:tc>
      </w:tr>
      <w:tr w14:paraId="62BB04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0AD2ACF6">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2427" w:type="pct"/>
            <w:tcBorders>
              <w:tl2br w:val="nil"/>
              <w:tr2bl w:val="nil"/>
            </w:tcBorders>
            <w:noWrap w:val="0"/>
            <w:vAlign w:val="center"/>
          </w:tcPr>
          <w:p w14:paraId="69498213">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CAS NO:110-54-3</w:t>
            </w:r>
          </w:p>
        </w:tc>
        <w:tc>
          <w:tcPr>
            <w:tcW w:w="2058" w:type="pct"/>
            <w:tcBorders>
              <w:tl2br w:val="nil"/>
              <w:tr2bl w:val="nil"/>
            </w:tcBorders>
            <w:noWrap w:val="0"/>
            <w:vAlign w:val="center"/>
          </w:tcPr>
          <w:p w14:paraId="447A463A">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r>
      <w:tr w14:paraId="11D28D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restart"/>
            <w:tcBorders>
              <w:tl2br w:val="nil"/>
              <w:tr2bl w:val="nil"/>
            </w:tcBorders>
            <w:noWrap w:val="0"/>
            <w:vAlign w:val="center"/>
          </w:tcPr>
          <w:p w14:paraId="29C14DD9">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理化</w:t>
            </w:r>
          </w:p>
          <w:p w14:paraId="529B1DB9">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特性</w:t>
            </w:r>
          </w:p>
        </w:tc>
        <w:tc>
          <w:tcPr>
            <w:tcW w:w="4486" w:type="pct"/>
            <w:gridSpan w:val="2"/>
            <w:tcBorders>
              <w:tl2br w:val="nil"/>
              <w:tr2bl w:val="nil"/>
            </w:tcBorders>
            <w:noWrap w:val="0"/>
            <w:vAlign w:val="center"/>
          </w:tcPr>
          <w:p w14:paraId="085B87EC">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纯品或混合物：纯品</w:t>
            </w:r>
          </w:p>
        </w:tc>
      </w:tr>
      <w:tr w14:paraId="076158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663DAEEA">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4486" w:type="pct"/>
            <w:gridSpan w:val="2"/>
            <w:tcBorders>
              <w:tl2br w:val="nil"/>
              <w:tr2bl w:val="nil"/>
            </w:tcBorders>
            <w:noWrap w:val="0"/>
            <w:vAlign w:val="center"/>
          </w:tcPr>
          <w:p w14:paraId="084514F9">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外观与性状：无色液体，有微弱的特殊气味。</w:t>
            </w:r>
          </w:p>
        </w:tc>
      </w:tr>
      <w:tr w14:paraId="0E0599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19A64390">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4486" w:type="pct"/>
            <w:gridSpan w:val="2"/>
            <w:tcBorders>
              <w:tl2br w:val="nil"/>
              <w:tr2bl w:val="nil"/>
            </w:tcBorders>
            <w:noWrap w:val="0"/>
            <w:vAlign w:val="center"/>
          </w:tcPr>
          <w:p w14:paraId="1CFE465F">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主要用途：用于有机合成，用作溶剂、化学试剂、涂料稀释剂、聚合反应的介质等。</w:t>
            </w:r>
          </w:p>
        </w:tc>
      </w:tr>
      <w:tr w14:paraId="403706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45B7F92F">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2427" w:type="pct"/>
            <w:tcBorders>
              <w:tl2br w:val="nil"/>
              <w:tr2bl w:val="nil"/>
            </w:tcBorders>
            <w:noWrap w:val="0"/>
            <w:vAlign w:val="center"/>
          </w:tcPr>
          <w:p w14:paraId="002233D3">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熔点（℃）：-95.6</w:t>
            </w:r>
          </w:p>
        </w:tc>
        <w:tc>
          <w:tcPr>
            <w:tcW w:w="2058" w:type="pct"/>
            <w:tcBorders>
              <w:tl2br w:val="nil"/>
              <w:tr2bl w:val="nil"/>
            </w:tcBorders>
            <w:noWrap w:val="0"/>
            <w:vAlign w:val="center"/>
          </w:tcPr>
          <w:p w14:paraId="5C2A7140">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相对密度（水=1）：0.66</w:t>
            </w:r>
          </w:p>
        </w:tc>
      </w:tr>
      <w:tr w14:paraId="3AAB87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4C3AC461">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2427" w:type="pct"/>
            <w:tcBorders>
              <w:tl2br w:val="nil"/>
              <w:tr2bl w:val="nil"/>
            </w:tcBorders>
            <w:noWrap w:val="0"/>
            <w:vAlign w:val="center"/>
          </w:tcPr>
          <w:p w14:paraId="6629AB2D">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沸点（℃）：68.7</w:t>
            </w:r>
          </w:p>
        </w:tc>
        <w:tc>
          <w:tcPr>
            <w:tcW w:w="2058" w:type="pct"/>
            <w:tcBorders>
              <w:tl2br w:val="nil"/>
              <w:tr2bl w:val="nil"/>
            </w:tcBorders>
            <w:noWrap w:val="0"/>
            <w:vAlign w:val="center"/>
          </w:tcPr>
          <w:p w14:paraId="0F6C4592">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相对密度（空气=1）：2.97</w:t>
            </w:r>
          </w:p>
        </w:tc>
      </w:tr>
      <w:tr w14:paraId="6B83FA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53078A0D">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4486" w:type="pct"/>
            <w:gridSpan w:val="2"/>
            <w:tcBorders>
              <w:tl2br w:val="nil"/>
              <w:tr2bl w:val="nil"/>
            </w:tcBorders>
            <w:noWrap w:val="0"/>
            <w:vAlign w:val="center"/>
          </w:tcPr>
          <w:p w14:paraId="360B006C">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饱和蒸气压（kPa）：13.33(15.8℃)</w:t>
            </w:r>
          </w:p>
        </w:tc>
      </w:tr>
      <w:tr w14:paraId="345552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43629980">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4486" w:type="pct"/>
            <w:gridSpan w:val="2"/>
            <w:tcBorders>
              <w:tl2br w:val="nil"/>
              <w:tr2bl w:val="nil"/>
            </w:tcBorders>
            <w:noWrap w:val="0"/>
            <w:vAlign w:val="center"/>
          </w:tcPr>
          <w:p w14:paraId="474D55FE">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溶解性：不溶于水，溶于乙醇、乙醚等多数有机溶剂。</w:t>
            </w:r>
          </w:p>
        </w:tc>
      </w:tr>
      <w:tr w14:paraId="1D337F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6C5D847B">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2427" w:type="pct"/>
            <w:tcBorders>
              <w:tl2br w:val="nil"/>
              <w:tr2bl w:val="nil"/>
            </w:tcBorders>
            <w:noWrap w:val="0"/>
            <w:vAlign w:val="center"/>
          </w:tcPr>
          <w:p w14:paraId="0F4D2626">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临界温度（℃）：234.8</w:t>
            </w:r>
          </w:p>
        </w:tc>
        <w:tc>
          <w:tcPr>
            <w:tcW w:w="2058" w:type="pct"/>
            <w:tcBorders>
              <w:tl2br w:val="nil"/>
              <w:tr2bl w:val="nil"/>
            </w:tcBorders>
            <w:noWrap w:val="0"/>
            <w:vAlign w:val="center"/>
          </w:tcPr>
          <w:p w14:paraId="0172F21B">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临界压力（MPa）：3.09</w:t>
            </w:r>
          </w:p>
        </w:tc>
      </w:tr>
      <w:tr w14:paraId="76F22A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09C13105">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2427" w:type="pct"/>
            <w:tcBorders>
              <w:tl2br w:val="nil"/>
              <w:tr2bl w:val="nil"/>
            </w:tcBorders>
            <w:noWrap w:val="0"/>
            <w:vAlign w:val="center"/>
          </w:tcPr>
          <w:p w14:paraId="35DF85BC">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燃烧热（kj/mol）：4159.1</w:t>
            </w:r>
          </w:p>
        </w:tc>
        <w:tc>
          <w:tcPr>
            <w:tcW w:w="2058" w:type="pct"/>
            <w:tcBorders>
              <w:tl2br w:val="nil"/>
              <w:tr2bl w:val="nil"/>
            </w:tcBorders>
            <w:noWrap w:val="0"/>
            <w:vAlign w:val="center"/>
          </w:tcPr>
          <w:p w14:paraId="087A3571">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r>
      <w:tr w14:paraId="3C79D3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restart"/>
            <w:tcBorders>
              <w:tl2br w:val="nil"/>
              <w:tr2bl w:val="nil"/>
            </w:tcBorders>
            <w:noWrap w:val="0"/>
            <w:vAlign w:val="center"/>
          </w:tcPr>
          <w:p w14:paraId="6ECAFBF5">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燃烧</w:t>
            </w:r>
          </w:p>
          <w:p w14:paraId="16318757">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爆炸</w:t>
            </w:r>
          </w:p>
          <w:p w14:paraId="441B236C">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危险性</w:t>
            </w:r>
          </w:p>
        </w:tc>
        <w:tc>
          <w:tcPr>
            <w:tcW w:w="2427" w:type="pct"/>
            <w:tcBorders>
              <w:tl2br w:val="nil"/>
              <w:tr2bl w:val="nil"/>
            </w:tcBorders>
            <w:noWrap w:val="0"/>
            <w:vAlign w:val="center"/>
          </w:tcPr>
          <w:p w14:paraId="1DE23510">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燃爆危险：本品极度易燃，具刺激性。</w:t>
            </w:r>
          </w:p>
        </w:tc>
        <w:tc>
          <w:tcPr>
            <w:tcW w:w="2058" w:type="pct"/>
            <w:tcBorders>
              <w:tl2br w:val="nil"/>
              <w:tr2bl w:val="nil"/>
            </w:tcBorders>
            <w:noWrap w:val="0"/>
            <w:vAlign w:val="center"/>
          </w:tcPr>
          <w:p w14:paraId="4DB28AEE">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建规火险分级：</w:t>
            </w:r>
          </w:p>
        </w:tc>
      </w:tr>
      <w:tr w14:paraId="378C80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2DC0E94F">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2427" w:type="pct"/>
            <w:tcBorders>
              <w:tl2br w:val="nil"/>
              <w:tr2bl w:val="nil"/>
            </w:tcBorders>
            <w:noWrap w:val="0"/>
            <w:vAlign w:val="center"/>
          </w:tcPr>
          <w:p w14:paraId="336E1262">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闪点（℃）：-22</w:t>
            </w:r>
          </w:p>
        </w:tc>
        <w:tc>
          <w:tcPr>
            <w:tcW w:w="2058" w:type="pct"/>
            <w:tcBorders>
              <w:tl2br w:val="nil"/>
              <w:tr2bl w:val="nil"/>
            </w:tcBorders>
            <w:noWrap w:val="0"/>
            <w:vAlign w:val="center"/>
          </w:tcPr>
          <w:p w14:paraId="7E901C5D">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爆炸下限（v%）：1.1</w:t>
            </w:r>
          </w:p>
        </w:tc>
      </w:tr>
      <w:tr w14:paraId="2B56CC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02080198">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2427" w:type="pct"/>
            <w:tcBorders>
              <w:tl2br w:val="nil"/>
              <w:tr2bl w:val="nil"/>
            </w:tcBorders>
            <w:noWrap w:val="0"/>
            <w:vAlign w:val="center"/>
          </w:tcPr>
          <w:p w14:paraId="41D67396">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引燃温度（℃）：244</w:t>
            </w:r>
          </w:p>
        </w:tc>
        <w:tc>
          <w:tcPr>
            <w:tcW w:w="2058" w:type="pct"/>
            <w:tcBorders>
              <w:tl2br w:val="nil"/>
              <w:tr2bl w:val="nil"/>
            </w:tcBorders>
            <w:noWrap w:val="0"/>
            <w:vAlign w:val="center"/>
          </w:tcPr>
          <w:p w14:paraId="62E3D3E1">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爆炸上限（v%）：7.5</w:t>
            </w:r>
          </w:p>
        </w:tc>
      </w:tr>
      <w:tr w14:paraId="245B15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6E718E36">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2427" w:type="pct"/>
            <w:tcBorders>
              <w:tl2br w:val="nil"/>
              <w:tr2bl w:val="nil"/>
            </w:tcBorders>
            <w:noWrap w:val="0"/>
            <w:vAlign w:val="center"/>
          </w:tcPr>
          <w:p w14:paraId="1407C808">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最小点火能（mJ）：0.24</w:t>
            </w:r>
          </w:p>
        </w:tc>
        <w:tc>
          <w:tcPr>
            <w:tcW w:w="2058" w:type="pct"/>
            <w:tcBorders>
              <w:tl2br w:val="nil"/>
              <w:tr2bl w:val="nil"/>
            </w:tcBorders>
            <w:noWrap w:val="0"/>
            <w:vAlign w:val="center"/>
          </w:tcPr>
          <w:p w14:paraId="51A8BE2E">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最大燃爆压力（MPa）：0.850</w:t>
            </w:r>
          </w:p>
        </w:tc>
      </w:tr>
      <w:tr w14:paraId="57BD8C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0C3A6E77">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4486" w:type="pct"/>
            <w:gridSpan w:val="2"/>
            <w:tcBorders>
              <w:tl2br w:val="nil"/>
              <w:tr2bl w:val="nil"/>
            </w:tcBorders>
            <w:noWrap w:val="0"/>
            <w:vAlign w:val="center"/>
          </w:tcPr>
          <w:p w14:paraId="5E581660">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危险特性：极易燃，其蒸气与空气可形成爆炸性混合物，遇明火、高热极易燃烧爆炸。与氧化剂接触发生强烈反应，甚至引起燃烧。在火场中，受热的容器有爆炸危险。其蒸气比空气重，能在较低处扩散到相当远的地方，遇火源会着火回燃。</w:t>
            </w:r>
          </w:p>
        </w:tc>
      </w:tr>
      <w:tr w14:paraId="74C2D4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54A51A2F">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2427" w:type="pct"/>
            <w:tcBorders>
              <w:tl2br w:val="nil"/>
              <w:tr2bl w:val="nil"/>
            </w:tcBorders>
            <w:noWrap w:val="0"/>
            <w:vAlign w:val="center"/>
          </w:tcPr>
          <w:p w14:paraId="21D292E5">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燃烧（分解）产物：一氧化碳、二氧化碳。</w:t>
            </w:r>
          </w:p>
        </w:tc>
        <w:tc>
          <w:tcPr>
            <w:tcW w:w="2058" w:type="pct"/>
            <w:tcBorders>
              <w:tl2br w:val="nil"/>
              <w:tr2bl w:val="nil"/>
            </w:tcBorders>
            <w:noWrap w:val="0"/>
            <w:vAlign w:val="center"/>
          </w:tcPr>
          <w:p w14:paraId="442E6A8E">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稳定性：稳定</w:t>
            </w:r>
          </w:p>
        </w:tc>
      </w:tr>
      <w:tr w14:paraId="1B8F90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4F0F0D20">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2427" w:type="pct"/>
            <w:tcBorders>
              <w:tl2br w:val="nil"/>
              <w:tr2bl w:val="nil"/>
            </w:tcBorders>
            <w:noWrap w:val="0"/>
            <w:vAlign w:val="center"/>
          </w:tcPr>
          <w:p w14:paraId="441AA175">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聚合危害：不聚合</w:t>
            </w:r>
          </w:p>
        </w:tc>
        <w:tc>
          <w:tcPr>
            <w:tcW w:w="2058" w:type="pct"/>
            <w:tcBorders>
              <w:tl2br w:val="nil"/>
              <w:tr2bl w:val="nil"/>
            </w:tcBorders>
            <w:noWrap w:val="0"/>
            <w:vAlign w:val="center"/>
          </w:tcPr>
          <w:p w14:paraId="7D9948BC">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禁配物：强氧化剂。</w:t>
            </w:r>
          </w:p>
        </w:tc>
      </w:tr>
      <w:tr w14:paraId="296928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43ADE1B6">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4486" w:type="pct"/>
            <w:gridSpan w:val="2"/>
            <w:tcBorders>
              <w:tl2br w:val="nil"/>
              <w:tr2bl w:val="nil"/>
            </w:tcBorders>
            <w:noWrap w:val="0"/>
            <w:vAlign w:val="center"/>
          </w:tcPr>
          <w:p w14:paraId="165996B5">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灭火方法：喷水冷却容器，可能的话将容器从火场移至空旷处。处在火场中的容器若已变色或从安全泄压装置中产生声音，必须马上撤离。灭火剂：泡沫、二氧化碳、干粉、砂土。用水灭火无效。</w:t>
            </w:r>
          </w:p>
        </w:tc>
      </w:tr>
      <w:tr w14:paraId="76F5A5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restart"/>
            <w:tcBorders>
              <w:tl2br w:val="nil"/>
              <w:tr2bl w:val="nil"/>
            </w:tcBorders>
            <w:noWrap w:val="0"/>
            <w:vAlign w:val="center"/>
          </w:tcPr>
          <w:p w14:paraId="3901CC14">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包装</w:t>
            </w:r>
          </w:p>
          <w:p w14:paraId="137B8E3B">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操作</w:t>
            </w:r>
          </w:p>
          <w:p w14:paraId="75E64287">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与储运</w:t>
            </w:r>
          </w:p>
        </w:tc>
        <w:tc>
          <w:tcPr>
            <w:tcW w:w="2427" w:type="pct"/>
            <w:tcBorders>
              <w:tl2br w:val="nil"/>
              <w:tr2bl w:val="nil"/>
            </w:tcBorders>
            <w:noWrap w:val="0"/>
            <w:vAlign w:val="center"/>
          </w:tcPr>
          <w:p w14:paraId="0C58E7E7">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危险性类别：第3.1类低闪点液体</w:t>
            </w:r>
          </w:p>
        </w:tc>
        <w:tc>
          <w:tcPr>
            <w:tcW w:w="2058" w:type="pct"/>
            <w:tcBorders>
              <w:tl2br w:val="nil"/>
              <w:tr2bl w:val="nil"/>
            </w:tcBorders>
            <w:noWrap w:val="0"/>
            <w:vAlign w:val="center"/>
          </w:tcPr>
          <w:p w14:paraId="3F0ABD6F">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危险货物包装标志：易燃液体</w:t>
            </w:r>
          </w:p>
        </w:tc>
      </w:tr>
      <w:tr w14:paraId="57B63F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156811A3">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2427" w:type="pct"/>
            <w:tcBorders>
              <w:tl2br w:val="nil"/>
              <w:tr2bl w:val="nil"/>
            </w:tcBorders>
            <w:noWrap w:val="0"/>
            <w:vAlign w:val="center"/>
          </w:tcPr>
          <w:p w14:paraId="18E834F3">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包装类别：类包装</w:t>
            </w:r>
          </w:p>
        </w:tc>
        <w:tc>
          <w:tcPr>
            <w:tcW w:w="2058" w:type="pct"/>
            <w:tcBorders>
              <w:tl2br w:val="nil"/>
              <w:tr2bl w:val="nil"/>
            </w:tcBorders>
            <w:noWrap w:val="0"/>
            <w:vAlign w:val="center"/>
          </w:tcPr>
          <w:p w14:paraId="401910C9">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危险货物包装标志代码：7</w:t>
            </w:r>
          </w:p>
        </w:tc>
      </w:tr>
      <w:tr w14:paraId="23334E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4B52E776">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4486" w:type="pct"/>
            <w:gridSpan w:val="2"/>
            <w:tcBorders>
              <w:tl2br w:val="nil"/>
              <w:tr2bl w:val="nil"/>
            </w:tcBorders>
            <w:noWrap w:val="0"/>
            <w:vAlign w:val="center"/>
          </w:tcPr>
          <w:p w14:paraId="786DBE77">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包装方式：小开口钢桶；安瓿瓶外普通木箱；螺纹口玻璃瓶、铁盖压口玻璃瓶、塑料瓶或金属桶（罐）外普通木箱。</w:t>
            </w:r>
          </w:p>
        </w:tc>
      </w:tr>
      <w:tr w14:paraId="3A89A5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50937D2E">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2427" w:type="pct"/>
            <w:tcBorders>
              <w:tl2br w:val="nil"/>
              <w:tr2bl w:val="nil"/>
            </w:tcBorders>
            <w:noWrap w:val="0"/>
            <w:vAlign w:val="center"/>
          </w:tcPr>
          <w:p w14:paraId="0070BD96">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危险货物编号：31005</w:t>
            </w:r>
          </w:p>
        </w:tc>
        <w:tc>
          <w:tcPr>
            <w:tcW w:w="2058" w:type="pct"/>
            <w:tcBorders>
              <w:tl2br w:val="nil"/>
              <w:tr2bl w:val="nil"/>
            </w:tcBorders>
            <w:noWrap w:val="0"/>
            <w:vAlign w:val="center"/>
          </w:tcPr>
          <w:p w14:paraId="256B1462">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UN编号：1208</w:t>
            </w:r>
          </w:p>
        </w:tc>
      </w:tr>
      <w:tr w14:paraId="6AC09A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5CAA3563">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4486" w:type="pct"/>
            <w:gridSpan w:val="2"/>
            <w:tcBorders>
              <w:tl2br w:val="nil"/>
              <w:tr2bl w:val="nil"/>
            </w:tcBorders>
            <w:noWrap w:val="0"/>
            <w:vAlign w:val="center"/>
          </w:tcPr>
          <w:p w14:paraId="7AE5D253">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操作注意事项：密闭操作，全面通风。操作人员必须经过专门培训，严格遵守操作规程。建议操作人员佩戴自吸过滤式防毒面具（半面罩），戴化学安全防护眼镜，穿防静电工作服，戴橡胶耐油手套。远离火种、热源，工作场所严禁吸烟。使用防爆型的通风系统和设备。防止蒸气泄漏到工作场所空气中。避免与氧化剂接触。灌装时应控制流速，且有接地装置，防止静电积聚。搬运时要轻装轻卸，防止包装及容器损坏。配备相应品种和数量的消防器材及泄漏应急处理设备。倒空的容器可能残留有害物。</w:t>
            </w:r>
          </w:p>
        </w:tc>
      </w:tr>
      <w:tr w14:paraId="378468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7416BB14">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4486" w:type="pct"/>
            <w:gridSpan w:val="2"/>
            <w:tcBorders>
              <w:tl2br w:val="nil"/>
              <w:tr2bl w:val="nil"/>
            </w:tcBorders>
            <w:noWrap w:val="0"/>
            <w:vAlign w:val="center"/>
          </w:tcPr>
          <w:p w14:paraId="75F0EB92">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储存注意事项：储存于阴凉、通风的库房。远离火种、热源。库温不宜超过30℃。保持容器密封。应与氧化剂分开存放，切忌混储。采用防爆型照明、通风设施。禁止使用易产生火花的机械设备和工具。储区应备有泄漏应急处理设备和合适的收容材料。</w:t>
            </w:r>
          </w:p>
        </w:tc>
      </w:tr>
      <w:tr w14:paraId="3E0D58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0CDA337A">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4486" w:type="pct"/>
            <w:gridSpan w:val="2"/>
            <w:tcBorders>
              <w:tl2br w:val="nil"/>
              <w:tr2bl w:val="nil"/>
            </w:tcBorders>
            <w:noWrap w:val="0"/>
            <w:vAlign w:val="center"/>
          </w:tcPr>
          <w:p w14:paraId="68934D5A">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运输注意事项：运输时运输车辆应配备相应品种和数量的消防器材及泄漏应急处理设备。夏季最好早晚运输。运输时所用的槽（罐）车应有接地链，槽内可设孔隔板以减少振荡产生静电。严禁与氧化剂、食用化学品等混装混运。运输途中应防</w:t>
            </w:r>
            <w:r>
              <w:rPr>
                <w:rFonts w:hint="default" w:ascii="Times New Roman" w:hAnsi="Times New Roman" w:cs="Times New Roman"/>
                <w:color w:val="auto"/>
                <w:kern w:val="2"/>
                <w:sz w:val="21"/>
                <w:szCs w:val="21"/>
                <w:highlight w:val="none"/>
                <w:lang w:val="en-US" w:eastAsia="zh-CN"/>
              </w:rPr>
              <w:t>暴晒</w:t>
            </w:r>
            <w:r>
              <w:rPr>
                <w:rFonts w:hint="default" w:ascii="Times New Roman" w:hAnsi="Times New Roman" w:eastAsia="宋体" w:cs="Times New Roman"/>
                <w:color w:val="auto"/>
                <w:kern w:val="2"/>
                <w:sz w:val="21"/>
                <w:szCs w:val="21"/>
                <w:highlight w:val="none"/>
                <w:lang w:val="en-US" w:eastAsia="zh-CN"/>
              </w:rPr>
              <w:t>、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r w14:paraId="63BE0F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restart"/>
            <w:tcBorders>
              <w:tl2br w:val="nil"/>
              <w:tr2bl w:val="nil"/>
            </w:tcBorders>
            <w:noWrap w:val="0"/>
            <w:vAlign w:val="center"/>
          </w:tcPr>
          <w:p w14:paraId="2569B368">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毒性健康及环境危害性</w:t>
            </w:r>
          </w:p>
        </w:tc>
        <w:tc>
          <w:tcPr>
            <w:tcW w:w="2427" w:type="pct"/>
            <w:tcBorders>
              <w:tl2br w:val="nil"/>
              <w:tr2bl w:val="nil"/>
            </w:tcBorders>
            <w:noWrap w:val="0"/>
            <w:vAlign w:val="center"/>
          </w:tcPr>
          <w:p w14:paraId="5B1F9CB5">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接触限值：中国MAC(mg/m</w:t>
            </w:r>
            <w:r>
              <w:rPr>
                <w:rFonts w:hint="default" w:ascii="Times New Roman" w:hAnsi="Times New Roman" w:eastAsia="宋体" w:cs="Times New Roman"/>
                <w:color w:val="auto"/>
                <w:kern w:val="2"/>
                <w:sz w:val="21"/>
                <w:szCs w:val="21"/>
                <w:highlight w:val="none"/>
                <w:vertAlign w:val="superscript"/>
                <w:lang w:val="en-US" w:eastAsia="zh-CN"/>
              </w:rPr>
              <w:t>3）</w:t>
            </w:r>
            <w:r>
              <w:rPr>
                <w:rFonts w:hint="default" w:ascii="Times New Roman" w:hAnsi="Times New Roman" w:eastAsia="宋体" w:cs="Times New Roman"/>
                <w:color w:val="auto"/>
                <w:kern w:val="2"/>
                <w:sz w:val="21"/>
                <w:szCs w:val="21"/>
                <w:highlight w:val="none"/>
                <w:lang w:val="en-US" w:eastAsia="zh-CN"/>
              </w:rPr>
              <w:t>：未制定标准</w:t>
            </w:r>
          </w:p>
        </w:tc>
        <w:tc>
          <w:tcPr>
            <w:tcW w:w="2058" w:type="pct"/>
            <w:tcBorders>
              <w:tl2br w:val="nil"/>
              <w:tr2bl w:val="nil"/>
            </w:tcBorders>
            <w:noWrap w:val="0"/>
            <w:vAlign w:val="center"/>
          </w:tcPr>
          <w:p w14:paraId="4B5B27CE">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前苏联MAC(mg/m</w:t>
            </w:r>
            <w:r>
              <w:rPr>
                <w:rFonts w:hint="default" w:ascii="Times New Roman" w:hAnsi="Times New Roman" w:eastAsia="宋体" w:cs="Times New Roman"/>
                <w:color w:val="auto"/>
                <w:kern w:val="2"/>
                <w:sz w:val="21"/>
                <w:szCs w:val="21"/>
                <w:highlight w:val="none"/>
                <w:vertAlign w:val="superscript"/>
                <w:lang w:val="en-US" w:eastAsia="zh-CN"/>
              </w:rPr>
              <w:t>3）</w:t>
            </w:r>
            <w:r>
              <w:rPr>
                <w:rFonts w:hint="default" w:ascii="Times New Roman" w:hAnsi="Times New Roman" w:eastAsia="宋体" w:cs="Times New Roman"/>
                <w:color w:val="auto"/>
                <w:kern w:val="2"/>
                <w:sz w:val="21"/>
                <w:szCs w:val="21"/>
                <w:highlight w:val="none"/>
                <w:lang w:val="en-US" w:eastAsia="zh-CN"/>
              </w:rPr>
              <w:t>：300</w:t>
            </w:r>
          </w:p>
        </w:tc>
      </w:tr>
      <w:tr w14:paraId="5FCD8E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20F16E54">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4486" w:type="pct"/>
            <w:gridSpan w:val="2"/>
            <w:tcBorders>
              <w:tl2br w:val="nil"/>
              <w:tr2bl w:val="nil"/>
            </w:tcBorders>
            <w:noWrap w:val="0"/>
            <w:vAlign w:val="center"/>
          </w:tcPr>
          <w:p w14:paraId="3CE37592">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TLVTN(mg/m3)：OSHA 500ppm,1760mg/m</w:t>
            </w:r>
            <w:r>
              <w:rPr>
                <w:rFonts w:hint="default" w:ascii="Times New Roman" w:hAnsi="Times New Roman" w:eastAsia="宋体" w:cs="Times New Roman"/>
                <w:color w:val="auto"/>
                <w:kern w:val="2"/>
                <w:sz w:val="21"/>
                <w:szCs w:val="21"/>
                <w:highlight w:val="none"/>
                <w:vertAlign w:val="superscript"/>
                <w:lang w:val="en-US" w:eastAsia="zh-CN"/>
              </w:rPr>
              <w:t>3;</w:t>
            </w:r>
            <w:r>
              <w:rPr>
                <w:rFonts w:hint="default" w:ascii="Times New Roman" w:hAnsi="Times New Roman" w:eastAsia="宋体" w:cs="Times New Roman"/>
                <w:color w:val="auto"/>
                <w:kern w:val="2"/>
                <w:sz w:val="21"/>
                <w:szCs w:val="21"/>
                <w:highlight w:val="none"/>
                <w:lang w:val="en-US" w:eastAsia="zh-CN"/>
              </w:rPr>
              <w:t>ACGIH 50ppm,176mg/m</w:t>
            </w:r>
            <w:r>
              <w:rPr>
                <w:rFonts w:hint="default" w:ascii="Times New Roman" w:hAnsi="Times New Roman" w:eastAsia="宋体" w:cs="Times New Roman"/>
                <w:color w:val="auto"/>
                <w:kern w:val="2"/>
                <w:sz w:val="21"/>
                <w:szCs w:val="21"/>
                <w:highlight w:val="none"/>
                <w:vertAlign w:val="superscript"/>
                <w:lang w:val="en-US" w:eastAsia="zh-CN"/>
              </w:rPr>
              <w:t>3</w:t>
            </w:r>
            <w:r>
              <w:rPr>
                <w:rFonts w:hint="default" w:ascii="Times New Roman" w:hAnsi="Times New Roman" w:eastAsia="宋体" w:cs="Times New Roman"/>
                <w:color w:val="auto"/>
                <w:kern w:val="2"/>
                <w:sz w:val="21"/>
                <w:szCs w:val="21"/>
                <w:highlight w:val="none"/>
                <w:lang w:val="en-US" w:eastAsia="zh-CN"/>
              </w:rPr>
              <w:t>。</w:t>
            </w:r>
          </w:p>
        </w:tc>
      </w:tr>
      <w:tr w14:paraId="327099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73FAB047">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4486" w:type="pct"/>
            <w:gridSpan w:val="2"/>
            <w:tcBorders>
              <w:tl2br w:val="nil"/>
              <w:tr2bl w:val="nil"/>
            </w:tcBorders>
            <w:noWrap w:val="0"/>
            <w:vAlign w:val="center"/>
          </w:tcPr>
          <w:p w14:paraId="6FB8C53E">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TLVWN(mg/m</w:t>
            </w:r>
            <w:r>
              <w:rPr>
                <w:rFonts w:hint="default" w:ascii="Times New Roman" w:hAnsi="Times New Roman" w:eastAsia="宋体" w:cs="Times New Roman"/>
                <w:color w:val="auto"/>
                <w:kern w:val="2"/>
                <w:sz w:val="21"/>
                <w:szCs w:val="21"/>
                <w:highlight w:val="none"/>
                <w:vertAlign w:val="superscript"/>
                <w:lang w:val="en-US" w:eastAsia="zh-CN"/>
              </w:rPr>
              <w:t>3）</w:t>
            </w:r>
            <w:r>
              <w:rPr>
                <w:rFonts w:hint="default" w:ascii="Times New Roman" w:hAnsi="Times New Roman" w:eastAsia="宋体" w:cs="Times New Roman"/>
                <w:color w:val="auto"/>
                <w:kern w:val="2"/>
                <w:sz w:val="21"/>
                <w:szCs w:val="21"/>
                <w:highlight w:val="none"/>
                <w:lang w:val="en-US" w:eastAsia="zh-CN"/>
              </w:rPr>
              <w:t>：未制定标准。</w:t>
            </w:r>
          </w:p>
        </w:tc>
      </w:tr>
      <w:tr w14:paraId="69E0F4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3C0D6EEB">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4486" w:type="pct"/>
            <w:gridSpan w:val="2"/>
            <w:tcBorders>
              <w:tl2br w:val="nil"/>
              <w:tr2bl w:val="nil"/>
            </w:tcBorders>
            <w:noWrap w:val="0"/>
            <w:vAlign w:val="center"/>
          </w:tcPr>
          <w:p w14:paraId="6DA70E55">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侵入途径：吸入、食入、经皮肤吸收。</w:t>
            </w:r>
          </w:p>
        </w:tc>
      </w:tr>
      <w:tr w14:paraId="388569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2D19629B">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4486" w:type="pct"/>
            <w:gridSpan w:val="2"/>
            <w:tcBorders>
              <w:tl2br w:val="nil"/>
              <w:tr2bl w:val="nil"/>
            </w:tcBorders>
            <w:noWrap w:val="0"/>
            <w:vAlign w:val="center"/>
          </w:tcPr>
          <w:p w14:paraId="5F129FAC">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毒性：LD50:28710 mg/kg（大鼠经口）LC50：无资料</w:t>
            </w:r>
          </w:p>
        </w:tc>
      </w:tr>
      <w:tr w14:paraId="4D4CA9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6FEBFF0C">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4486" w:type="pct"/>
            <w:gridSpan w:val="2"/>
            <w:tcBorders>
              <w:tl2br w:val="nil"/>
              <w:tr2bl w:val="nil"/>
            </w:tcBorders>
            <w:noWrap w:val="0"/>
            <w:vAlign w:val="center"/>
          </w:tcPr>
          <w:p w14:paraId="165827B3">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健康危害：本品有麻醉和刺激作用。长期接触可致周围神经炎。急性中毒：吸入高浓度本品出现头痛、头晕、恶心、共济失调等，重者引起神志丧失甚至死亡。对眼和上呼吸道有刺激性。慢性中毒：长期接触出现头痛、头晕、乏力、胃纳减退；其后四肢远端逐渐发展成感觉异常，麻木，触、痛、震动和位置等感觉减退，尤以下肢为甚，上肢较少受累。进一步发展为下肢无力，肌肉疼痛，肌肉萎缩及运动障碍。神经-肌电图检查示感觉神经及运动神经传导速度减慢。</w:t>
            </w:r>
          </w:p>
        </w:tc>
      </w:tr>
      <w:tr w14:paraId="74DB53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restart"/>
            <w:tcBorders>
              <w:tl2br w:val="nil"/>
              <w:tr2bl w:val="nil"/>
            </w:tcBorders>
            <w:noWrap w:val="0"/>
            <w:vAlign w:val="center"/>
          </w:tcPr>
          <w:p w14:paraId="1E6B69C8">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急救</w:t>
            </w:r>
          </w:p>
          <w:p w14:paraId="30B21731">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措施</w:t>
            </w:r>
          </w:p>
        </w:tc>
        <w:tc>
          <w:tcPr>
            <w:tcW w:w="4486" w:type="pct"/>
            <w:gridSpan w:val="2"/>
            <w:tcBorders>
              <w:tl2br w:val="nil"/>
              <w:tr2bl w:val="nil"/>
            </w:tcBorders>
            <w:noWrap w:val="0"/>
            <w:vAlign w:val="center"/>
          </w:tcPr>
          <w:p w14:paraId="5E637CDE">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皮肤接触：脱去污染的衣着，用肥皂水和清水彻底冲洗皮肤。</w:t>
            </w:r>
          </w:p>
        </w:tc>
      </w:tr>
      <w:tr w14:paraId="753ED8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32E48714">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4486" w:type="pct"/>
            <w:gridSpan w:val="2"/>
            <w:tcBorders>
              <w:tl2br w:val="nil"/>
              <w:tr2bl w:val="nil"/>
            </w:tcBorders>
            <w:noWrap w:val="0"/>
            <w:vAlign w:val="center"/>
          </w:tcPr>
          <w:p w14:paraId="5F47EC9D">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眼睛接触：提起眼睑，用流动清水或生理盐水冲洗。就医。</w:t>
            </w:r>
          </w:p>
        </w:tc>
      </w:tr>
      <w:tr w14:paraId="5AC916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0FFE8BBB">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4486" w:type="pct"/>
            <w:gridSpan w:val="2"/>
            <w:tcBorders>
              <w:tl2br w:val="nil"/>
              <w:tr2bl w:val="nil"/>
            </w:tcBorders>
            <w:noWrap w:val="0"/>
            <w:vAlign w:val="center"/>
          </w:tcPr>
          <w:p w14:paraId="56F49D8B">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吸入：迅速脱离现场至空气新鲜处。保持呼吸道通畅。如呼吸困难，给输氧。如呼吸停止，立即进行人工呼吸。就医。</w:t>
            </w:r>
          </w:p>
        </w:tc>
      </w:tr>
      <w:tr w14:paraId="08E7A1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319BB7A9">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4486" w:type="pct"/>
            <w:gridSpan w:val="2"/>
            <w:tcBorders>
              <w:tl2br w:val="nil"/>
              <w:tr2bl w:val="nil"/>
            </w:tcBorders>
            <w:noWrap w:val="0"/>
            <w:vAlign w:val="center"/>
          </w:tcPr>
          <w:p w14:paraId="0436F17C">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食入：饮足量温水，催吐。就医。</w:t>
            </w:r>
          </w:p>
        </w:tc>
      </w:tr>
      <w:tr w14:paraId="7A1651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restart"/>
            <w:tcBorders>
              <w:tl2br w:val="nil"/>
              <w:tr2bl w:val="nil"/>
            </w:tcBorders>
            <w:noWrap w:val="0"/>
            <w:vAlign w:val="center"/>
          </w:tcPr>
          <w:p w14:paraId="0ACD7F32">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防护</w:t>
            </w:r>
          </w:p>
          <w:p w14:paraId="1AF61602">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措施</w:t>
            </w:r>
          </w:p>
        </w:tc>
        <w:tc>
          <w:tcPr>
            <w:tcW w:w="4486" w:type="pct"/>
            <w:gridSpan w:val="2"/>
            <w:tcBorders>
              <w:tl2br w:val="nil"/>
              <w:tr2bl w:val="nil"/>
            </w:tcBorders>
            <w:noWrap w:val="0"/>
            <w:vAlign w:val="center"/>
          </w:tcPr>
          <w:p w14:paraId="0190D2EE">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工程控制：生产过程密闭，全面通风。提供安全淋浴和洗眼设备。</w:t>
            </w:r>
          </w:p>
        </w:tc>
      </w:tr>
      <w:tr w14:paraId="75ABE6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5E8B7457">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4486" w:type="pct"/>
            <w:gridSpan w:val="2"/>
            <w:tcBorders>
              <w:tl2br w:val="nil"/>
              <w:tr2bl w:val="nil"/>
            </w:tcBorders>
            <w:noWrap w:val="0"/>
            <w:vAlign w:val="center"/>
          </w:tcPr>
          <w:p w14:paraId="337355E7">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呼吸系统防护：空气中浓度超标时，佩戴自吸过滤式防毒面具（半面罩）。</w:t>
            </w:r>
          </w:p>
        </w:tc>
      </w:tr>
      <w:tr w14:paraId="3C3A2F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1E093298">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4486" w:type="pct"/>
            <w:gridSpan w:val="2"/>
            <w:tcBorders>
              <w:tl2br w:val="nil"/>
              <w:tr2bl w:val="nil"/>
            </w:tcBorders>
            <w:noWrap w:val="0"/>
            <w:vAlign w:val="center"/>
          </w:tcPr>
          <w:p w14:paraId="16B6AE96">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眼睛防护：必要时，戴化学安全防护眼镜。</w:t>
            </w:r>
          </w:p>
        </w:tc>
      </w:tr>
      <w:tr w14:paraId="2600E4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0620A0C8">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4486" w:type="pct"/>
            <w:gridSpan w:val="2"/>
            <w:tcBorders>
              <w:tl2br w:val="nil"/>
              <w:tr2bl w:val="nil"/>
            </w:tcBorders>
            <w:noWrap w:val="0"/>
            <w:vAlign w:val="center"/>
          </w:tcPr>
          <w:p w14:paraId="766DDAAA">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身体防护：穿防静电工作服。</w:t>
            </w:r>
          </w:p>
        </w:tc>
      </w:tr>
      <w:tr w14:paraId="1421C0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vMerge w:val="continue"/>
            <w:tcBorders>
              <w:tl2br w:val="nil"/>
              <w:tr2bl w:val="nil"/>
            </w:tcBorders>
            <w:noWrap w:val="0"/>
            <w:vAlign w:val="center"/>
          </w:tcPr>
          <w:p w14:paraId="37B5A1F2">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4486" w:type="pct"/>
            <w:gridSpan w:val="2"/>
            <w:tcBorders>
              <w:tl2br w:val="nil"/>
              <w:tr2bl w:val="nil"/>
            </w:tcBorders>
            <w:noWrap w:val="0"/>
            <w:vAlign w:val="center"/>
          </w:tcPr>
          <w:p w14:paraId="240FD41F">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手防护：戴橡胶耐油手套。</w:t>
            </w:r>
          </w:p>
        </w:tc>
      </w:tr>
      <w:tr w14:paraId="22C4C0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3" w:type="pct"/>
            <w:tcBorders>
              <w:tl2br w:val="nil"/>
              <w:tr2bl w:val="nil"/>
            </w:tcBorders>
            <w:noWrap w:val="0"/>
            <w:vAlign w:val="center"/>
          </w:tcPr>
          <w:p w14:paraId="2B31C50D">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泄漏</w:t>
            </w:r>
          </w:p>
          <w:p w14:paraId="404608CD">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应急</w:t>
            </w:r>
          </w:p>
          <w:p w14:paraId="6DABFCFC">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处置</w:t>
            </w:r>
          </w:p>
        </w:tc>
        <w:tc>
          <w:tcPr>
            <w:tcW w:w="4486" w:type="pct"/>
            <w:gridSpan w:val="2"/>
            <w:tcBorders>
              <w:tl2br w:val="nil"/>
              <w:tr2bl w:val="nil"/>
            </w:tcBorders>
            <w:noWrap w:val="0"/>
            <w:vAlign w:val="center"/>
          </w:tcPr>
          <w:p w14:paraId="59091084">
            <w:pPr>
              <w:pStyle w:val="111"/>
              <w:keepNext w:val="0"/>
              <w:keepLines w:val="0"/>
              <w:pageBreakBefore w:val="0"/>
              <w:widowControl w:val="0"/>
              <w:kinsoku/>
              <w:wordWrap/>
              <w:overflowPunct w:val="0"/>
              <w:topLinePunct w:val="0"/>
              <w:autoSpaceDE/>
              <w:autoSpaceDN/>
              <w:bidi w:val="0"/>
              <w:adjustRightInd w:val="0"/>
              <w:snapToGrid w:val="0"/>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迅速撤离泄漏污染区人员至安全区，并进行隔离，严格限制出入。切断火源。建议应急处理人员戴自给正压式呼吸器，穿防静电工作服。尽可能切断泄漏源。防止流入下水道、排洪沟等限制性空间。小量泄漏：用砂土或</w:t>
            </w:r>
            <w:r>
              <w:rPr>
                <w:rFonts w:hint="default" w:ascii="Times New Roman" w:hAnsi="Times New Roman" w:cs="Times New Roman"/>
                <w:color w:val="auto"/>
                <w:kern w:val="2"/>
                <w:sz w:val="21"/>
                <w:szCs w:val="21"/>
                <w:highlight w:val="none"/>
                <w:lang w:val="en-US" w:eastAsia="zh-CN"/>
              </w:rPr>
              <w:t>其他不</w:t>
            </w:r>
            <w:r>
              <w:rPr>
                <w:rFonts w:hint="default" w:ascii="Times New Roman" w:hAnsi="Times New Roman" w:eastAsia="宋体" w:cs="Times New Roman"/>
                <w:color w:val="auto"/>
                <w:kern w:val="2"/>
                <w:sz w:val="21"/>
                <w:szCs w:val="21"/>
                <w:highlight w:val="none"/>
                <w:lang w:val="en-US" w:eastAsia="zh-CN"/>
              </w:rPr>
              <w:t>燃材料吸附或吸收。也可以用不燃性分散剂制成的乳液刷洗，洗液稀释后放入废水系统。大量泄漏：构筑围堤或挖坑收容。用泡沫覆盖，降低蒸气灾害。用防爆泵转移至槽车或专用收集器内，回收或运至废物处理场所处置。</w:t>
            </w:r>
          </w:p>
        </w:tc>
      </w:tr>
    </w:tbl>
    <w:p w14:paraId="45102ED1">
      <w:pPr>
        <w:pStyle w:val="118"/>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z w:val="24"/>
          <w:szCs w:val="24"/>
          <w:highlight w:val="none"/>
        </w:rPr>
      </w:pPr>
      <w:r>
        <w:rPr>
          <w:rFonts w:hint="default" w:ascii="Times New Roman" w:hAnsi="Times New Roman" w:eastAsia="宋体" w:cs="Times New Roman"/>
          <w:bCs/>
          <w:color w:val="auto"/>
          <w:sz w:val="24"/>
          <w:szCs w:val="24"/>
          <w:highlight w:val="none"/>
          <w:lang w:val="en-GB"/>
        </w:rPr>
        <w:t>表</w:t>
      </w:r>
      <w:r>
        <w:rPr>
          <w:rFonts w:hint="default" w:ascii="Times New Roman" w:hAnsi="Times New Roman" w:eastAsia="宋体" w:cs="Times New Roman"/>
          <w:bCs/>
          <w:color w:val="auto"/>
          <w:sz w:val="24"/>
          <w:szCs w:val="24"/>
          <w:highlight w:val="none"/>
          <w:lang w:val="en-US" w:eastAsia="zh-CN"/>
        </w:rPr>
        <w:t xml:space="preserve">2-3 </w:t>
      </w:r>
      <w:r>
        <w:rPr>
          <w:rFonts w:hint="default" w:ascii="Times New Roman" w:hAnsi="Times New Roman" w:eastAsia="宋体" w:cs="Times New Roman"/>
          <w:bCs/>
          <w:color w:val="auto"/>
          <w:sz w:val="24"/>
          <w:szCs w:val="24"/>
          <w:highlight w:val="none"/>
        </w:rPr>
        <w:t>磷酸</w:t>
      </w:r>
      <w:r>
        <w:rPr>
          <w:rFonts w:hint="default" w:ascii="Times New Roman" w:hAnsi="Times New Roman" w:eastAsia="宋体" w:cs="Times New Roman"/>
          <w:bCs/>
          <w:color w:val="auto"/>
          <w:sz w:val="24"/>
          <w:szCs w:val="24"/>
          <w:highlight w:val="none"/>
          <w:lang w:val="en-GB"/>
        </w:rPr>
        <w:t>理化性质</w:t>
      </w:r>
      <w:r>
        <w:rPr>
          <w:rFonts w:hint="default" w:ascii="Times New Roman" w:hAnsi="Times New Roman" w:eastAsia="宋体" w:cs="Times New Roman"/>
          <w:bCs/>
          <w:color w:val="auto"/>
          <w:sz w:val="24"/>
          <w:szCs w:val="24"/>
          <w:highlight w:val="none"/>
        </w:rPr>
        <w:t>及危险特性</w:t>
      </w:r>
      <w:r>
        <w:rPr>
          <w:rFonts w:hint="default" w:ascii="Times New Roman" w:hAnsi="Times New Roman" w:eastAsia="宋体" w:cs="Times New Roman"/>
          <w:bCs/>
          <w:color w:val="auto"/>
          <w:sz w:val="24"/>
          <w:szCs w:val="24"/>
          <w:highlight w:val="none"/>
          <w:lang w:val="en-GB"/>
        </w:rPr>
        <w:t>一览表</w:t>
      </w:r>
    </w:p>
    <w:tbl>
      <w:tblPr>
        <w:tblStyle w:val="29"/>
        <w:tblW w:w="5000" w:type="pct"/>
        <w:tblInd w:w="0" w:type="dxa"/>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882"/>
        <w:gridCol w:w="3381"/>
        <w:gridCol w:w="1912"/>
        <w:gridCol w:w="2353"/>
      </w:tblGrid>
      <w:tr w14:paraId="554DEB9C">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517" w:type="pct"/>
            <w:vMerge w:val="restart"/>
            <w:noWrap w:val="0"/>
            <w:vAlign w:val="center"/>
          </w:tcPr>
          <w:p w14:paraId="26487E15">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标识</w:t>
            </w:r>
          </w:p>
        </w:tc>
        <w:tc>
          <w:tcPr>
            <w:tcW w:w="1982" w:type="pct"/>
            <w:noWrap w:val="0"/>
            <w:vAlign w:val="center"/>
          </w:tcPr>
          <w:p w14:paraId="7A82C55E">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中文名：正磷酸；磷酸</w:t>
            </w:r>
          </w:p>
        </w:tc>
        <w:tc>
          <w:tcPr>
            <w:tcW w:w="2500" w:type="pct"/>
            <w:gridSpan w:val="2"/>
            <w:noWrap w:val="0"/>
            <w:vAlign w:val="center"/>
          </w:tcPr>
          <w:p w14:paraId="3407A6E8">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英文名：Phosphoric acid；Orthophosphoric acid</w:t>
            </w:r>
          </w:p>
        </w:tc>
      </w:tr>
      <w:tr w14:paraId="3E01581F">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517" w:type="pct"/>
            <w:vMerge w:val="continue"/>
            <w:noWrap w:val="0"/>
            <w:vAlign w:val="center"/>
          </w:tcPr>
          <w:p w14:paraId="29558540">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p>
        </w:tc>
        <w:tc>
          <w:tcPr>
            <w:tcW w:w="1982" w:type="pct"/>
            <w:noWrap w:val="0"/>
            <w:vAlign w:val="center"/>
          </w:tcPr>
          <w:p w14:paraId="0475EB67">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分子式：H</w:t>
            </w:r>
            <w:r>
              <w:rPr>
                <w:rFonts w:hint="default" w:ascii="Times New Roman" w:hAnsi="Times New Roman" w:eastAsia="宋体" w:cs="Times New Roman"/>
                <w:color w:val="auto"/>
                <w:spacing w:val="0"/>
                <w:kern w:val="2"/>
                <w:sz w:val="21"/>
                <w:szCs w:val="21"/>
                <w:highlight w:val="none"/>
                <w:vertAlign w:val="subscript"/>
              </w:rPr>
              <w:t>3</w:t>
            </w:r>
            <w:r>
              <w:rPr>
                <w:rFonts w:hint="default" w:ascii="Times New Roman" w:hAnsi="Times New Roman" w:eastAsia="宋体" w:cs="Times New Roman"/>
                <w:color w:val="auto"/>
                <w:spacing w:val="0"/>
                <w:kern w:val="2"/>
                <w:sz w:val="21"/>
                <w:szCs w:val="21"/>
                <w:highlight w:val="none"/>
              </w:rPr>
              <w:t>PO</w:t>
            </w:r>
            <w:r>
              <w:rPr>
                <w:rFonts w:hint="default" w:ascii="Times New Roman" w:hAnsi="Times New Roman" w:eastAsia="宋体" w:cs="Times New Roman"/>
                <w:color w:val="auto"/>
                <w:spacing w:val="0"/>
                <w:kern w:val="2"/>
                <w:sz w:val="21"/>
                <w:szCs w:val="21"/>
                <w:highlight w:val="none"/>
                <w:vertAlign w:val="subscript"/>
              </w:rPr>
              <w:t>4</w:t>
            </w:r>
          </w:p>
        </w:tc>
        <w:tc>
          <w:tcPr>
            <w:tcW w:w="1120" w:type="pct"/>
            <w:noWrap w:val="0"/>
            <w:vAlign w:val="center"/>
          </w:tcPr>
          <w:p w14:paraId="701DDF30">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分子量：98.00</w:t>
            </w:r>
          </w:p>
        </w:tc>
        <w:tc>
          <w:tcPr>
            <w:tcW w:w="1379" w:type="pct"/>
            <w:noWrap w:val="0"/>
            <w:vAlign w:val="center"/>
          </w:tcPr>
          <w:p w14:paraId="0D240A94">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CAS号：7664-38-2</w:t>
            </w:r>
          </w:p>
        </w:tc>
      </w:tr>
      <w:tr w14:paraId="7519D393">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517" w:type="pct"/>
            <w:vMerge w:val="continue"/>
            <w:noWrap w:val="0"/>
            <w:vAlign w:val="center"/>
          </w:tcPr>
          <w:p w14:paraId="79FF7BCF">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p>
        </w:tc>
        <w:tc>
          <w:tcPr>
            <w:tcW w:w="1982" w:type="pct"/>
            <w:noWrap w:val="0"/>
            <w:vAlign w:val="center"/>
          </w:tcPr>
          <w:p w14:paraId="7C486565">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危险货物编号：81501</w:t>
            </w:r>
          </w:p>
        </w:tc>
        <w:tc>
          <w:tcPr>
            <w:tcW w:w="2500" w:type="pct"/>
            <w:gridSpan w:val="2"/>
            <w:noWrap w:val="0"/>
            <w:vAlign w:val="center"/>
          </w:tcPr>
          <w:p w14:paraId="51E2E074">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UN</w:t>
            </w:r>
            <w:r>
              <w:rPr>
                <w:rFonts w:hint="default" w:ascii="Times New Roman" w:hAnsi="Times New Roman" w:eastAsia="宋体" w:cs="Times New Roman"/>
                <w:color w:val="auto"/>
                <w:spacing w:val="0"/>
                <w:kern w:val="2"/>
                <w:sz w:val="21"/>
                <w:szCs w:val="21"/>
                <w:highlight w:val="none"/>
                <w:lang w:eastAsia="zh-CN"/>
              </w:rPr>
              <w:t>:</w:t>
            </w:r>
            <w:r>
              <w:rPr>
                <w:rFonts w:hint="default" w:ascii="Times New Roman" w:hAnsi="Times New Roman" w:eastAsia="宋体" w:cs="Times New Roman"/>
                <w:color w:val="auto"/>
                <w:spacing w:val="0"/>
                <w:kern w:val="2"/>
                <w:sz w:val="21"/>
                <w:szCs w:val="21"/>
                <w:highlight w:val="none"/>
              </w:rPr>
              <w:t>1805</w:t>
            </w:r>
          </w:p>
        </w:tc>
      </w:tr>
      <w:tr w14:paraId="467987C0">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517" w:type="pct"/>
            <w:vMerge w:val="restart"/>
            <w:noWrap w:val="0"/>
            <w:vAlign w:val="center"/>
          </w:tcPr>
          <w:p w14:paraId="1D45D53C">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理化性质</w:t>
            </w:r>
          </w:p>
        </w:tc>
        <w:tc>
          <w:tcPr>
            <w:tcW w:w="4482" w:type="pct"/>
            <w:gridSpan w:val="3"/>
            <w:noWrap w:val="0"/>
            <w:vAlign w:val="center"/>
          </w:tcPr>
          <w:p w14:paraId="34301038">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性状：纯磷酸为无色结晶，无臭，具有酸味。</w:t>
            </w:r>
          </w:p>
        </w:tc>
      </w:tr>
      <w:tr w14:paraId="090C215F">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517" w:type="pct"/>
            <w:vMerge w:val="continue"/>
            <w:noWrap w:val="0"/>
            <w:vAlign w:val="center"/>
          </w:tcPr>
          <w:p w14:paraId="1127F8BF">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p>
        </w:tc>
        <w:tc>
          <w:tcPr>
            <w:tcW w:w="1982" w:type="pct"/>
            <w:noWrap w:val="0"/>
            <w:vAlign w:val="center"/>
          </w:tcPr>
          <w:p w14:paraId="3A3C3EA8">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熔点（℃）：42.4</w:t>
            </w:r>
          </w:p>
        </w:tc>
        <w:tc>
          <w:tcPr>
            <w:tcW w:w="2500" w:type="pct"/>
            <w:gridSpan w:val="2"/>
            <w:noWrap w:val="0"/>
            <w:vAlign w:val="center"/>
          </w:tcPr>
          <w:p w14:paraId="002DB20B">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临界压力（MPa）</w:t>
            </w:r>
          </w:p>
        </w:tc>
      </w:tr>
      <w:tr w14:paraId="78F9789B">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517" w:type="pct"/>
            <w:vMerge w:val="continue"/>
            <w:noWrap w:val="0"/>
            <w:vAlign w:val="center"/>
          </w:tcPr>
          <w:p w14:paraId="4EC84F8C">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p>
        </w:tc>
        <w:tc>
          <w:tcPr>
            <w:tcW w:w="1982" w:type="pct"/>
            <w:noWrap w:val="0"/>
            <w:vAlign w:val="center"/>
          </w:tcPr>
          <w:p w14:paraId="14412D55">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沸点（℃）：260</w:t>
            </w:r>
          </w:p>
        </w:tc>
        <w:tc>
          <w:tcPr>
            <w:tcW w:w="2500" w:type="pct"/>
            <w:gridSpan w:val="2"/>
            <w:noWrap w:val="0"/>
            <w:vAlign w:val="center"/>
          </w:tcPr>
          <w:p w14:paraId="310411A3">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相对密度（水=1）：1.87</w:t>
            </w:r>
          </w:p>
        </w:tc>
      </w:tr>
      <w:tr w14:paraId="50DA0211">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517" w:type="pct"/>
            <w:vMerge w:val="continue"/>
            <w:noWrap w:val="0"/>
            <w:vAlign w:val="center"/>
          </w:tcPr>
          <w:p w14:paraId="3CAA36F8">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p>
        </w:tc>
        <w:tc>
          <w:tcPr>
            <w:tcW w:w="1982" w:type="pct"/>
            <w:noWrap w:val="0"/>
            <w:vAlign w:val="center"/>
          </w:tcPr>
          <w:p w14:paraId="542895DC">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饱和蒸气压（kPa）</w:t>
            </w:r>
            <w:r>
              <w:rPr>
                <w:rFonts w:hint="default" w:ascii="Times New Roman" w:hAnsi="Times New Roman" w:eastAsia="宋体" w:cs="Times New Roman"/>
                <w:color w:val="auto"/>
                <w:spacing w:val="0"/>
                <w:kern w:val="2"/>
                <w:sz w:val="21"/>
                <w:szCs w:val="21"/>
                <w:highlight w:val="none"/>
                <w:lang w:eastAsia="zh-CN"/>
              </w:rPr>
              <w:t>：</w:t>
            </w:r>
          </w:p>
        </w:tc>
        <w:tc>
          <w:tcPr>
            <w:tcW w:w="2500" w:type="pct"/>
            <w:gridSpan w:val="2"/>
            <w:noWrap w:val="0"/>
            <w:vAlign w:val="center"/>
          </w:tcPr>
          <w:p w14:paraId="24CB72FC">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相对密度（空气=1）：3.38</w:t>
            </w:r>
          </w:p>
        </w:tc>
      </w:tr>
      <w:tr w14:paraId="084E190E">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517" w:type="pct"/>
            <w:vMerge w:val="continue"/>
            <w:noWrap w:val="0"/>
            <w:vAlign w:val="center"/>
          </w:tcPr>
          <w:p w14:paraId="3EFEAAED">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p>
        </w:tc>
        <w:tc>
          <w:tcPr>
            <w:tcW w:w="4482" w:type="pct"/>
            <w:gridSpan w:val="3"/>
            <w:noWrap w:val="0"/>
            <w:vAlign w:val="center"/>
          </w:tcPr>
          <w:p w14:paraId="7A20C76C">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溶解性：与水混溶，可混溶于乙醇。</w:t>
            </w:r>
          </w:p>
        </w:tc>
      </w:tr>
      <w:tr w14:paraId="1B4558B0">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517" w:type="pct"/>
            <w:vMerge w:val="restart"/>
            <w:noWrap w:val="0"/>
            <w:vAlign w:val="center"/>
          </w:tcPr>
          <w:p w14:paraId="2974BC82">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燃烧爆炸危险性</w:t>
            </w:r>
          </w:p>
        </w:tc>
        <w:tc>
          <w:tcPr>
            <w:tcW w:w="1982" w:type="pct"/>
            <w:noWrap w:val="0"/>
            <w:vAlign w:val="center"/>
          </w:tcPr>
          <w:p w14:paraId="1E4A7926">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燃烧性：不燃</w:t>
            </w:r>
          </w:p>
        </w:tc>
        <w:tc>
          <w:tcPr>
            <w:tcW w:w="2500" w:type="pct"/>
            <w:gridSpan w:val="2"/>
            <w:noWrap w:val="0"/>
            <w:vAlign w:val="center"/>
          </w:tcPr>
          <w:p w14:paraId="4D1F6AD9">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燃烧分解产物：氧化磷</w:t>
            </w:r>
          </w:p>
        </w:tc>
      </w:tr>
      <w:tr w14:paraId="281B9CEA">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517" w:type="pct"/>
            <w:vMerge w:val="continue"/>
            <w:noWrap w:val="0"/>
            <w:vAlign w:val="center"/>
          </w:tcPr>
          <w:p w14:paraId="10616EE1">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p>
        </w:tc>
        <w:tc>
          <w:tcPr>
            <w:tcW w:w="1982" w:type="pct"/>
            <w:noWrap w:val="0"/>
            <w:vAlign w:val="center"/>
          </w:tcPr>
          <w:p w14:paraId="2D5D6F98">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建规火险分级：戊</w:t>
            </w:r>
          </w:p>
        </w:tc>
        <w:tc>
          <w:tcPr>
            <w:tcW w:w="2500" w:type="pct"/>
            <w:gridSpan w:val="2"/>
            <w:noWrap w:val="0"/>
            <w:vAlign w:val="center"/>
          </w:tcPr>
          <w:p w14:paraId="2C06A84B">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稳定性：稳定</w:t>
            </w:r>
          </w:p>
        </w:tc>
      </w:tr>
      <w:tr w14:paraId="5DFCA964">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517" w:type="pct"/>
            <w:vMerge w:val="continue"/>
            <w:noWrap w:val="0"/>
            <w:vAlign w:val="center"/>
          </w:tcPr>
          <w:p w14:paraId="23CBD531">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p>
        </w:tc>
        <w:tc>
          <w:tcPr>
            <w:tcW w:w="1982" w:type="pct"/>
            <w:noWrap w:val="0"/>
            <w:vAlign w:val="center"/>
          </w:tcPr>
          <w:p w14:paraId="4BE65A49">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闪点（℃）</w:t>
            </w:r>
            <w:r>
              <w:rPr>
                <w:rFonts w:hint="default" w:ascii="Times New Roman" w:hAnsi="Times New Roman" w:eastAsia="宋体" w:cs="Times New Roman"/>
                <w:color w:val="auto"/>
                <w:spacing w:val="0"/>
                <w:kern w:val="2"/>
                <w:sz w:val="21"/>
                <w:szCs w:val="21"/>
                <w:highlight w:val="none"/>
                <w:lang w:eastAsia="zh-CN"/>
              </w:rPr>
              <w:t>：</w:t>
            </w:r>
          </w:p>
        </w:tc>
        <w:tc>
          <w:tcPr>
            <w:tcW w:w="2500" w:type="pct"/>
            <w:gridSpan w:val="2"/>
            <w:noWrap w:val="0"/>
            <w:vAlign w:val="center"/>
          </w:tcPr>
          <w:p w14:paraId="6818EC7F">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聚合危害：不聚合。</w:t>
            </w:r>
          </w:p>
        </w:tc>
      </w:tr>
      <w:tr w14:paraId="02360AA5">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517" w:type="pct"/>
            <w:vMerge w:val="continue"/>
            <w:noWrap w:val="0"/>
            <w:vAlign w:val="center"/>
          </w:tcPr>
          <w:p w14:paraId="44EBEAE1">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p>
        </w:tc>
        <w:tc>
          <w:tcPr>
            <w:tcW w:w="1982" w:type="pct"/>
            <w:noWrap w:val="0"/>
            <w:vAlign w:val="center"/>
          </w:tcPr>
          <w:p w14:paraId="6D62FAF4">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爆炸极限（V/V%）</w:t>
            </w:r>
            <w:r>
              <w:rPr>
                <w:rFonts w:hint="default" w:ascii="Times New Roman" w:hAnsi="Times New Roman" w:eastAsia="宋体" w:cs="Times New Roman"/>
                <w:color w:val="auto"/>
                <w:spacing w:val="0"/>
                <w:kern w:val="2"/>
                <w:sz w:val="21"/>
                <w:szCs w:val="21"/>
                <w:highlight w:val="none"/>
                <w:lang w:eastAsia="zh-CN"/>
              </w:rPr>
              <w:t>：</w:t>
            </w:r>
          </w:p>
        </w:tc>
        <w:tc>
          <w:tcPr>
            <w:tcW w:w="2500" w:type="pct"/>
            <w:gridSpan w:val="2"/>
            <w:noWrap w:val="0"/>
            <w:vAlign w:val="center"/>
          </w:tcPr>
          <w:p w14:paraId="05974F44">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避免接触的条件</w:t>
            </w:r>
            <w:r>
              <w:rPr>
                <w:rFonts w:hint="default" w:ascii="Times New Roman" w:hAnsi="Times New Roman" w:eastAsia="宋体" w:cs="Times New Roman"/>
                <w:color w:val="auto"/>
                <w:spacing w:val="0"/>
                <w:kern w:val="2"/>
                <w:sz w:val="21"/>
                <w:szCs w:val="21"/>
                <w:highlight w:val="none"/>
                <w:lang w:eastAsia="zh-CN"/>
              </w:rPr>
              <w:t>：</w:t>
            </w:r>
          </w:p>
        </w:tc>
      </w:tr>
      <w:tr w14:paraId="7762E528">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517" w:type="pct"/>
            <w:vMerge w:val="continue"/>
            <w:noWrap w:val="0"/>
            <w:vAlign w:val="center"/>
          </w:tcPr>
          <w:p w14:paraId="33BB8BC5">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p>
        </w:tc>
        <w:tc>
          <w:tcPr>
            <w:tcW w:w="1982" w:type="pct"/>
            <w:noWrap w:val="0"/>
            <w:vAlign w:val="center"/>
          </w:tcPr>
          <w:p w14:paraId="439A7678">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引燃温度（°C）</w:t>
            </w:r>
            <w:r>
              <w:rPr>
                <w:rFonts w:hint="default" w:ascii="Times New Roman" w:hAnsi="Times New Roman" w:eastAsia="宋体" w:cs="Times New Roman"/>
                <w:color w:val="auto"/>
                <w:spacing w:val="0"/>
                <w:kern w:val="2"/>
                <w:sz w:val="21"/>
                <w:szCs w:val="21"/>
                <w:highlight w:val="none"/>
                <w:lang w:eastAsia="zh-CN"/>
              </w:rPr>
              <w:t>：</w:t>
            </w:r>
          </w:p>
        </w:tc>
        <w:tc>
          <w:tcPr>
            <w:tcW w:w="2500" w:type="pct"/>
            <w:gridSpan w:val="2"/>
            <w:noWrap w:val="0"/>
            <w:vAlign w:val="center"/>
          </w:tcPr>
          <w:p w14:paraId="617DB7C1">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禁忌物：强碱、活性金属粉末、易燃或可燃物。</w:t>
            </w:r>
          </w:p>
        </w:tc>
      </w:tr>
      <w:tr w14:paraId="442AB6AD">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517" w:type="pct"/>
            <w:vMerge w:val="continue"/>
            <w:noWrap w:val="0"/>
            <w:vAlign w:val="center"/>
          </w:tcPr>
          <w:p w14:paraId="4CAD03BA">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p>
        </w:tc>
        <w:tc>
          <w:tcPr>
            <w:tcW w:w="4482" w:type="pct"/>
            <w:gridSpan w:val="3"/>
            <w:noWrap w:val="0"/>
            <w:vAlign w:val="center"/>
          </w:tcPr>
          <w:p w14:paraId="1D0A92B5">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危险特性：遇金属反应放出氢气，能与空气形成爆炸性混合物。受热分解产生剧毒的氧化膦烟气。具有腐蚀性。</w:t>
            </w:r>
          </w:p>
        </w:tc>
      </w:tr>
      <w:tr w14:paraId="738BEC7A">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517" w:type="pct"/>
            <w:vMerge w:val="continue"/>
            <w:noWrap w:val="0"/>
            <w:vAlign w:val="center"/>
          </w:tcPr>
          <w:p w14:paraId="500CFDBF">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p>
        </w:tc>
        <w:tc>
          <w:tcPr>
            <w:tcW w:w="4482" w:type="pct"/>
            <w:gridSpan w:val="3"/>
            <w:noWrap w:val="0"/>
            <w:vAlign w:val="center"/>
          </w:tcPr>
          <w:p w14:paraId="02703B1A">
            <w:pPr>
              <w:keepNext w:val="0"/>
              <w:keepLines w:val="0"/>
              <w:pageBreakBefore w:val="0"/>
              <w:widowControl w:val="0"/>
              <w:tabs>
                <w:tab w:val="left" w:pos="938"/>
              </w:tabs>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灭火方法：泡沫、二氧化碳、砂土、干粉。</w:t>
            </w:r>
          </w:p>
        </w:tc>
      </w:tr>
      <w:tr w14:paraId="7544AB24">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517" w:type="pct"/>
            <w:noWrap w:val="0"/>
            <w:vAlign w:val="center"/>
          </w:tcPr>
          <w:p w14:paraId="1906706A">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毒性</w:t>
            </w:r>
          </w:p>
        </w:tc>
        <w:tc>
          <w:tcPr>
            <w:tcW w:w="4482" w:type="pct"/>
            <w:gridSpan w:val="3"/>
            <w:noWrap w:val="0"/>
            <w:vAlign w:val="center"/>
          </w:tcPr>
          <w:p w14:paraId="672629EE">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LD50</w:t>
            </w:r>
            <w:r>
              <w:rPr>
                <w:rFonts w:hint="default" w:ascii="Times New Roman" w:hAnsi="Times New Roman" w:eastAsia="宋体" w:cs="Times New Roman"/>
                <w:color w:val="auto"/>
                <w:spacing w:val="0"/>
                <w:kern w:val="2"/>
                <w:sz w:val="21"/>
                <w:szCs w:val="21"/>
                <w:highlight w:val="none"/>
                <w:lang w:eastAsia="zh-CN"/>
              </w:rPr>
              <w:t>:</w:t>
            </w:r>
            <w:r>
              <w:rPr>
                <w:rFonts w:hint="default" w:ascii="Times New Roman" w:hAnsi="Times New Roman" w:eastAsia="宋体" w:cs="Times New Roman"/>
                <w:color w:val="auto"/>
                <w:spacing w:val="0"/>
                <w:kern w:val="2"/>
                <w:sz w:val="21"/>
                <w:szCs w:val="21"/>
                <w:highlight w:val="none"/>
              </w:rPr>
              <w:t>1530mg/kg（大鼠口径）；2740mg/kg（兔经皮）</w:t>
            </w:r>
          </w:p>
        </w:tc>
      </w:tr>
      <w:tr w14:paraId="6631BA0A">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517" w:type="pct"/>
            <w:vMerge w:val="restart"/>
            <w:noWrap w:val="0"/>
            <w:vAlign w:val="center"/>
          </w:tcPr>
          <w:p w14:paraId="4174FF36">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对人体危害</w:t>
            </w:r>
          </w:p>
          <w:p w14:paraId="275F9A31">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急救</w:t>
            </w:r>
          </w:p>
        </w:tc>
        <w:tc>
          <w:tcPr>
            <w:tcW w:w="4482" w:type="pct"/>
            <w:gridSpan w:val="3"/>
            <w:noWrap w:val="0"/>
            <w:vAlign w:val="center"/>
          </w:tcPr>
          <w:p w14:paraId="10064833">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蒸气或雾对眼、鼻、喉有刺激性。口服液体可引起恶心、呕吐、腹痛、血便或</w:t>
            </w:r>
            <w:r>
              <w:rPr>
                <w:rFonts w:hint="default" w:ascii="Times New Roman" w:hAnsi="Times New Roman" w:cs="Times New Roman"/>
                <w:color w:val="auto"/>
                <w:spacing w:val="0"/>
                <w:kern w:val="2"/>
                <w:sz w:val="21"/>
                <w:szCs w:val="21"/>
                <w:highlight w:val="none"/>
                <w:lang w:eastAsia="zh-CN"/>
              </w:rPr>
              <w:t>休克</w:t>
            </w:r>
            <w:r>
              <w:rPr>
                <w:rFonts w:hint="default" w:ascii="Times New Roman" w:hAnsi="Times New Roman" w:eastAsia="宋体" w:cs="Times New Roman"/>
                <w:color w:val="auto"/>
                <w:spacing w:val="0"/>
                <w:kern w:val="2"/>
                <w:sz w:val="21"/>
                <w:szCs w:val="21"/>
                <w:highlight w:val="none"/>
              </w:rPr>
              <w:t>。皮肤或眼接触可致灼伤。慢性影响：</w:t>
            </w:r>
            <w:r>
              <w:rPr>
                <w:rFonts w:hint="default" w:ascii="Times New Roman" w:hAnsi="Times New Roman" w:cs="Times New Roman"/>
                <w:color w:val="auto"/>
                <w:spacing w:val="0"/>
                <w:kern w:val="2"/>
                <w:sz w:val="21"/>
                <w:szCs w:val="21"/>
                <w:highlight w:val="none"/>
                <w:lang w:eastAsia="zh-CN"/>
              </w:rPr>
              <w:t>鼻黏膜</w:t>
            </w:r>
            <w:r>
              <w:rPr>
                <w:rFonts w:hint="default" w:ascii="Times New Roman" w:hAnsi="Times New Roman" w:eastAsia="宋体" w:cs="Times New Roman"/>
                <w:color w:val="auto"/>
                <w:spacing w:val="0"/>
                <w:kern w:val="2"/>
                <w:sz w:val="21"/>
                <w:szCs w:val="21"/>
                <w:highlight w:val="none"/>
              </w:rPr>
              <w:t>萎缩、鼻中隔穿孔。长期反复皮肤接触，可引起皮肤刺激。</w:t>
            </w:r>
          </w:p>
        </w:tc>
      </w:tr>
      <w:tr w14:paraId="23AEC967">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517" w:type="pct"/>
            <w:vMerge w:val="continue"/>
            <w:noWrap w:val="0"/>
            <w:vAlign w:val="center"/>
          </w:tcPr>
          <w:p w14:paraId="2DCAF453">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p>
        </w:tc>
        <w:tc>
          <w:tcPr>
            <w:tcW w:w="4482" w:type="pct"/>
            <w:gridSpan w:val="3"/>
            <w:noWrap w:val="0"/>
            <w:vAlign w:val="center"/>
          </w:tcPr>
          <w:p w14:paraId="4198220A">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皮肤接触：立即脱去污染的衣着，用大量流动清水冲洗至少15分钟。就医。眼睛接触：立即提起眼睑，用大量流动清水或生理盐水彻底冲刷至少15分钟，及时就医。吸入：迅速脱离现场至空气新鲜处，保持呼吸道</w:t>
            </w:r>
            <w:r>
              <w:rPr>
                <w:rFonts w:hint="default" w:ascii="Times New Roman" w:hAnsi="Times New Roman" w:cs="Times New Roman"/>
                <w:color w:val="auto"/>
                <w:spacing w:val="0"/>
                <w:kern w:val="2"/>
                <w:sz w:val="21"/>
                <w:szCs w:val="21"/>
                <w:highlight w:val="none"/>
                <w:lang w:eastAsia="zh-CN"/>
              </w:rPr>
              <w:t>畅通</w:t>
            </w:r>
            <w:r>
              <w:rPr>
                <w:rFonts w:hint="default" w:ascii="Times New Roman" w:hAnsi="Times New Roman" w:eastAsia="宋体" w:cs="Times New Roman"/>
                <w:color w:val="auto"/>
                <w:spacing w:val="0"/>
                <w:kern w:val="2"/>
                <w:sz w:val="21"/>
                <w:szCs w:val="21"/>
                <w:highlight w:val="none"/>
              </w:rPr>
              <w:t>，如呼吸困难给输氧；如停止呼吸，立刻进行人工呼吸及时就医。食入：用水漱口，给饮牛奶或蛋清。就医</w:t>
            </w:r>
            <w:r>
              <w:rPr>
                <w:rFonts w:hint="default" w:ascii="Times New Roman" w:hAnsi="Times New Roman" w:eastAsia="宋体" w:cs="Times New Roman"/>
                <w:color w:val="auto"/>
                <w:spacing w:val="0"/>
                <w:kern w:val="2"/>
                <w:sz w:val="21"/>
                <w:szCs w:val="21"/>
                <w:highlight w:val="none"/>
                <w:lang w:eastAsia="zh-CN"/>
              </w:rPr>
              <w:t>。</w:t>
            </w:r>
          </w:p>
        </w:tc>
      </w:tr>
      <w:tr w14:paraId="04300FCF">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517" w:type="pct"/>
            <w:noWrap w:val="0"/>
            <w:vAlign w:val="center"/>
          </w:tcPr>
          <w:p w14:paraId="58CA3581">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泄漏处理</w:t>
            </w:r>
          </w:p>
        </w:tc>
        <w:tc>
          <w:tcPr>
            <w:tcW w:w="4482" w:type="pct"/>
            <w:gridSpan w:val="3"/>
            <w:noWrap w:val="0"/>
            <w:vAlign w:val="center"/>
          </w:tcPr>
          <w:p w14:paraId="57D271AB">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疏散泄漏污染区人员至安全区，禁止无关人员进入污染区，建议应急处理人员戴好防毒面具，穿化学防护服。不要直接接触泄漏物，用沙土、干燥石灰或苏打灰混合，然后收集转移到安全场所</w:t>
            </w:r>
            <w:r>
              <w:rPr>
                <w:rFonts w:hint="default" w:ascii="Times New Roman" w:hAnsi="Times New Roman" w:eastAsia="宋体" w:cs="Times New Roman"/>
                <w:color w:val="auto"/>
                <w:spacing w:val="0"/>
                <w:kern w:val="2"/>
                <w:sz w:val="21"/>
                <w:szCs w:val="21"/>
                <w:highlight w:val="none"/>
                <w:lang w:eastAsia="zh-CN"/>
              </w:rPr>
              <w:t>或</w:t>
            </w:r>
            <w:r>
              <w:rPr>
                <w:rFonts w:hint="default" w:ascii="Times New Roman" w:hAnsi="Times New Roman" w:eastAsia="宋体" w:cs="Times New Roman"/>
                <w:color w:val="auto"/>
                <w:spacing w:val="0"/>
                <w:kern w:val="2"/>
                <w:sz w:val="21"/>
                <w:szCs w:val="21"/>
                <w:highlight w:val="none"/>
              </w:rPr>
              <w:t>少量加入大量水中，调节至中性，再放入废水系统。如大量泄漏，收集回收或无害处理后废弃。</w:t>
            </w:r>
          </w:p>
        </w:tc>
      </w:tr>
      <w:tr w14:paraId="7EB64AE7">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517" w:type="pct"/>
            <w:noWrap w:val="0"/>
            <w:vAlign w:val="center"/>
          </w:tcPr>
          <w:p w14:paraId="19B1943E">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贮存</w:t>
            </w:r>
          </w:p>
        </w:tc>
        <w:tc>
          <w:tcPr>
            <w:tcW w:w="4482" w:type="pct"/>
            <w:gridSpan w:val="3"/>
            <w:noWrap w:val="0"/>
            <w:vAlign w:val="center"/>
          </w:tcPr>
          <w:p w14:paraId="65916477">
            <w:pPr>
              <w:pStyle w:val="92"/>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储运条件：储存于阴凉、干燥、通风良好的仓间内。远离火种、热源，防止阳光直射。保持容器密封。应与碱类、H发泡剂等分开存放。搬运时要轻装轻卸，防止包装及容器损坏。分装和搬运作业要注意个人防护。</w:t>
            </w:r>
          </w:p>
        </w:tc>
      </w:tr>
    </w:tbl>
    <w:p w14:paraId="28A4D17C">
      <w:pPr>
        <w:pStyle w:val="118"/>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Cs/>
          <w:color w:val="auto"/>
          <w:sz w:val="24"/>
          <w:szCs w:val="24"/>
          <w:highlight w:val="none"/>
          <w:lang w:val="en-GB"/>
        </w:rPr>
      </w:pPr>
      <w:r>
        <w:rPr>
          <w:rFonts w:hint="default" w:ascii="Times New Roman" w:hAnsi="Times New Roman" w:eastAsia="宋体" w:cs="Times New Roman"/>
          <w:bCs/>
          <w:color w:val="auto"/>
          <w:sz w:val="24"/>
          <w:szCs w:val="24"/>
          <w:highlight w:val="none"/>
          <w:lang w:val="en-GB"/>
        </w:rPr>
        <w:t>表</w:t>
      </w:r>
      <w:r>
        <w:rPr>
          <w:rFonts w:hint="default" w:ascii="Times New Roman" w:hAnsi="Times New Roman" w:eastAsia="宋体" w:cs="Times New Roman"/>
          <w:bCs/>
          <w:color w:val="auto"/>
          <w:sz w:val="24"/>
          <w:szCs w:val="24"/>
          <w:highlight w:val="none"/>
          <w:lang w:val="en-US" w:eastAsia="zh-CN"/>
        </w:rPr>
        <w:t xml:space="preserve">2-4 </w:t>
      </w:r>
      <w:r>
        <w:rPr>
          <w:rFonts w:hint="default" w:ascii="Times New Roman" w:hAnsi="Times New Roman" w:eastAsia="宋体" w:cs="Times New Roman"/>
          <w:bCs/>
          <w:color w:val="auto"/>
          <w:sz w:val="24"/>
          <w:szCs w:val="24"/>
          <w:highlight w:val="none"/>
        </w:rPr>
        <w:t>氢氧化钠</w:t>
      </w:r>
      <w:r>
        <w:rPr>
          <w:rFonts w:hint="default" w:ascii="Times New Roman" w:hAnsi="Times New Roman" w:eastAsia="宋体" w:cs="Times New Roman"/>
          <w:bCs/>
          <w:color w:val="auto"/>
          <w:sz w:val="24"/>
          <w:szCs w:val="24"/>
          <w:highlight w:val="none"/>
          <w:lang w:val="en-GB"/>
        </w:rPr>
        <w:t>MSDS特性表</w:t>
      </w:r>
    </w:p>
    <w:tbl>
      <w:tblPr>
        <w:tblStyle w:val="29"/>
        <w:tblW w:w="499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833"/>
        <w:gridCol w:w="1195"/>
        <w:gridCol w:w="2577"/>
        <w:gridCol w:w="1105"/>
        <w:gridCol w:w="2699"/>
      </w:tblGrid>
      <w:tr w14:paraId="33067D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3" w:hRule="atLeast"/>
        </w:trPr>
        <w:tc>
          <w:tcPr>
            <w:tcW w:w="886" w:type="dxa"/>
            <w:vMerge w:val="restart"/>
            <w:noWrap w:val="0"/>
            <w:vAlign w:val="center"/>
          </w:tcPr>
          <w:p w14:paraId="1176C402">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理化</w:t>
            </w:r>
          </w:p>
          <w:p w14:paraId="0CADBF21">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性质</w:t>
            </w:r>
          </w:p>
        </w:tc>
        <w:tc>
          <w:tcPr>
            <w:tcW w:w="1270" w:type="dxa"/>
            <w:noWrap w:val="0"/>
            <w:vAlign w:val="center"/>
          </w:tcPr>
          <w:p w14:paraId="30B33813">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中文名称</w:t>
            </w:r>
          </w:p>
        </w:tc>
        <w:tc>
          <w:tcPr>
            <w:tcW w:w="6784" w:type="dxa"/>
            <w:gridSpan w:val="3"/>
            <w:noWrap w:val="0"/>
            <w:vAlign w:val="center"/>
          </w:tcPr>
          <w:p w14:paraId="0C0123DE">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氢氧化钠；烧碱</w:t>
            </w:r>
          </w:p>
        </w:tc>
      </w:tr>
      <w:tr w14:paraId="1F5B18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3" w:hRule="atLeast"/>
        </w:trPr>
        <w:tc>
          <w:tcPr>
            <w:tcW w:w="886" w:type="dxa"/>
            <w:vMerge w:val="continue"/>
            <w:noWrap w:val="0"/>
            <w:vAlign w:val="center"/>
          </w:tcPr>
          <w:p w14:paraId="3F77D12E">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270" w:type="dxa"/>
            <w:noWrap w:val="0"/>
            <w:vAlign w:val="center"/>
          </w:tcPr>
          <w:p w14:paraId="5059ACC6">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英文名称</w:t>
            </w:r>
          </w:p>
        </w:tc>
        <w:tc>
          <w:tcPr>
            <w:tcW w:w="6784" w:type="dxa"/>
            <w:gridSpan w:val="3"/>
            <w:noWrap w:val="0"/>
            <w:vAlign w:val="center"/>
          </w:tcPr>
          <w:p w14:paraId="7D401EBD">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Sodium hydroxide</w:t>
            </w:r>
          </w:p>
        </w:tc>
      </w:tr>
      <w:tr w14:paraId="5FC6C4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3" w:hRule="atLeast"/>
        </w:trPr>
        <w:tc>
          <w:tcPr>
            <w:tcW w:w="886" w:type="dxa"/>
            <w:vMerge w:val="continue"/>
            <w:noWrap w:val="0"/>
            <w:vAlign w:val="center"/>
          </w:tcPr>
          <w:p w14:paraId="63D9EEE1">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270" w:type="dxa"/>
            <w:noWrap w:val="0"/>
            <w:vAlign w:val="center"/>
          </w:tcPr>
          <w:p w14:paraId="5E28E409">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CAS号</w:t>
            </w:r>
          </w:p>
        </w:tc>
        <w:tc>
          <w:tcPr>
            <w:tcW w:w="6784" w:type="dxa"/>
            <w:gridSpan w:val="3"/>
            <w:noWrap w:val="0"/>
            <w:vAlign w:val="center"/>
          </w:tcPr>
          <w:p w14:paraId="0960C34D">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1310-73-2</w:t>
            </w:r>
          </w:p>
        </w:tc>
      </w:tr>
      <w:tr w14:paraId="0C41F9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3" w:hRule="atLeast"/>
        </w:trPr>
        <w:tc>
          <w:tcPr>
            <w:tcW w:w="886" w:type="dxa"/>
            <w:vMerge w:val="continue"/>
            <w:noWrap w:val="0"/>
            <w:vAlign w:val="center"/>
          </w:tcPr>
          <w:p w14:paraId="2D2BFF05">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270" w:type="dxa"/>
            <w:noWrap w:val="0"/>
            <w:vAlign w:val="center"/>
          </w:tcPr>
          <w:p w14:paraId="133B3511">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分子式</w:t>
            </w:r>
          </w:p>
        </w:tc>
        <w:tc>
          <w:tcPr>
            <w:tcW w:w="6784" w:type="dxa"/>
            <w:gridSpan w:val="3"/>
            <w:noWrap w:val="0"/>
            <w:vAlign w:val="center"/>
          </w:tcPr>
          <w:p w14:paraId="34D0BF3D">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NaOH</w:t>
            </w:r>
          </w:p>
        </w:tc>
      </w:tr>
      <w:tr w14:paraId="4FFA62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3" w:hRule="atLeast"/>
        </w:trPr>
        <w:tc>
          <w:tcPr>
            <w:tcW w:w="886" w:type="dxa"/>
            <w:vMerge w:val="continue"/>
            <w:noWrap w:val="0"/>
            <w:vAlign w:val="center"/>
          </w:tcPr>
          <w:p w14:paraId="49777CE9">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270" w:type="dxa"/>
            <w:noWrap w:val="0"/>
            <w:vAlign w:val="center"/>
          </w:tcPr>
          <w:p w14:paraId="09CA73DD">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分子量</w:t>
            </w:r>
          </w:p>
        </w:tc>
        <w:tc>
          <w:tcPr>
            <w:tcW w:w="6784" w:type="dxa"/>
            <w:gridSpan w:val="3"/>
            <w:noWrap w:val="0"/>
            <w:vAlign w:val="center"/>
          </w:tcPr>
          <w:p w14:paraId="3BE625E0">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40.01</w:t>
            </w:r>
          </w:p>
        </w:tc>
      </w:tr>
      <w:tr w14:paraId="505600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3" w:hRule="atLeast"/>
        </w:trPr>
        <w:tc>
          <w:tcPr>
            <w:tcW w:w="886" w:type="dxa"/>
            <w:vMerge w:val="continue"/>
            <w:noWrap w:val="0"/>
            <w:vAlign w:val="center"/>
          </w:tcPr>
          <w:p w14:paraId="2127D2AA">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270" w:type="dxa"/>
            <w:noWrap w:val="0"/>
            <w:vAlign w:val="center"/>
          </w:tcPr>
          <w:p w14:paraId="39944346">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外观与性状</w:t>
            </w:r>
          </w:p>
        </w:tc>
        <w:tc>
          <w:tcPr>
            <w:tcW w:w="6784" w:type="dxa"/>
            <w:gridSpan w:val="3"/>
            <w:noWrap w:val="0"/>
            <w:vAlign w:val="center"/>
          </w:tcPr>
          <w:p w14:paraId="06CE82DF">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白色不透明固体，易潮解。</w:t>
            </w:r>
          </w:p>
        </w:tc>
      </w:tr>
      <w:tr w14:paraId="1FEF11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3" w:hRule="atLeast"/>
        </w:trPr>
        <w:tc>
          <w:tcPr>
            <w:tcW w:w="886" w:type="dxa"/>
            <w:vMerge w:val="continue"/>
            <w:noWrap w:val="0"/>
            <w:vAlign w:val="center"/>
          </w:tcPr>
          <w:p w14:paraId="07A8D3BA">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270" w:type="dxa"/>
            <w:noWrap w:val="0"/>
            <w:vAlign w:val="center"/>
          </w:tcPr>
          <w:p w14:paraId="1C195A25">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沸点</w:t>
            </w:r>
          </w:p>
        </w:tc>
        <w:tc>
          <w:tcPr>
            <w:tcW w:w="6784" w:type="dxa"/>
            <w:gridSpan w:val="3"/>
            <w:noWrap w:val="0"/>
            <w:vAlign w:val="center"/>
          </w:tcPr>
          <w:p w14:paraId="44D6F8A9">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1390℃</w:t>
            </w:r>
          </w:p>
        </w:tc>
      </w:tr>
      <w:tr w14:paraId="7F8BEC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3" w:hRule="atLeast"/>
        </w:trPr>
        <w:tc>
          <w:tcPr>
            <w:tcW w:w="886" w:type="dxa"/>
            <w:vMerge w:val="continue"/>
            <w:noWrap w:val="0"/>
            <w:vAlign w:val="center"/>
          </w:tcPr>
          <w:p w14:paraId="677E82B7">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270" w:type="dxa"/>
            <w:noWrap w:val="0"/>
            <w:vAlign w:val="center"/>
          </w:tcPr>
          <w:p w14:paraId="3186130A">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闪点</w:t>
            </w:r>
          </w:p>
        </w:tc>
        <w:tc>
          <w:tcPr>
            <w:tcW w:w="6784" w:type="dxa"/>
            <w:gridSpan w:val="3"/>
            <w:noWrap w:val="0"/>
            <w:vAlign w:val="center"/>
          </w:tcPr>
          <w:p w14:paraId="0BA573F3">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2B8B0F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3" w:hRule="atLeast"/>
        </w:trPr>
        <w:tc>
          <w:tcPr>
            <w:tcW w:w="886" w:type="dxa"/>
            <w:vMerge w:val="continue"/>
            <w:noWrap w:val="0"/>
            <w:vAlign w:val="center"/>
          </w:tcPr>
          <w:p w14:paraId="50BD8768">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270" w:type="dxa"/>
            <w:noWrap w:val="0"/>
            <w:vAlign w:val="center"/>
          </w:tcPr>
          <w:p w14:paraId="36085984">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溶解性</w:t>
            </w:r>
          </w:p>
        </w:tc>
        <w:tc>
          <w:tcPr>
            <w:tcW w:w="6784" w:type="dxa"/>
            <w:gridSpan w:val="3"/>
            <w:noWrap w:val="0"/>
            <w:vAlign w:val="center"/>
          </w:tcPr>
          <w:p w14:paraId="67F53F4F">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易溶于水、乙醇、甘油，不溶于丙酮。</w:t>
            </w:r>
          </w:p>
        </w:tc>
      </w:tr>
      <w:tr w14:paraId="5E7623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3" w:hRule="atLeast"/>
        </w:trPr>
        <w:tc>
          <w:tcPr>
            <w:tcW w:w="886" w:type="dxa"/>
            <w:vMerge w:val="continue"/>
            <w:noWrap w:val="0"/>
            <w:vAlign w:val="center"/>
          </w:tcPr>
          <w:p w14:paraId="2F999D54">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270" w:type="dxa"/>
            <w:noWrap w:val="0"/>
            <w:vAlign w:val="center"/>
          </w:tcPr>
          <w:p w14:paraId="15AE9227">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密度</w:t>
            </w:r>
          </w:p>
        </w:tc>
        <w:tc>
          <w:tcPr>
            <w:tcW w:w="2740" w:type="dxa"/>
            <w:noWrap w:val="0"/>
            <w:vAlign w:val="center"/>
          </w:tcPr>
          <w:p w14:paraId="2FB38426">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相对密度（水=1）2012</w:t>
            </w:r>
          </w:p>
        </w:tc>
        <w:tc>
          <w:tcPr>
            <w:tcW w:w="1175" w:type="dxa"/>
            <w:noWrap w:val="0"/>
            <w:vAlign w:val="center"/>
          </w:tcPr>
          <w:p w14:paraId="4707ABCF">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稳定性</w:t>
            </w:r>
          </w:p>
        </w:tc>
        <w:tc>
          <w:tcPr>
            <w:tcW w:w="2869" w:type="dxa"/>
            <w:noWrap w:val="0"/>
            <w:vAlign w:val="center"/>
          </w:tcPr>
          <w:p w14:paraId="581FACFE">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稳定</w:t>
            </w:r>
          </w:p>
        </w:tc>
      </w:tr>
      <w:tr w14:paraId="6B03B2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3" w:hRule="atLeast"/>
        </w:trPr>
        <w:tc>
          <w:tcPr>
            <w:tcW w:w="886" w:type="dxa"/>
            <w:vMerge w:val="continue"/>
            <w:noWrap w:val="0"/>
            <w:vAlign w:val="center"/>
          </w:tcPr>
          <w:p w14:paraId="184EB74B">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270" w:type="dxa"/>
            <w:noWrap w:val="0"/>
            <w:vAlign w:val="center"/>
          </w:tcPr>
          <w:p w14:paraId="44270918">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爆炸极限</w:t>
            </w:r>
          </w:p>
        </w:tc>
        <w:tc>
          <w:tcPr>
            <w:tcW w:w="2740" w:type="dxa"/>
            <w:noWrap w:val="0"/>
            <w:vAlign w:val="center"/>
          </w:tcPr>
          <w:p w14:paraId="2B3FD439">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75" w:type="dxa"/>
            <w:noWrap w:val="0"/>
            <w:vAlign w:val="center"/>
          </w:tcPr>
          <w:p w14:paraId="28BBD90F">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自燃温度</w:t>
            </w:r>
          </w:p>
        </w:tc>
        <w:tc>
          <w:tcPr>
            <w:tcW w:w="2869" w:type="dxa"/>
            <w:noWrap w:val="0"/>
            <w:vAlign w:val="center"/>
          </w:tcPr>
          <w:p w14:paraId="0921C044">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01F493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3" w:hRule="atLeast"/>
        </w:trPr>
        <w:tc>
          <w:tcPr>
            <w:tcW w:w="886" w:type="dxa"/>
            <w:noWrap w:val="0"/>
            <w:vAlign w:val="center"/>
          </w:tcPr>
          <w:p w14:paraId="464011B0">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w:t>
            </w:r>
          </w:p>
          <w:p w14:paraId="234CBD94">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特性</w:t>
            </w:r>
          </w:p>
        </w:tc>
        <w:tc>
          <w:tcPr>
            <w:tcW w:w="8054" w:type="dxa"/>
            <w:gridSpan w:val="4"/>
            <w:noWrap w:val="0"/>
            <w:vAlign w:val="center"/>
          </w:tcPr>
          <w:p w14:paraId="1A907D74">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本品不会燃烧，遇水和水蒸气大量放热，形成腐蚀性液体。与酸发生中和反应并放热。具有强腐蚀性。</w:t>
            </w:r>
          </w:p>
        </w:tc>
      </w:tr>
      <w:tr w14:paraId="0B058A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3" w:hRule="atLeast"/>
        </w:trPr>
        <w:tc>
          <w:tcPr>
            <w:tcW w:w="886" w:type="dxa"/>
            <w:noWrap w:val="0"/>
            <w:vAlign w:val="center"/>
          </w:tcPr>
          <w:p w14:paraId="68462315">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健康</w:t>
            </w:r>
          </w:p>
          <w:p w14:paraId="5C805B20">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危害</w:t>
            </w:r>
          </w:p>
        </w:tc>
        <w:tc>
          <w:tcPr>
            <w:tcW w:w="8054" w:type="dxa"/>
            <w:gridSpan w:val="4"/>
            <w:noWrap w:val="0"/>
            <w:vAlign w:val="center"/>
          </w:tcPr>
          <w:p w14:paraId="5F93C090">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本品有强烈刺激和腐蚀性。粉尘或烟雾刺激眼和呼吸道，腐蚀鼻中隔；皮肤和眼直接接触可引起灼伤；误服可造成消化道灼伤，粘膜糜烂、出血和休克。</w:t>
            </w:r>
          </w:p>
        </w:tc>
      </w:tr>
      <w:tr w14:paraId="2CE46B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3" w:hRule="atLeast"/>
        </w:trPr>
        <w:tc>
          <w:tcPr>
            <w:tcW w:w="886" w:type="dxa"/>
            <w:noWrap w:val="0"/>
            <w:vAlign w:val="center"/>
          </w:tcPr>
          <w:p w14:paraId="6B35B943">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泄漏应急处理</w:t>
            </w:r>
          </w:p>
        </w:tc>
        <w:tc>
          <w:tcPr>
            <w:tcW w:w="8054" w:type="dxa"/>
            <w:gridSpan w:val="4"/>
            <w:noWrap w:val="0"/>
            <w:vAlign w:val="center"/>
          </w:tcPr>
          <w:p w14:paraId="3DC06AA8">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隔离泄漏污染区，周围设置警告标志，建议应急处理人员戴好防毒面具，穿化学防护服。不要直接接触泄漏物，用洁净的铲子收集于干燥洁净有盖的容器中，以少量加入大量水中，调节至中性，再放入废水系统。也可以用大量水冲洗，经稀释的洗水放入废水系统。如大量泄漏，收集回收或无害化处理后废弃。</w:t>
            </w:r>
          </w:p>
        </w:tc>
      </w:tr>
      <w:tr w14:paraId="41E5BB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3" w:hRule="atLeast"/>
        </w:trPr>
        <w:tc>
          <w:tcPr>
            <w:tcW w:w="886" w:type="dxa"/>
            <w:noWrap w:val="0"/>
            <w:vAlign w:val="center"/>
          </w:tcPr>
          <w:p w14:paraId="0E1318FE">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防护</w:t>
            </w:r>
          </w:p>
          <w:p w14:paraId="100129D4">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措施</w:t>
            </w:r>
          </w:p>
        </w:tc>
        <w:tc>
          <w:tcPr>
            <w:tcW w:w="8054" w:type="dxa"/>
            <w:gridSpan w:val="4"/>
            <w:noWrap w:val="0"/>
            <w:vAlign w:val="center"/>
          </w:tcPr>
          <w:p w14:paraId="54D13F1F">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工程控制：密闭操作；呼吸系统防护：必要时佩戴防护眼镜；眼睛防护：戴化学安全防护镜；身体防护：穿工作服（防腐材料制作）；手防护：</w:t>
            </w:r>
            <w:r>
              <w:rPr>
                <w:rFonts w:hint="default" w:ascii="Times New Roman" w:hAnsi="Times New Roman" w:eastAsia="宋体" w:cs="Times New Roman"/>
                <w:color w:val="auto"/>
                <w:sz w:val="21"/>
                <w:szCs w:val="21"/>
                <w:highlight w:val="none"/>
                <w:lang w:eastAsia="zh-CN"/>
              </w:rPr>
              <w:t>戴</w:t>
            </w:r>
            <w:r>
              <w:rPr>
                <w:rFonts w:hint="default" w:ascii="Times New Roman" w:hAnsi="Times New Roman" w:eastAsia="宋体" w:cs="Times New Roman"/>
                <w:color w:val="auto"/>
                <w:sz w:val="21"/>
                <w:szCs w:val="21"/>
                <w:highlight w:val="none"/>
              </w:rPr>
              <w:t>橡皮手套；</w:t>
            </w:r>
          </w:p>
        </w:tc>
      </w:tr>
      <w:tr w14:paraId="2F33E0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3" w:hRule="atLeast"/>
        </w:trPr>
        <w:tc>
          <w:tcPr>
            <w:tcW w:w="886" w:type="dxa"/>
            <w:noWrap w:val="0"/>
            <w:vAlign w:val="center"/>
          </w:tcPr>
          <w:p w14:paraId="66335695">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急救</w:t>
            </w:r>
          </w:p>
          <w:p w14:paraId="0D622532">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措施</w:t>
            </w:r>
          </w:p>
        </w:tc>
        <w:tc>
          <w:tcPr>
            <w:tcW w:w="8054" w:type="dxa"/>
            <w:gridSpan w:val="4"/>
            <w:noWrap w:val="0"/>
            <w:vAlign w:val="center"/>
          </w:tcPr>
          <w:p w14:paraId="061BCF6E">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皮肤接触：立即用水冲洗至少15分钟。若有灼伤，就医治疗；眼睛接触：立即提起</w:t>
            </w:r>
            <w:r>
              <w:rPr>
                <w:rFonts w:hint="default" w:ascii="Times New Roman" w:hAnsi="Times New Roman" w:eastAsia="宋体" w:cs="Times New Roman"/>
                <w:color w:val="auto"/>
                <w:sz w:val="21"/>
                <w:szCs w:val="21"/>
                <w:highlight w:val="none"/>
                <w:lang w:eastAsia="zh-CN"/>
              </w:rPr>
              <w:t>眼睑</w:t>
            </w:r>
            <w:r>
              <w:rPr>
                <w:rFonts w:hint="default" w:ascii="Times New Roman" w:hAnsi="Times New Roman" w:eastAsia="宋体" w:cs="Times New Roman"/>
                <w:color w:val="auto"/>
                <w:sz w:val="21"/>
                <w:szCs w:val="21"/>
                <w:highlight w:val="none"/>
              </w:rPr>
              <w:t>，用流动清水或生理盐水冲洗至少15分钟，或用3%硼酸溶液冲洗。就医；吸入：立即脱离现场到空气新鲜处，必要时进行人工呼吸，就医；食入：患者清醒时立即漱口，口服稀释的醋或柠檬汁，就医。</w:t>
            </w:r>
          </w:p>
        </w:tc>
      </w:tr>
      <w:tr w14:paraId="34484B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3" w:hRule="atLeast"/>
        </w:trPr>
        <w:tc>
          <w:tcPr>
            <w:tcW w:w="886" w:type="dxa"/>
            <w:noWrap w:val="0"/>
            <w:vAlign w:val="center"/>
          </w:tcPr>
          <w:p w14:paraId="2BDA62A4">
            <w:pPr>
              <w:keepNext w:val="0"/>
              <w:keepLines w:val="0"/>
              <w:pageBreakBefore w:val="0"/>
              <w:widowControl w:val="0"/>
              <w:tabs>
                <w:tab w:val="left" w:leader="underscore" w:pos="1134"/>
              </w:tabs>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灭火</w:t>
            </w:r>
          </w:p>
          <w:p w14:paraId="3E4C4CB9">
            <w:pPr>
              <w:keepNext w:val="0"/>
              <w:keepLines w:val="0"/>
              <w:pageBreakBefore w:val="0"/>
              <w:widowControl w:val="0"/>
              <w:tabs>
                <w:tab w:val="left" w:leader="underscore" w:pos="1134"/>
              </w:tabs>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方法</w:t>
            </w:r>
          </w:p>
        </w:tc>
        <w:tc>
          <w:tcPr>
            <w:tcW w:w="8054" w:type="dxa"/>
            <w:gridSpan w:val="4"/>
            <w:noWrap w:val="0"/>
            <w:vAlign w:val="center"/>
          </w:tcPr>
          <w:p w14:paraId="6156182D">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雾状水、沙土</w:t>
            </w:r>
          </w:p>
        </w:tc>
      </w:tr>
    </w:tbl>
    <w:p w14:paraId="5E26DDD5">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2-5 废</w:t>
      </w:r>
      <w:r>
        <w:rPr>
          <w:rFonts w:hint="default" w:ascii="Times New Roman" w:hAnsi="Times New Roman" w:eastAsia="宋体" w:cs="Times New Roman"/>
          <w:b/>
          <w:bCs/>
          <w:color w:val="auto"/>
          <w:sz w:val="24"/>
          <w:szCs w:val="24"/>
          <w:highlight w:val="none"/>
        </w:rPr>
        <w:t>机油的理化性质及危险特性表</w:t>
      </w:r>
    </w:p>
    <w:tbl>
      <w:tblPr>
        <w:tblStyle w:val="29"/>
        <w:tblW w:w="8437" w:type="dxa"/>
        <w:jc w:val="center"/>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834"/>
        <w:gridCol w:w="1088"/>
        <w:gridCol w:w="664"/>
        <w:gridCol w:w="133"/>
        <w:gridCol w:w="834"/>
        <w:gridCol w:w="976"/>
        <w:gridCol w:w="318"/>
        <w:gridCol w:w="474"/>
        <w:gridCol w:w="414"/>
        <w:gridCol w:w="426"/>
        <w:gridCol w:w="670"/>
        <w:gridCol w:w="332"/>
        <w:gridCol w:w="563"/>
        <w:gridCol w:w="188"/>
        <w:gridCol w:w="523"/>
      </w:tblGrid>
      <w:tr w14:paraId="285EC12B">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108" w:type="dxa"/>
            <w:bottom w:w="0" w:type="dxa"/>
            <w:right w:w="108" w:type="dxa"/>
          </w:tblCellMar>
        </w:tblPrEx>
        <w:trPr>
          <w:trHeight w:val="500" w:hRule="atLeast"/>
          <w:jc w:val="center"/>
        </w:trPr>
        <w:tc>
          <w:tcPr>
            <w:tcW w:w="834" w:type="dxa"/>
            <w:vMerge w:val="restart"/>
            <w:noWrap w:val="0"/>
            <w:vAlign w:val="center"/>
          </w:tcPr>
          <w:p w14:paraId="6E744D0D">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标识</w:t>
            </w:r>
          </w:p>
        </w:tc>
        <w:tc>
          <w:tcPr>
            <w:tcW w:w="1088" w:type="dxa"/>
            <w:noWrap w:val="0"/>
            <w:vAlign w:val="center"/>
          </w:tcPr>
          <w:p w14:paraId="21734578">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中文名</w:t>
            </w:r>
          </w:p>
        </w:tc>
        <w:tc>
          <w:tcPr>
            <w:tcW w:w="1631" w:type="dxa"/>
            <w:gridSpan w:val="3"/>
            <w:noWrap w:val="0"/>
            <w:vAlign w:val="center"/>
          </w:tcPr>
          <w:p w14:paraId="44C254D8">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机油；润滑油</w:t>
            </w:r>
          </w:p>
        </w:tc>
        <w:tc>
          <w:tcPr>
            <w:tcW w:w="976" w:type="dxa"/>
            <w:noWrap w:val="0"/>
            <w:vAlign w:val="center"/>
          </w:tcPr>
          <w:p w14:paraId="5A3AAF15">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英文名</w:t>
            </w:r>
          </w:p>
        </w:tc>
        <w:tc>
          <w:tcPr>
            <w:tcW w:w="1632" w:type="dxa"/>
            <w:gridSpan w:val="4"/>
            <w:noWrap w:val="0"/>
            <w:vAlign w:val="center"/>
          </w:tcPr>
          <w:p w14:paraId="16A300E7">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lubricatingoil</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Lubeoil</w:t>
            </w:r>
          </w:p>
        </w:tc>
        <w:tc>
          <w:tcPr>
            <w:tcW w:w="1753" w:type="dxa"/>
            <w:gridSpan w:val="4"/>
            <w:noWrap w:val="0"/>
            <w:vAlign w:val="center"/>
          </w:tcPr>
          <w:p w14:paraId="5DF9F70A">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危险货物编号</w:t>
            </w:r>
          </w:p>
        </w:tc>
        <w:tc>
          <w:tcPr>
            <w:tcW w:w="523" w:type="dxa"/>
            <w:noWrap w:val="0"/>
            <w:vAlign w:val="center"/>
          </w:tcPr>
          <w:p w14:paraId="4C4FAAF6">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431FC410">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108" w:type="dxa"/>
            <w:bottom w:w="0" w:type="dxa"/>
            <w:right w:w="108" w:type="dxa"/>
          </w:tblCellMar>
        </w:tblPrEx>
        <w:trPr>
          <w:trHeight w:val="506" w:hRule="atLeast"/>
          <w:jc w:val="center"/>
        </w:trPr>
        <w:tc>
          <w:tcPr>
            <w:tcW w:w="834" w:type="dxa"/>
            <w:vMerge w:val="continue"/>
            <w:noWrap w:val="0"/>
            <w:vAlign w:val="center"/>
          </w:tcPr>
          <w:p w14:paraId="25782D42">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088" w:type="dxa"/>
            <w:noWrap w:val="0"/>
            <w:vAlign w:val="center"/>
          </w:tcPr>
          <w:p w14:paraId="0C635F8E">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分子式</w:t>
            </w:r>
          </w:p>
        </w:tc>
        <w:tc>
          <w:tcPr>
            <w:tcW w:w="797" w:type="dxa"/>
            <w:gridSpan w:val="2"/>
            <w:noWrap w:val="0"/>
            <w:vAlign w:val="center"/>
          </w:tcPr>
          <w:p w14:paraId="2E224462">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34" w:type="dxa"/>
            <w:noWrap w:val="0"/>
            <w:vAlign w:val="center"/>
          </w:tcPr>
          <w:p w14:paraId="7BE3C3B3">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分子量</w:t>
            </w:r>
          </w:p>
        </w:tc>
        <w:tc>
          <w:tcPr>
            <w:tcW w:w="976" w:type="dxa"/>
            <w:noWrap w:val="0"/>
            <w:vAlign w:val="center"/>
          </w:tcPr>
          <w:p w14:paraId="30E82AC4">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230～500</w:t>
            </w:r>
          </w:p>
        </w:tc>
        <w:tc>
          <w:tcPr>
            <w:tcW w:w="1632" w:type="dxa"/>
            <w:gridSpan w:val="4"/>
            <w:noWrap w:val="0"/>
            <w:vAlign w:val="center"/>
          </w:tcPr>
          <w:p w14:paraId="1CDF855B">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UN编号</w:t>
            </w:r>
          </w:p>
        </w:tc>
        <w:tc>
          <w:tcPr>
            <w:tcW w:w="670" w:type="dxa"/>
            <w:noWrap w:val="0"/>
            <w:vAlign w:val="center"/>
          </w:tcPr>
          <w:p w14:paraId="290F6A51">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83" w:type="dxa"/>
            <w:gridSpan w:val="3"/>
            <w:noWrap w:val="0"/>
            <w:vAlign w:val="center"/>
          </w:tcPr>
          <w:p w14:paraId="32A087D0">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CAS编号</w:t>
            </w:r>
          </w:p>
        </w:tc>
        <w:tc>
          <w:tcPr>
            <w:tcW w:w="523" w:type="dxa"/>
            <w:noWrap w:val="0"/>
            <w:vAlign w:val="center"/>
          </w:tcPr>
          <w:p w14:paraId="28189DAD">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02F70489">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108" w:type="dxa"/>
            <w:bottom w:w="0" w:type="dxa"/>
            <w:right w:w="108" w:type="dxa"/>
          </w:tblCellMar>
        </w:tblPrEx>
        <w:trPr>
          <w:trHeight w:val="271" w:hRule="atLeast"/>
          <w:jc w:val="center"/>
        </w:trPr>
        <w:tc>
          <w:tcPr>
            <w:tcW w:w="834" w:type="dxa"/>
            <w:vMerge w:val="continue"/>
            <w:noWrap w:val="0"/>
            <w:vAlign w:val="center"/>
          </w:tcPr>
          <w:p w14:paraId="17D1CAED">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088" w:type="dxa"/>
            <w:noWrap w:val="0"/>
            <w:vAlign w:val="center"/>
          </w:tcPr>
          <w:p w14:paraId="2CB79E3C">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危险类别</w:t>
            </w:r>
          </w:p>
        </w:tc>
        <w:tc>
          <w:tcPr>
            <w:tcW w:w="6515" w:type="dxa"/>
            <w:gridSpan w:val="13"/>
            <w:noWrap w:val="0"/>
            <w:vAlign w:val="center"/>
          </w:tcPr>
          <w:p w14:paraId="44EFE81B">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621EEE1E">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108" w:type="dxa"/>
            <w:bottom w:w="0" w:type="dxa"/>
            <w:right w:w="108" w:type="dxa"/>
          </w:tblCellMar>
        </w:tblPrEx>
        <w:trPr>
          <w:trHeight w:val="271" w:hRule="atLeast"/>
          <w:jc w:val="center"/>
        </w:trPr>
        <w:tc>
          <w:tcPr>
            <w:tcW w:w="834" w:type="dxa"/>
            <w:vMerge w:val="restart"/>
            <w:noWrap w:val="0"/>
            <w:vAlign w:val="center"/>
          </w:tcPr>
          <w:p w14:paraId="247820EF">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理化</w:t>
            </w:r>
          </w:p>
          <w:p w14:paraId="1E74A783">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性质</w:t>
            </w:r>
          </w:p>
        </w:tc>
        <w:tc>
          <w:tcPr>
            <w:tcW w:w="1088" w:type="dxa"/>
            <w:noWrap w:val="0"/>
            <w:vAlign w:val="center"/>
          </w:tcPr>
          <w:p w14:paraId="14C26B3A">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性状</w:t>
            </w:r>
          </w:p>
        </w:tc>
        <w:tc>
          <w:tcPr>
            <w:tcW w:w="6515" w:type="dxa"/>
            <w:gridSpan w:val="13"/>
            <w:noWrap w:val="0"/>
            <w:vAlign w:val="center"/>
          </w:tcPr>
          <w:p w14:paraId="08556EB6">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油状液体，淡黄色至褐色，无气味或略带异味。</w:t>
            </w:r>
          </w:p>
        </w:tc>
      </w:tr>
      <w:tr w14:paraId="1282F1AD">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108" w:type="dxa"/>
            <w:bottom w:w="0" w:type="dxa"/>
            <w:right w:w="108" w:type="dxa"/>
          </w:tblCellMar>
        </w:tblPrEx>
        <w:trPr>
          <w:trHeight w:val="271" w:hRule="atLeast"/>
          <w:jc w:val="center"/>
        </w:trPr>
        <w:tc>
          <w:tcPr>
            <w:tcW w:w="834" w:type="dxa"/>
            <w:vMerge w:val="continue"/>
            <w:noWrap w:val="0"/>
            <w:vAlign w:val="center"/>
          </w:tcPr>
          <w:p w14:paraId="21A840C1">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752" w:type="dxa"/>
            <w:gridSpan w:val="2"/>
            <w:noWrap w:val="0"/>
            <w:vAlign w:val="center"/>
          </w:tcPr>
          <w:p w14:paraId="2549CA62">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熔点（℃）</w:t>
            </w:r>
          </w:p>
        </w:tc>
        <w:tc>
          <w:tcPr>
            <w:tcW w:w="1943" w:type="dxa"/>
            <w:gridSpan w:val="3"/>
            <w:noWrap w:val="0"/>
            <w:vAlign w:val="center"/>
          </w:tcPr>
          <w:p w14:paraId="2A8A99BB">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3197" w:type="dxa"/>
            <w:gridSpan w:val="7"/>
            <w:noWrap w:val="0"/>
            <w:vAlign w:val="center"/>
          </w:tcPr>
          <w:p w14:paraId="0B9283FB">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临界压力（Mpa）</w:t>
            </w:r>
          </w:p>
        </w:tc>
        <w:tc>
          <w:tcPr>
            <w:tcW w:w="711" w:type="dxa"/>
            <w:gridSpan w:val="2"/>
            <w:noWrap w:val="0"/>
            <w:vAlign w:val="center"/>
          </w:tcPr>
          <w:p w14:paraId="570F7AA8">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60687A40">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108" w:type="dxa"/>
            <w:bottom w:w="0" w:type="dxa"/>
            <w:right w:w="108" w:type="dxa"/>
          </w:tblCellMar>
        </w:tblPrEx>
        <w:trPr>
          <w:trHeight w:val="271" w:hRule="atLeast"/>
          <w:jc w:val="center"/>
        </w:trPr>
        <w:tc>
          <w:tcPr>
            <w:tcW w:w="834" w:type="dxa"/>
            <w:vMerge w:val="continue"/>
            <w:noWrap w:val="0"/>
            <w:vAlign w:val="center"/>
          </w:tcPr>
          <w:p w14:paraId="475358DB">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752" w:type="dxa"/>
            <w:gridSpan w:val="2"/>
            <w:noWrap w:val="0"/>
            <w:vAlign w:val="center"/>
          </w:tcPr>
          <w:p w14:paraId="1B793B9B">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沸点（℃）</w:t>
            </w:r>
          </w:p>
        </w:tc>
        <w:tc>
          <w:tcPr>
            <w:tcW w:w="1943" w:type="dxa"/>
            <w:gridSpan w:val="3"/>
            <w:noWrap w:val="0"/>
            <w:vAlign w:val="center"/>
          </w:tcPr>
          <w:p w14:paraId="511DA138">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3197" w:type="dxa"/>
            <w:gridSpan w:val="7"/>
            <w:noWrap w:val="0"/>
            <w:vAlign w:val="center"/>
          </w:tcPr>
          <w:p w14:paraId="675F6926">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相对密度（水＝1）</w:t>
            </w:r>
          </w:p>
        </w:tc>
        <w:tc>
          <w:tcPr>
            <w:tcW w:w="711" w:type="dxa"/>
            <w:gridSpan w:val="2"/>
            <w:noWrap w:val="0"/>
            <w:vAlign w:val="center"/>
          </w:tcPr>
          <w:p w14:paraId="0B5BA634">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&lt;</w:t>
            </w:r>
            <w:r>
              <w:rPr>
                <w:rFonts w:hint="default" w:ascii="Times New Roman" w:hAnsi="Times New Roman" w:eastAsia="宋体" w:cs="Times New Roman"/>
                <w:color w:val="auto"/>
                <w:sz w:val="21"/>
                <w:szCs w:val="21"/>
                <w:highlight w:val="none"/>
              </w:rPr>
              <w:t>1</w:t>
            </w:r>
          </w:p>
        </w:tc>
      </w:tr>
      <w:tr w14:paraId="48307172">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108" w:type="dxa"/>
            <w:bottom w:w="0" w:type="dxa"/>
            <w:right w:w="108" w:type="dxa"/>
          </w:tblCellMar>
        </w:tblPrEx>
        <w:trPr>
          <w:trHeight w:val="271" w:hRule="atLeast"/>
          <w:jc w:val="center"/>
        </w:trPr>
        <w:tc>
          <w:tcPr>
            <w:tcW w:w="834" w:type="dxa"/>
            <w:vMerge w:val="continue"/>
            <w:noWrap w:val="0"/>
            <w:vAlign w:val="center"/>
          </w:tcPr>
          <w:p w14:paraId="2722A139">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752" w:type="dxa"/>
            <w:gridSpan w:val="2"/>
            <w:noWrap w:val="0"/>
            <w:vAlign w:val="center"/>
          </w:tcPr>
          <w:p w14:paraId="1ED6D534">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饱和蒸汽压（kpa）</w:t>
            </w:r>
          </w:p>
        </w:tc>
        <w:tc>
          <w:tcPr>
            <w:tcW w:w="1943" w:type="dxa"/>
            <w:gridSpan w:val="3"/>
            <w:noWrap w:val="0"/>
            <w:vAlign w:val="center"/>
          </w:tcPr>
          <w:p w14:paraId="4C9A1CDC">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3197" w:type="dxa"/>
            <w:gridSpan w:val="7"/>
            <w:noWrap w:val="0"/>
            <w:vAlign w:val="center"/>
          </w:tcPr>
          <w:p w14:paraId="56FDD230">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相对密度（空气＝1）</w:t>
            </w:r>
          </w:p>
        </w:tc>
        <w:tc>
          <w:tcPr>
            <w:tcW w:w="711" w:type="dxa"/>
            <w:gridSpan w:val="2"/>
            <w:noWrap w:val="0"/>
            <w:vAlign w:val="center"/>
          </w:tcPr>
          <w:p w14:paraId="08AFBD83">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4954754A">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108" w:type="dxa"/>
            <w:bottom w:w="0" w:type="dxa"/>
            <w:right w:w="108" w:type="dxa"/>
          </w:tblCellMar>
        </w:tblPrEx>
        <w:trPr>
          <w:trHeight w:val="271" w:hRule="atLeast"/>
          <w:jc w:val="center"/>
        </w:trPr>
        <w:tc>
          <w:tcPr>
            <w:tcW w:w="834" w:type="dxa"/>
            <w:vMerge w:val="continue"/>
            <w:noWrap w:val="0"/>
            <w:vAlign w:val="center"/>
          </w:tcPr>
          <w:p w14:paraId="70419CD7">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752" w:type="dxa"/>
            <w:gridSpan w:val="2"/>
            <w:noWrap w:val="0"/>
            <w:vAlign w:val="center"/>
          </w:tcPr>
          <w:p w14:paraId="2F37270C">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临界温度（℃）</w:t>
            </w:r>
          </w:p>
        </w:tc>
        <w:tc>
          <w:tcPr>
            <w:tcW w:w="1943" w:type="dxa"/>
            <w:gridSpan w:val="3"/>
            <w:noWrap w:val="0"/>
            <w:vAlign w:val="center"/>
          </w:tcPr>
          <w:p w14:paraId="212294CB">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3197" w:type="dxa"/>
            <w:gridSpan w:val="7"/>
            <w:noWrap w:val="0"/>
            <w:vAlign w:val="center"/>
          </w:tcPr>
          <w:p w14:paraId="748EB241">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燃烧热（KJ·mol</w:t>
            </w:r>
            <w:r>
              <w:rPr>
                <w:rFonts w:hint="default" w:ascii="Times New Roman" w:hAnsi="Times New Roman" w:eastAsia="宋体" w:cs="Times New Roman"/>
                <w:color w:val="auto"/>
                <w:sz w:val="21"/>
                <w:szCs w:val="21"/>
                <w:highlight w:val="none"/>
                <w:vertAlign w:val="superscript"/>
              </w:rPr>
              <w:t>-1</w:t>
            </w:r>
            <w:r>
              <w:rPr>
                <w:rFonts w:hint="default" w:ascii="Times New Roman" w:hAnsi="Times New Roman" w:eastAsia="宋体" w:cs="Times New Roman"/>
                <w:color w:val="auto"/>
                <w:sz w:val="21"/>
                <w:szCs w:val="21"/>
                <w:highlight w:val="none"/>
              </w:rPr>
              <w:t>）</w:t>
            </w:r>
          </w:p>
        </w:tc>
        <w:tc>
          <w:tcPr>
            <w:tcW w:w="711" w:type="dxa"/>
            <w:gridSpan w:val="2"/>
            <w:noWrap w:val="0"/>
            <w:vAlign w:val="center"/>
          </w:tcPr>
          <w:p w14:paraId="7D9CD6A1">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6D889FB6">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108" w:type="dxa"/>
            <w:bottom w:w="0" w:type="dxa"/>
            <w:right w:w="108" w:type="dxa"/>
          </w:tblCellMar>
        </w:tblPrEx>
        <w:trPr>
          <w:trHeight w:val="271" w:hRule="atLeast"/>
          <w:jc w:val="center"/>
        </w:trPr>
        <w:tc>
          <w:tcPr>
            <w:tcW w:w="834" w:type="dxa"/>
            <w:vMerge w:val="continue"/>
            <w:noWrap w:val="0"/>
            <w:vAlign w:val="center"/>
          </w:tcPr>
          <w:p w14:paraId="7000EEF9">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752" w:type="dxa"/>
            <w:gridSpan w:val="2"/>
            <w:noWrap w:val="0"/>
            <w:vAlign w:val="center"/>
          </w:tcPr>
          <w:p w14:paraId="6E965514">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溶解性</w:t>
            </w:r>
          </w:p>
        </w:tc>
        <w:tc>
          <w:tcPr>
            <w:tcW w:w="5851" w:type="dxa"/>
            <w:gridSpan w:val="12"/>
            <w:noWrap w:val="0"/>
            <w:vAlign w:val="center"/>
          </w:tcPr>
          <w:p w14:paraId="7614035F">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不溶于水</w:t>
            </w:r>
          </w:p>
        </w:tc>
      </w:tr>
      <w:tr w14:paraId="1572DE73">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108" w:type="dxa"/>
            <w:bottom w:w="0" w:type="dxa"/>
            <w:right w:w="108" w:type="dxa"/>
          </w:tblCellMar>
        </w:tblPrEx>
        <w:trPr>
          <w:trHeight w:val="271" w:hRule="atLeast"/>
          <w:jc w:val="center"/>
        </w:trPr>
        <w:tc>
          <w:tcPr>
            <w:tcW w:w="834" w:type="dxa"/>
            <w:vMerge w:val="restart"/>
            <w:noWrap w:val="0"/>
            <w:vAlign w:val="center"/>
          </w:tcPr>
          <w:p w14:paraId="3851C9DA">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燃烧</w:t>
            </w:r>
          </w:p>
          <w:p w14:paraId="7A3919DD">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爆炸</w:t>
            </w:r>
          </w:p>
          <w:p w14:paraId="2D60986C">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w:t>
            </w:r>
          </w:p>
          <w:p w14:paraId="74207735">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性</w:t>
            </w:r>
          </w:p>
        </w:tc>
        <w:tc>
          <w:tcPr>
            <w:tcW w:w="1752" w:type="dxa"/>
            <w:gridSpan w:val="2"/>
            <w:noWrap w:val="0"/>
            <w:vAlign w:val="center"/>
          </w:tcPr>
          <w:p w14:paraId="251FDC0C">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燃烧性</w:t>
            </w:r>
          </w:p>
        </w:tc>
        <w:tc>
          <w:tcPr>
            <w:tcW w:w="1943" w:type="dxa"/>
            <w:gridSpan w:val="3"/>
            <w:noWrap w:val="0"/>
            <w:vAlign w:val="center"/>
          </w:tcPr>
          <w:p w14:paraId="2E572973">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可燃</w:t>
            </w:r>
          </w:p>
        </w:tc>
        <w:tc>
          <w:tcPr>
            <w:tcW w:w="3197" w:type="dxa"/>
            <w:gridSpan w:val="7"/>
            <w:noWrap w:val="0"/>
            <w:vAlign w:val="center"/>
          </w:tcPr>
          <w:p w14:paraId="09B5B098">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闪点（℃）</w:t>
            </w:r>
          </w:p>
        </w:tc>
        <w:tc>
          <w:tcPr>
            <w:tcW w:w="711" w:type="dxa"/>
            <w:gridSpan w:val="2"/>
            <w:noWrap w:val="0"/>
            <w:vAlign w:val="center"/>
          </w:tcPr>
          <w:p w14:paraId="48E5DBD6">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76</w:t>
            </w:r>
          </w:p>
        </w:tc>
      </w:tr>
      <w:tr w14:paraId="1580F06A">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108" w:type="dxa"/>
            <w:bottom w:w="0" w:type="dxa"/>
            <w:right w:w="108" w:type="dxa"/>
          </w:tblCellMar>
        </w:tblPrEx>
        <w:trPr>
          <w:trHeight w:val="271" w:hRule="atLeast"/>
          <w:jc w:val="center"/>
        </w:trPr>
        <w:tc>
          <w:tcPr>
            <w:tcW w:w="834" w:type="dxa"/>
            <w:vMerge w:val="continue"/>
            <w:noWrap w:val="0"/>
            <w:vAlign w:val="center"/>
          </w:tcPr>
          <w:p w14:paraId="413A53BC">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752" w:type="dxa"/>
            <w:gridSpan w:val="2"/>
            <w:noWrap w:val="0"/>
            <w:vAlign w:val="center"/>
          </w:tcPr>
          <w:p w14:paraId="38EDAC88">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爆炸极限（％）</w:t>
            </w:r>
          </w:p>
        </w:tc>
        <w:tc>
          <w:tcPr>
            <w:tcW w:w="1943" w:type="dxa"/>
            <w:gridSpan w:val="3"/>
            <w:noWrap w:val="0"/>
            <w:vAlign w:val="center"/>
          </w:tcPr>
          <w:p w14:paraId="56E64511">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无资料</w:t>
            </w:r>
          </w:p>
        </w:tc>
        <w:tc>
          <w:tcPr>
            <w:tcW w:w="3197" w:type="dxa"/>
            <w:gridSpan w:val="7"/>
            <w:noWrap w:val="0"/>
            <w:vAlign w:val="center"/>
          </w:tcPr>
          <w:p w14:paraId="36EC2E72">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最小点火能（MJ）</w:t>
            </w:r>
          </w:p>
        </w:tc>
        <w:tc>
          <w:tcPr>
            <w:tcW w:w="711" w:type="dxa"/>
            <w:gridSpan w:val="2"/>
            <w:noWrap w:val="0"/>
            <w:vAlign w:val="center"/>
          </w:tcPr>
          <w:p w14:paraId="550F9D09">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150D3498">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108" w:type="dxa"/>
            <w:bottom w:w="0" w:type="dxa"/>
            <w:right w:w="108" w:type="dxa"/>
          </w:tblCellMar>
        </w:tblPrEx>
        <w:trPr>
          <w:trHeight w:val="271" w:hRule="atLeast"/>
          <w:jc w:val="center"/>
        </w:trPr>
        <w:tc>
          <w:tcPr>
            <w:tcW w:w="834" w:type="dxa"/>
            <w:vMerge w:val="continue"/>
            <w:noWrap w:val="0"/>
            <w:vAlign w:val="center"/>
          </w:tcPr>
          <w:p w14:paraId="38EB8D50">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752" w:type="dxa"/>
            <w:gridSpan w:val="2"/>
            <w:noWrap w:val="0"/>
            <w:vAlign w:val="center"/>
          </w:tcPr>
          <w:p w14:paraId="39AE3B89">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引燃温度（℃）</w:t>
            </w:r>
          </w:p>
        </w:tc>
        <w:tc>
          <w:tcPr>
            <w:tcW w:w="1943" w:type="dxa"/>
            <w:gridSpan w:val="3"/>
            <w:noWrap w:val="0"/>
            <w:vAlign w:val="center"/>
          </w:tcPr>
          <w:p w14:paraId="175F47E5">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248</w:t>
            </w:r>
          </w:p>
        </w:tc>
        <w:tc>
          <w:tcPr>
            <w:tcW w:w="3197" w:type="dxa"/>
            <w:gridSpan w:val="7"/>
            <w:noWrap w:val="0"/>
            <w:vAlign w:val="center"/>
          </w:tcPr>
          <w:p w14:paraId="7FEB1AA4">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最大爆炸压力（Mpa）</w:t>
            </w:r>
          </w:p>
        </w:tc>
        <w:tc>
          <w:tcPr>
            <w:tcW w:w="711" w:type="dxa"/>
            <w:gridSpan w:val="2"/>
            <w:noWrap w:val="0"/>
            <w:vAlign w:val="center"/>
          </w:tcPr>
          <w:p w14:paraId="7B5FE0EC">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0EDFAD44">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108" w:type="dxa"/>
            <w:bottom w:w="0" w:type="dxa"/>
            <w:right w:w="108" w:type="dxa"/>
          </w:tblCellMar>
        </w:tblPrEx>
        <w:trPr>
          <w:trHeight w:val="271" w:hRule="atLeast"/>
          <w:jc w:val="center"/>
        </w:trPr>
        <w:tc>
          <w:tcPr>
            <w:tcW w:w="834" w:type="dxa"/>
            <w:vMerge w:val="continue"/>
            <w:noWrap w:val="0"/>
            <w:vAlign w:val="center"/>
          </w:tcPr>
          <w:p w14:paraId="3682F865">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752" w:type="dxa"/>
            <w:gridSpan w:val="2"/>
            <w:noWrap w:val="0"/>
            <w:vAlign w:val="center"/>
          </w:tcPr>
          <w:p w14:paraId="303C4CBE">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危险特性</w:t>
            </w:r>
          </w:p>
        </w:tc>
        <w:tc>
          <w:tcPr>
            <w:tcW w:w="5851" w:type="dxa"/>
            <w:gridSpan w:val="12"/>
            <w:noWrap w:val="0"/>
            <w:vAlign w:val="center"/>
          </w:tcPr>
          <w:p w14:paraId="6FF21499">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遇明火、高热可燃。</w:t>
            </w:r>
          </w:p>
        </w:tc>
      </w:tr>
      <w:tr w14:paraId="77ACF114">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108" w:type="dxa"/>
            <w:bottom w:w="0" w:type="dxa"/>
            <w:right w:w="108" w:type="dxa"/>
          </w:tblCellMar>
        </w:tblPrEx>
        <w:trPr>
          <w:trHeight w:val="802" w:hRule="atLeast"/>
          <w:jc w:val="center"/>
        </w:trPr>
        <w:tc>
          <w:tcPr>
            <w:tcW w:w="834" w:type="dxa"/>
            <w:vMerge w:val="continue"/>
            <w:noWrap w:val="0"/>
            <w:vAlign w:val="center"/>
          </w:tcPr>
          <w:p w14:paraId="6B67AA99">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752" w:type="dxa"/>
            <w:gridSpan w:val="2"/>
            <w:noWrap w:val="0"/>
            <w:vAlign w:val="center"/>
          </w:tcPr>
          <w:p w14:paraId="55D672E9">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灭火方法</w:t>
            </w:r>
          </w:p>
        </w:tc>
        <w:tc>
          <w:tcPr>
            <w:tcW w:w="5851" w:type="dxa"/>
            <w:gridSpan w:val="12"/>
            <w:noWrap w:val="0"/>
            <w:vAlign w:val="center"/>
          </w:tcPr>
          <w:p w14:paraId="24DE3AF6">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消防人员须佩戴防毒面具、穿全身消防服，在上风向灭火。尽可能将容器从火场移至空旷处。喷水保持火场容器冷却，直至灭火结束。处在火场中的容器若已变色或从安全泄压装置中产生声音，必须马上撤离。</w:t>
            </w:r>
          </w:p>
          <w:p w14:paraId="51D9ADDA">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灭火剂：雾状水、泡沫、干粉、二氧化碳、砂土。</w:t>
            </w:r>
          </w:p>
        </w:tc>
      </w:tr>
      <w:tr w14:paraId="47C09577">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108" w:type="dxa"/>
            <w:bottom w:w="0" w:type="dxa"/>
            <w:right w:w="108" w:type="dxa"/>
          </w:tblCellMar>
        </w:tblPrEx>
        <w:trPr>
          <w:trHeight w:val="271" w:hRule="atLeast"/>
          <w:jc w:val="center"/>
        </w:trPr>
        <w:tc>
          <w:tcPr>
            <w:tcW w:w="834" w:type="dxa"/>
            <w:vMerge w:val="continue"/>
            <w:noWrap w:val="0"/>
            <w:vAlign w:val="center"/>
          </w:tcPr>
          <w:p w14:paraId="23DD2029">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752" w:type="dxa"/>
            <w:gridSpan w:val="2"/>
            <w:noWrap w:val="0"/>
            <w:vAlign w:val="center"/>
          </w:tcPr>
          <w:p w14:paraId="397832D0">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禁忌物</w:t>
            </w:r>
          </w:p>
        </w:tc>
        <w:tc>
          <w:tcPr>
            <w:tcW w:w="2735" w:type="dxa"/>
            <w:gridSpan w:val="5"/>
            <w:noWrap w:val="0"/>
            <w:vAlign w:val="center"/>
          </w:tcPr>
          <w:p w14:paraId="5C54835B">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842" w:type="dxa"/>
            <w:gridSpan w:val="4"/>
            <w:noWrap w:val="0"/>
            <w:vAlign w:val="center"/>
          </w:tcPr>
          <w:p w14:paraId="577EC31A">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稳定性</w:t>
            </w:r>
          </w:p>
        </w:tc>
        <w:tc>
          <w:tcPr>
            <w:tcW w:w="1274" w:type="dxa"/>
            <w:gridSpan w:val="3"/>
            <w:noWrap w:val="0"/>
            <w:vAlign w:val="center"/>
          </w:tcPr>
          <w:p w14:paraId="6EB3009D">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稳定</w:t>
            </w:r>
          </w:p>
        </w:tc>
      </w:tr>
      <w:tr w14:paraId="7E36C048">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108" w:type="dxa"/>
            <w:bottom w:w="0" w:type="dxa"/>
            <w:right w:w="108" w:type="dxa"/>
          </w:tblCellMar>
        </w:tblPrEx>
        <w:trPr>
          <w:trHeight w:val="271" w:hRule="atLeast"/>
          <w:jc w:val="center"/>
        </w:trPr>
        <w:tc>
          <w:tcPr>
            <w:tcW w:w="834" w:type="dxa"/>
            <w:vMerge w:val="continue"/>
            <w:noWrap w:val="0"/>
            <w:vAlign w:val="center"/>
          </w:tcPr>
          <w:p w14:paraId="21E67549">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752" w:type="dxa"/>
            <w:gridSpan w:val="2"/>
            <w:noWrap w:val="0"/>
            <w:vAlign w:val="center"/>
          </w:tcPr>
          <w:p w14:paraId="504A4FC2">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燃烧产物</w:t>
            </w:r>
          </w:p>
        </w:tc>
        <w:tc>
          <w:tcPr>
            <w:tcW w:w="2735" w:type="dxa"/>
            <w:gridSpan w:val="5"/>
            <w:noWrap w:val="0"/>
            <w:vAlign w:val="center"/>
          </w:tcPr>
          <w:p w14:paraId="122F3A47">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一氧化碳、二氧化碳</w:t>
            </w:r>
          </w:p>
        </w:tc>
        <w:tc>
          <w:tcPr>
            <w:tcW w:w="1842" w:type="dxa"/>
            <w:gridSpan w:val="4"/>
            <w:noWrap w:val="0"/>
            <w:vAlign w:val="center"/>
          </w:tcPr>
          <w:p w14:paraId="58D86F25">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聚合危害</w:t>
            </w:r>
          </w:p>
        </w:tc>
        <w:tc>
          <w:tcPr>
            <w:tcW w:w="1274" w:type="dxa"/>
            <w:gridSpan w:val="3"/>
            <w:noWrap w:val="0"/>
            <w:vAlign w:val="center"/>
          </w:tcPr>
          <w:p w14:paraId="26D984FC">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不聚合</w:t>
            </w:r>
          </w:p>
        </w:tc>
      </w:tr>
      <w:tr w14:paraId="03BB4C04">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108" w:type="dxa"/>
            <w:bottom w:w="0" w:type="dxa"/>
            <w:right w:w="108" w:type="dxa"/>
          </w:tblCellMar>
        </w:tblPrEx>
        <w:trPr>
          <w:trHeight w:val="271" w:hRule="atLeast"/>
          <w:jc w:val="center"/>
        </w:trPr>
        <w:tc>
          <w:tcPr>
            <w:tcW w:w="834" w:type="dxa"/>
            <w:vMerge w:val="restart"/>
            <w:noWrap w:val="0"/>
            <w:vAlign w:val="center"/>
          </w:tcPr>
          <w:p w14:paraId="7E18F671">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毒性</w:t>
            </w:r>
          </w:p>
          <w:p w14:paraId="68CFBD28">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及健</w:t>
            </w:r>
          </w:p>
          <w:p w14:paraId="52AD3319">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康危</w:t>
            </w:r>
          </w:p>
          <w:p w14:paraId="68FE4FD4">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害</w:t>
            </w:r>
          </w:p>
        </w:tc>
        <w:tc>
          <w:tcPr>
            <w:tcW w:w="1752" w:type="dxa"/>
            <w:gridSpan w:val="2"/>
            <w:noWrap w:val="0"/>
            <w:vAlign w:val="center"/>
          </w:tcPr>
          <w:p w14:paraId="32A70AA8">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急性毒性</w:t>
            </w:r>
          </w:p>
        </w:tc>
        <w:tc>
          <w:tcPr>
            <w:tcW w:w="2261" w:type="dxa"/>
            <w:gridSpan w:val="4"/>
            <w:noWrap w:val="0"/>
            <w:vAlign w:val="center"/>
          </w:tcPr>
          <w:p w14:paraId="13290183">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LD</w:t>
            </w:r>
            <w:r>
              <w:rPr>
                <w:rFonts w:hint="default" w:ascii="Times New Roman" w:hAnsi="Times New Roman" w:eastAsia="宋体" w:cs="Times New Roman"/>
                <w:color w:val="auto"/>
                <w:sz w:val="21"/>
                <w:szCs w:val="21"/>
                <w:highlight w:val="none"/>
                <w:vertAlign w:val="subscript"/>
              </w:rPr>
              <w:t>50</w:t>
            </w:r>
            <w:r>
              <w:rPr>
                <w:rFonts w:hint="default" w:ascii="Times New Roman" w:hAnsi="Times New Roman" w:eastAsia="宋体" w:cs="Times New Roman"/>
                <w:color w:val="auto"/>
                <w:sz w:val="21"/>
                <w:szCs w:val="21"/>
                <w:highlight w:val="none"/>
              </w:rPr>
              <w:t>（mg/kg，大鼠经口）</w:t>
            </w:r>
          </w:p>
        </w:tc>
        <w:tc>
          <w:tcPr>
            <w:tcW w:w="888" w:type="dxa"/>
            <w:gridSpan w:val="2"/>
            <w:noWrap w:val="0"/>
            <w:vAlign w:val="center"/>
          </w:tcPr>
          <w:p w14:paraId="09AE9E12">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无资料</w:t>
            </w:r>
          </w:p>
        </w:tc>
        <w:tc>
          <w:tcPr>
            <w:tcW w:w="1428" w:type="dxa"/>
            <w:gridSpan w:val="3"/>
            <w:noWrap w:val="0"/>
            <w:vAlign w:val="center"/>
          </w:tcPr>
          <w:p w14:paraId="02898548">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LC</w:t>
            </w:r>
            <w:r>
              <w:rPr>
                <w:rFonts w:hint="default" w:ascii="Times New Roman" w:hAnsi="Times New Roman" w:eastAsia="宋体" w:cs="Times New Roman"/>
                <w:color w:val="auto"/>
                <w:sz w:val="21"/>
                <w:szCs w:val="21"/>
                <w:highlight w:val="none"/>
                <w:vertAlign w:val="subscript"/>
              </w:rPr>
              <w:t>50</w:t>
            </w:r>
            <w:r>
              <w:rPr>
                <w:rFonts w:hint="default" w:ascii="Times New Roman" w:hAnsi="Times New Roman" w:eastAsia="宋体" w:cs="Times New Roman"/>
                <w:color w:val="auto"/>
                <w:sz w:val="21"/>
                <w:szCs w:val="21"/>
                <w:highlight w:val="none"/>
                <w:vertAlign w:val="subscript"/>
                <w:lang w:eastAsia="zh-CN"/>
              </w:rPr>
              <w:t>(</w:t>
            </w:r>
            <w:r>
              <w:rPr>
                <w:rFonts w:hint="default" w:ascii="Times New Roman" w:hAnsi="Times New Roman" w:eastAsia="宋体" w:cs="Times New Roman"/>
                <w:color w:val="auto"/>
                <w:sz w:val="21"/>
                <w:szCs w:val="21"/>
                <w:highlight w:val="none"/>
              </w:rPr>
              <w:t>mg/kg</w:t>
            </w:r>
            <w:r>
              <w:rPr>
                <w:rFonts w:hint="default" w:ascii="Times New Roman" w:hAnsi="Times New Roman" w:eastAsia="宋体" w:cs="Times New Roman"/>
                <w:color w:val="auto"/>
                <w:sz w:val="21"/>
                <w:szCs w:val="21"/>
                <w:highlight w:val="none"/>
                <w:lang w:eastAsia="zh-CN"/>
              </w:rPr>
              <w:t>)</w:t>
            </w:r>
          </w:p>
        </w:tc>
        <w:tc>
          <w:tcPr>
            <w:tcW w:w="1274" w:type="dxa"/>
            <w:gridSpan w:val="3"/>
            <w:noWrap w:val="0"/>
            <w:vAlign w:val="center"/>
          </w:tcPr>
          <w:p w14:paraId="09AA32AA">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无资料</w:t>
            </w:r>
          </w:p>
        </w:tc>
      </w:tr>
      <w:tr w14:paraId="25265321">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108" w:type="dxa"/>
            <w:bottom w:w="0" w:type="dxa"/>
            <w:right w:w="108" w:type="dxa"/>
          </w:tblCellMar>
        </w:tblPrEx>
        <w:trPr>
          <w:trHeight w:val="271" w:hRule="atLeast"/>
          <w:jc w:val="center"/>
        </w:trPr>
        <w:tc>
          <w:tcPr>
            <w:tcW w:w="834" w:type="dxa"/>
            <w:vMerge w:val="continue"/>
            <w:noWrap w:val="0"/>
            <w:vAlign w:val="center"/>
          </w:tcPr>
          <w:p w14:paraId="7CA164BC">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752" w:type="dxa"/>
            <w:gridSpan w:val="2"/>
            <w:vMerge w:val="restart"/>
            <w:noWrap w:val="0"/>
            <w:vAlign w:val="center"/>
          </w:tcPr>
          <w:p w14:paraId="5861FA72">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健康危害</w:t>
            </w:r>
          </w:p>
        </w:tc>
        <w:tc>
          <w:tcPr>
            <w:tcW w:w="3149" w:type="dxa"/>
            <w:gridSpan w:val="6"/>
            <w:noWrap w:val="0"/>
            <w:vAlign w:val="center"/>
          </w:tcPr>
          <w:p w14:paraId="5B956FA3">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车间卫生标准</w:t>
            </w:r>
          </w:p>
        </w:tc>
        <w:tc>
          <w:tcPr>
            <w:tcW w:w="2702" w:type="dxa"/>
            <w:gridSpan w:val="6"/>
            <w:noWrap w:val="0"/>
            <w:vAlign w:val="center"/>
          </w:tcPr>
          <w:p w14:paraId="19C0E098">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09753230">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834" w:type="dxa"/>
            <w:vMerge w:val="continue"/>
            <w:noWrap w:val="0"/>
            <w:vAlign w:val="center"/>
          </w:tcPr>
          <w:p w14:paraId="580AA410">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752" w:type="dxa"/>
            <w:gridSpan w:val="2"/>
            <w:vMerge w:val="continue"/>
            <w:noWrap w:val="0"/>
            <w:vAlign w:val="center"/>
          </w:tcPr>
          <w:p w14:paraId="64393ABC">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5851" w:type="dxa"/>
            <w:gridSpan w:val="12"/>
            <w:noWrap w:val="0"/>
            <w:vAlign w:val="center"/>
          </w:tcPr>
          <w:p w14:paraId="4947AAA9">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侵入途径：吸入、食入；</w:t>
            </w:r>
          </w:p>
          <w:p w14:paraId="780EDEFE">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急性吸入，可出现乏力、头晕、头痛、恶心，严重者可引起油脂性肺炎。</w:t>
            </w:r>
            <w:r>
              <w:rPr>
                <w:rFonts w:hint="default" w:ascii="Times New Roman" w:hAnsi="Times New Roman" w:eastAsia="宋体" w:cs="Times New Roman"/>
                <w:color w:val="auto"/>
                <w:sz w:val="21"/>
                <w:szCs w:val="21"/>
                <w:highlight w:val="none"/>
                <w:lang w:eastAsia="zh-CN"/>
              </w:rPr>
              <w:t>慢性</w:t>
            </w:r>
            <w:r>
              <w:rPr>
                <w:rFonts w:hint="default" w:ascii="Times New Roman" w:hAnsi="Times New Roman" w:eastAsia="宋体" w:cs="Times New Roman"/>
                <w:color w:val="auto"/>
                <w:sz w:val="21"/>
                <w:szCs w:val="21"/>
                <w:highlight w:val="none"/>
              </w:rPr>
              <w:t>接触者，暴露部位可发生油性痤疮和接触性皮炎。可引起神经衰弱综合征，呼吸道和眼</w:t>
            </w:r>
            <w:r>
              <w:rPr>
                <w:rFonts w:hint="default" w:ascii="Times New Roman" w:hAnsi="Times New Roman" w:eastAsia="宋体" w:cs="Times New Roman"/>
                <w:color w:val="auto"/>
                <w:sz w:val="21"/>
                <w:szCs w:val="21"/>
                <w:highlight w:val="none"/>
                <w:lang w:eastAsia="zh-CN"/>
              </w:rPr>
              <w:t>刺激</w:t>
            </w:r>
            <w:r>
              <w:rPr>
                <w:rFonts w:hint="eastAsia" w:cs="Times New Roman"/>
                <w:color w:val="auto"/>
                <w:sz w:val="21"/>
                <w:szCs w:val="21"/>
                <w:highlight w:val="none"/>
                <w:lang w:eastAsia="zh-CN"/>
              </w:rPr>
              <w:t>症状</w:t>
            </w:r>
            <w:r>
              <w:rPr>
                <w:rFonts w:hint="default" w:ascii="Times New Roman" w:hAnsi="Times New Roman" w:eastAsia="宋体" w:cs="Times New Roman"/>
                <w:color w:val="auto"/>
                <w:sz w:val="21"/>
                <w:szCs w:val="21"/>
                <w:highlight w:val="none"/>
              </w:rPr>
              <w:t>及慢性油脂性肺炎。有资料报道，接触石油润滑油类的工人，有致癌的病例报告。</w:t>
            </w:r>
          </w:p>
        </w:tc>
      </w:tr>
      <w:tr w14:paraId="521C0157">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108" w:type="dxa"/>
            <w:bottom w:w="0" w:type="dxa"/>
            <w:right w:w="108" w:type="dxa"/>
          </w:tblCellMar>
        </w:tblPrEx>
        <w:trPr>
          <w:trHeight w:val="1332" w:hRule="atLeast"/>
          <w:jc w:val="center"/>
        </w:trPr>
        <w:tc>
          <w:tcPr>
            <w:tcW w:w="834" w:type="dxa"/>
            <w:noWrap w:val="0"/>
            <w:vAlign w:val="center"/>
          </w:tcPr>
          <w:p w14:paraId="7E171C9E">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急救</w:t>
            </w:r>
          </w:p>
        </w:tc>
        <w:tc>
          <w:tcPr>
            <w:tcW w:w="7603" w:type="dxa"/>
            <w:gridSpan w:val="14"/>
            <w:noWrap w:val="0"/>
            <w:vAlign w:val="center"/>
          </w:tcPr>
          <w:p w14:paraId="1D0D6A57">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皮肤接触：立即脱去被污染的衣着，用大量清水冲洗；</w:t>
            </w:r>
          </w:p>
          <w:p w14:paraId="695D2CFA">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眼睛接触：立即提起眼睑，用大量流动清水或生理盐水冲洗，就医；</w:t>
            </w:r>
          </w:p>
          <w:p w14:paraId="3F8C8792">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吸入：迅速脱离现场至空气新鲜处，保持呼吸道通畅，如呼吸困难，给输氧；如呼吸停止，立即进行人工呼吸，就医；</w:t>
            </w:r>
          </w:p>
          <w:p w14:paraId="14B104A3">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食入：饮足量温水，催吐，就医。</w:t>
            </w:r>
          </w:p>
        </w:tc>
      </w:tr>
      <w:tr w14:paraId="55E21FD1">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108" w:type="dxa"/>
            <w:bottom w:w="0" w:type="dxa"/>
            <w:right w:w="108" w:type="dxa"/>
          </w:tblCellMar>
        </w:tblPrEx>
        <w:trPr>
          <w:trHeight w:val="1864" w:hRule="atLeast"/>
          <w:jc w:val="center"/>
        </w:trPr>
        <w:tc>
          <w:tcPr>
            <w:tcW w:w="834" w:type="dxa"/>
            <w:noWrap w:val="0"/>
            <w:vAlign w:val="center"/>
          </w:tcPr>
          <w:p w14:paraId="2D1EB234">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防护</w:t>
            </w:r>
          </w:p>
        </w:tc>
        <w:tc>
          <w:tcPr>
            <w:tcW w:w="7603" w:type="dxa"/>
            <w:gridSpan w:val="14"/>
            <w:noWrap w:val="0"/>
            <w:vAlign w:val="center"/>
          </w:tcPr>
          <w:p w14:paraId="30402979">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工程控制：密闭操作，注意通风；</w:t>
            </w:r>
          </w:p>
          <w:p w14:paraId="6D4D1EAD">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呼吸系统防护：空气中浓度超标时，建议佩戴自吸过滤式防毒面具（半面罩）。紧急事态抢救或撤离时，应该佩戴空气呼吸器。</w:t>
            </w:r>
          </w:p>
          <w:p w14:paraId="5B05FF7A">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眼睛防护：戴化学安全防护眼镜。</w:t>
            </w:r>
          </w:p>
          <w:p w14:paraId="048809B1">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身体防护：穿防毒物渗透工作服；</w:t>
            </w:r>
          </w:p>
          <w:p w14:paraId="1C81712D">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手防护：戴橡胶耐油手套；</w:t>
            </w:r>
          </w:p>
          <w:p w14:paraId="04A0E50C">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其他：工作现场严禁吸烟。避免长期反复接触。</w:t>
            </w:r>
          </w:p>
        </w:tc>
      </w:tr>
      <w:tr w14:paraId="74B6C126">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108" w:type="dxa"/>
            <w:bottom w:w="0" w:type="dxa"/>
            <w:right w:w="108" w:type="dxa"/>
          </w:tblCellMar>
        </w:tblPrEx>
        <w:trPr>
          <w:trHeight w:val="1599" w:hRule="atLeast"/>
          <w:jc w:val="center"/>
        </w:trPr>
        <w:tc>
          <w:tcPr>
            <w:tcW w:w="834" w:type="dxa"/>
            <w:noWrap w:val="0"/>
            <w:vAlign w:val="center"/>
          </w:tcPr>
          <w:p w14:paraId="4F60F660">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泄漏</w:t>
            </w:r>
          </w:p>
          <w:p w14:paraId="4072541E">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处理</w:t>
            </w:r>
          </w:p>
        </w:tc>
        <w:tc>
          <w:tcPr>
            <w:tcW w:w="7603" w:type="dxa"/>
            <w:gridSpan w:val="14"/>
            <w:noWrap w:val="0"/>
            <w:vAlign w:val="center"/>
          </w:tcPr>
          <w:p w14:paraId="3B3C68DB">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迅速撤离泄漏污染区人员至安全区，并进行隔离，严格限制出入。切断火源。建议应急处理人员戴自给正压式呼吸器，穿防毒服。尽可能切断泄漏源。防止流入下水道、排洪沟等限制性空间。</w:t>
            </w:r>
          </w:p>
          <w:p w14:paraId="269F27EA">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小量泄漏：用砂土或其他不燃材料吸附或吸收。</w:t>
            </w:r>
          </w:p>
          <w:p w14:paraId="1338902A">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大量泄漏：构筑围堤或挖坑收容。用泵转移至槽车或专用收集器内，回收或运至废物处理场所处置。</w:t>
            </w:r>
          </w:p>
        </w:tc>
      </w:tr>
      <w:tr w14:paraId="01B3A5D7">
        <w:tblPrEx>
          <w:tblBorders>
            <w:top w:val="single" w:color="auto" w:sz="12" w:space="0"/>
            <w:left w:val="dotted" w:color="auto" w:sz="4" w:space="0"/>
            <w:bottom w:val="single" w:color="auto" w:sz="12" w:space="0"/>
            <w:right w:val="dotted" w:color="auto" w:sz="4" w:space="0"/>
            <w:insideH w:val="single" w:color="auto" w:sz="2" w:space="0"/>
            <w:insideV w:val="single" w:color="auto" w:sz="2" w:space="0"/>
          </w:tblBorders>
          <w:tblCellMar>
            <w:top w:w="0" w:type="dxa"/>
            <w:left w:w="108" w:type="dxa"/>
            <w:bottom w:w="0" w:type="dxa"/>
            <w:right w:w="108" w:type="dxa"/>
          </w:tblCellMar>
        </w:tblPrEx>
        <w:trPr>
          <w:trHeight w:val="1628" w:hRule="atLeast"/>
          <w:jc w:val="center"/>
        </w:trPr>
        <w:tc>
          <w:tcPr>
            <w:tcW w:w="834" w:type="dxa"/>
            <w:noWrap w:val="0"/>
            <w:vAlign w:val="center"/>
          </w:tcPr>
          <w:p w14:paraId="45371275">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储运</w:t>
            </w:r>
          </w:p>
        </w:tc>
        <w:tc>
          <w:tcPr>
            <w:tcW w:w="7603" w:type="dxa"/>
            <w:gridSpan w:val="14"/>
            <w:noWrap w:val="0"/>
            <w:vAlign w:val="center"/>
          </w:tcPr>
          <w:p w14:paraId="7E9940EF">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储存于阴凉、通风的库房。远离火种、热源。应与氧化剂分开存放，切忌混储。配备相应品种和数量的消防器材。储区应备有泄漏应急处理设备和合适的收容材料。</w:t>
            </w:r>
          </w:p>
          <w:p w14:paraId="4F10E350">
            <w:pPr>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运输前应先检查包装容器是否完整、密封，运输过程中要确保容器不泄漏、不倒塌、不坠落、不损坏。严禁与氧化剂、食用化学品等混装混运。运输车船必须彻底清洗、消毒，否则不得装运其他物品。船运时，配装位置应远离卧室、厨房，并与机舱、电源、火源等部位隔离。公路运输时要按规定路线行驶。</w:t>
            </w:r>
          </w:p>
        </w:tc>
      </w:tr>
    </w:tbl>
    <w:p w14:paraId="04F581A0">
      <w:pPr>
        <w:pStyle w:val="3"/>
        <w:keepNext/>
        <w:keepLines/>
        <w:pageBreakBefore w:val="0"/>
        <w:widowControl w:val="0"/>
        <w:numPr>
          <w:ilvl w:val="1"/>
          <w:numId w:val="0"/>
        </w:numPr>
        <w:kinsoku/>
        <w:wordWrap/>
        <w:overflowPunct/>
        <w:topLinePunct w:val="0"/>
        <w:autoSpaceDE/>
        <w:autoSpaceDN/>
        <w:bidi w:val="0"/>
        <w:adjustRightInd w:val="0"/>
        <w:snapToGrid w:val="0"/>
        <w:spacing w:before="0" w:after="0" w:line="360" w:lineRule="auto"/>
        <w:ind w:left="0" w:leftChars="0" w:right="0" w:rightChars="0"/>
        <w:textAlignment w:val="auto"/>
        <w:rPr>
          <w:rFonts w:hint="default" w:ascii="Times New Roman" w:hAnsi="Times New Roman" w:eastAsia="宋体" w:cs="Times New Roman"/>
          <w:b/>
          <w:bCs/>
          <w:color w:val="auto"/>
          <w:kern w:val="0"/>
          <w:sz w:val="24"/>
          <w:szCs w:val="24"/>
          <w:highlight w:val="none"/>
          <w:lang w:val="en-US" w:eastAsia="zh-CN" w:bidi="ar"/>
        </w:rPr>
      </w:pPr>
      <w:bookmarkStart w:id="78" w:name="_Toc32197"/>
      <w:r>
        <w:rPr>
          <w:rFonts w:hint="default" w:ascii="Times New Roman" w:hAnsi="Times New Roman" w:eastAsia="宋体" w:cs="Times New Roman"/>
          <w:b/>
          <w:bCs/>
          <w:color w:val="auto"/>
          <w:kern w:val="0"/>
          <w:sz w:val="24"/>
          <w:szCs w:val="24"/>
          <w:highlight w:val="none"/>
          <w:lang w:val="en-US" w:eastAsia="zh-CN" w:bidi="ar"/>
        </w:rPr>
        <w:t>2.2环境敏感目标调查</w:t>
      </w:r>
      <w:bookmarkEnd w:id="78"/>
    </w:p>
    <w:p w14:paraId="389B28D8">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color w:val="auto"/>
          <w:sz w:val="24"/>
          <w:szCs w:val="24"/>
          <w:highlight w:val="none"/>
        </w:rPr>
        <w:t>本项目环境敏感目标调查见表2-4，环境敏感目标区位分布图见图2-1。</w:t>
      </w:r>
    </w:p>
    <w:p w14:paraId="7D5E7F88">
      <w:pPr>
        <w:pStyle w:val="65"/>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textAlignment w:val="auto"/>
        <w:rPr>
          <w:rFonts w:hint="default" w:ascii="Times New Roman" w:hAnsi="Times New Roman" w:eastAsia="宋体" w:cs="Times New Roman"/>
          <w:b/>
          <w:color w:val="auto"/>
          <w:kern w:val="2"/>
          <w:sz w:val="24"/>
          <w:szCs w:val="24"/>
          <w:highlight w:val="none"/>
        </w:rPr>
      </w:pPr>
      <w:r>
        <w:rPr>
          <w:rFonts w:hint="default" w:ascii="Times New Roman" w:hAnsi="Times New Roman" w:eastAsia="宋体" w:cs="Times New Roman"/>
          <w:b/>
          <w:color w:val="auto"/>
          <w:kern w:val="2"/>
          <w:sz w:val="24"/>
          <w:szCs w:val="24"/>
          <w:highlight w:val="none"/>
        </w:rPr>
        <w:t>表2-4 本项目环境敏感目标调查情况表</w:t>
      </w:r>
    </w:p>
    <w:tbl>
      <w:tblPr>
        <w:tblStyle w:val="29"/>
        <w:tblW w:w="508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15" w:type="dxa"/>
          <w:left w:w="15" w:type="dxa"/>
          <w:bottom w:w="15" w:type="dxa"/>
          <w:right w:w="15" w:type="dxa"/>
        </w:tblCellMar>
      </w:tblPr>
      <w:tblGrid>
        <w:gridCol w:w="1176"/>
        <w:gridCol w:w="1349"/>
        <w:gridCol w:w="1247"/>
        <w:gridCol w:w="1162"/>
        <w:gridCol w:w="694"/>
        <w:gridCol w:w="835"/>
        <w:gridCol w:w="1035"/>
        <w:gridCol w:w="981"/>
      </w:tblGrid>
      <w:tr w14:paraId="2EE4F4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90" w:hRule="atLeast"/>
          <w:jc w:val="center"/>
        </w:trPr>
        <w:tc>
          <w:tcPr>
            <w:tcW w:w="694" w:type="pct"/>
            <w:vMerge w:val="restart"/>
            <w:tcBorders>
              <w:tl2br w:val="nil"/>
              <w:tr2bl w:val="nil"/>
            </w:tcBorders>
            <w:shd w:val="clear" w:color="auto" w:fill="auto"/>
            <w:noWrap w:val="0"/>
            <w:vAlign w:val="center"/>
          </w:tcPr>
          <w:p w14:paraId="2F01C925">
            <w:pPr>
              <w:pStyle w:val="86"/>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名称</w:t>
            </w:r>
          </w:p>
        </w:tc>
        <w:tc>
          <w:tcPr>
            <w:tcW w:w="1530" w:type="pct"/>
            <w:gridSpan w:val="2"/>
            <w:tcBorders>
              <w:tl2br w:val="nil"/>
              <w:tr2bl w:val="nil"/>
            </w:tcBorders>
            <w:shd w:val="clear" w:color="auto" w:fill="FFFFFF"/>
            <w:noWrap w:val="0"/>
            <w:vAlign w:val="center"/>
          </w:tcPr>
          <w:p w14:paraId="04BCA28A">
            <w:pPr>
              <w:pStyle w:val="86"/>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坐标</w:t>
            </w:r>
          </w:p>
        </w:tc>
        <w:tc>
          <w:tcPr>
            <w:tcW w:w="685" w:type="pct"/>
            <w:vMerge w:val="restart"/>
            <w:tcBorders>
              <w:tl2br w:val="nil"/>
              <w:tr2bl w:val="nil"/>
            </w:tcBorders>
            <w:shd w:val="clear" w:color="auto" w:fill="FFFFFF"/>
            <w:noWrap w:val="0"/>
            <w:vAlign w:val="center"/>
          </w:tcPr>
          <w:p w14:paraId="6C5C2BF2">
            <w:pPr>
              <w:pStyle w:val="86"/>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保护对象</w:t>
            </w:r>
          </w:p>
        </w:tc>
        <w:tc>
          <w:tcPr>
            <w:tcW w:w="409" w:type="pct"/>
            <w:vMerge w:val="restart"/>
            <w:tcBorders>
              <w:tl2br w:val="nil"/>
              <w:tr2bl w:val="nil"/>
            </w:tcBorders>
            <w:shd w:val="clear" w:color="auto" w:fill="FFFFFF"/>
            <w:noWrap w:val="0"/>
            <w:vAlign w:val="center"/>
          </w:tcPr>
          <w:p w14:paraId="09B80123">
            <w:pPr>
              <w:pStyle w:val="86"/>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保护内容</w:t>
            </w:r>
          </w:p>
        </w:tc>
        <w:tc>
          <w:tcPr>
            <w:tcW w:w="492" w:type="pct"/>
            <w:vMerge w:val="restart"/>
            <w:tcBorders>
              <w:tl2br w:val="nil"/>
              <w:tr2bl w:val="nil"/>
            </w:tcBorders>
            <w:shd w:val="clear" w:color="auto" w:fill="FFFFFF"/>
            <w:noWrap w:val="0"/>
            <w:vAlign w:val="center"/>
          </w:tcPr>
          <w:p w14:paraId="760B0D2E">
            <w:pPr>
              <w:pStyle w:val="86"/>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环境功能区</w:t>
            </w:r>
          </w:p>
        </w:tc>
        <w:tc>
          <w:tcPr>
            <w:tcW w:w="610" w:type="pct"/>
            <w:vMerge w:val="restart"/>
            <w:tcBorders>
              <w:tl2br w:val="nil"/>
              <w:tr2bl w:val="nil"/>
            </w:tcBorders>
            <w:shd w:val="clear" w:color="auto" w:fill="FFFFFF"/>
            <w:noWrap w:val="0"/>
            <w:vAlign w:val="center"/>
          </w:tcPr>
          <w:p w14:paraId="3A74D96F">
            <w:pPr>
              <w:pStyle w:val="86"/>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相对厂址方位</w:t>
            </w:r>
          </w:p>
        </w:tc>
        <w:tc>
          <w:tcPr>
            <w:tcW w:w="578" w:type="pct"/>
            <w:vMerge w:val="restart"/>
            <w:tcBorders>
              <w:tl2br w:val="nil"/>
              <w:tr2bl w:val="nil"/>
            </w:tcBorders>
            <w:shd w:val="clear" w:color="auto" w:fill="FFFFFF"/>
            <w:noWrap w:val="0"/>
            <w:vAlign w:val="center"/>
          </w:tcPr>
          <w:p w14:paraId="331462C0">
            <w:pPr>
              <w:pStyle w:val="86"/>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相对厂界距离/m</w:t>
            </w:r>
          </w:p>
        </w:tc>
      </w:tr>
      <w:tr w14:paraId="0F365B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90" w:hRule="atLeast"/>
          <w:jc w:val="center"/>
        </w:trPr>
        <w:tc>
          <w:tcPr>
            <w:tcW w:w="694" w:type="pct"/>
            <w:vMerge w:val="continue"/>
            <w:tcBorders>
              <w:tl2br w:val="nil"/>
              <w:tr2bl w:val="nil"/>
            </w:tcBorders>
            <w:shd w:val="clear" w:color="auto" w:fill="auto"/>
            <w:noWrap w:val="0"/>
            <w:vAlign w:val="center"/>
          </w:tcPr>
          <w:p w14:paraId="7D27DAA2">
            <w:pPr>
              <w:pStyle w:val="86"/>
              <w:bidi w:val="0"/>
              <w:rPr>
                <w:rFonts w:hint="default" w:ascii="Times New Roman" w:hAnsi="Times New Roman" w:eastAsia="宋体" w:cs="Times New Roman"/>
                <w:color w:val="auto"/>
                <w:highlight w:val="none"/>
                <w:lang w:eastAsia="zh-CN"/>
              </w:rPr>
            </w:pPr>
          </w:p>
        </w:tc>
        <w:tc>
          <w:tcPr>
            <w:tcW w:w="795" w:type="pct"/>
            <w:tcBorders>
              <w:tl2br w:val="nil"/>
              <w:tr2bl w:val="nil"/>
            </w:tcBorders>
            <w:shd w:val="clear" w:color="auto" w:fill="FFFFFF"/>
            <w:noWrap w:val="0"/>
            <w:vAlign w:val="center"/>
          </w:tcPr>
          <w:p w14:paraId="261D89D8">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经度</w:t>
            </w:r>
          </w:p>
        </w:tc>
        <w:tc>
          <w:tcPr>
            <w:tcW w:w="734" w:type="pct"/>
            <w:tcBorders>
              <w:tl2br w:val="nil"/>
              <w:tr2bl w:val="nil"/>
            </w:tcBorders>
            <w:shd w:val="clear" w:color="auto" w:fill="FFFFFF"/>
            <w:noWrap w:val="0"/>
            <w:vAlign w:val="center"/>
          </w:tcPr>
          <w:p w14:paraId="302E4199">
            <w:pPr>
              <w:pStyle w:val="86"/>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纬度</w:t>
            </w:r>
          </w:p>
        </w:tc>
        <w:tc>
          <w:tcPr>
            <w:tcW w:w="685" w:type="pct"/>
            <w:vMerge w:val="continue"/>
            <w:tcBorders>
              <w:tl2br w:val="nil"/>
              <w:tr2bl w:val="nil"/>
            </w:tcBorders>
            <w:shd w:val="clear" w:color="auto" w:fill="FFFFFF"/>
            <w:noWrap w:val="0"/>
            <w:vAlign w:val="center"/>
          </w:tcPr>
          <w:p w14:paraId="4A97FC88">
            <w:pPr>
              <w:pStyle w:val="86"/>
              <w:bidi w:val="0"/>
              <w:rPr>
                <w:rFonts w:hint="default" w:ascii="Times New Roman" w:hAnsi="Times New Roman" w:eastAsia="宋体" w:cs="Times New Roman"/>
                <w:color w:val="auto"/>
                <w:highlight w:val="none"/>
                <w:lang w:eastAsia="zh-CN"/>
              </w:rPr>
            </w:pPr>
          </w:p>
        </w:tc>
        <w:tc>
          <w:tcPr>
            <w:tcW w:w="409" w:type="pct"/>
            <w:vMerge w:val="continue"/>
            <w:tcBorders>
              <w:tl2br w:val="nil"/>
              <w:tr2bl w:val="nil"/>
            </w:tcBorders>
            <w:shd w:val="clear" w:color="auto" w:fill="FFFFFF"/>
            <w:noWrap w:val="0"/>
            <w:vAlign w:val="center"/>
          </w:tcPr>
          <w:p w14:paraId="5AAEFCC4">
            <w:pPr>
              <w:pStyle w:val="86"/>
              <w:bidi w:val="0"/>
              <w:rPr>
                <w:rFonts w:hint="default" w:ascii="Times New Roman" w:hAnsi="Times New Roman" w:eastAsia="宋体" w:cs="Times New Roman"/>
                <w:color w:val="auto"/>
                <w:highlight w:val="none"/>
                <w:lang w:eastAsia="zh-CN"/>
              </w:rPr>
            </w:pPr>
          </w:p>
        </w:tc>
        <w:tc>
          <w:tcPr>
            <w:tcW w:w="492" w:type="pct"/>
            <w:vMerge w:val="continue"/>
            <w:tcBorders>
              <w:tl2br w:val="nil"/>
              <w:tr2bl w:val="nil"/>
            </w:tcBorders>
            <w:shd w:val="clear" w:color="auto" w:fill="FFFFFF"/>
            <w:noWrap w:val="0"/>
            <w:vAlign w:val="center"/>
          </w:tcPr>
          <w:p w14:paraId="5AF06A74">
            <w:pPr>
              <w:pStyle w:val="86"/>
              <w:bidi w:val="0"/>
              <w:rPr>
                <w:rFonts w:hint="default" w:ascii="Times New Roman" w:hAnsi="Times New Roman" w:eastAsia="宋体" w:cs="Times New Roman"/>
                <w:color w:val="auto"/>
                <w:highlight w:val="none"/>
                <w:lang w:eastAsia="zh-CN"/>
              </w:rPr>
            </w:pPr>
          </w:p>
        </w:tc>
        <w:tc>
          <w:tcPr>
            <w:tcW w:w="610" w:type="pct"/>
            <w:vMerge w:val="continue"/>
            <w:tcBorders>
              <w:tl2br w:val="nil"/>
              <w:tr2bl w:val="nil"/>
            </w:tcBorders>
            <w:shd w:val="clear" w:color="auto" w:fill="FFFFFF"/>
            <w:noWrap w:val="0"/>
            <w:vAlign w:val="center"/>
          </w:tcPr>
          <w:p w14:paraId="434EB3BE">
            <w:pPr>
              <w:pStyle w:val="86"/>
              <w:bidi w:val="0"/>
              <w:rPr>
                <w:rFonts w:hint="default" w:ascii="Times New Roman" w:hAnsi="Times New Roman" w:eastAsia="宋体" w:cs="Times New Roman"/>
                <w:color w:val="auto"/>
                <w:highlight w:val="none"/>
                <w:lang w:eastAsia="zh-CN"/>
              </w:rPr>
            </w:pPr>
          </w:p>
        </w:tc>
        <w:tc>
          <w:tcPr>
            <w:tcW w:w="578" w:type="pct"/>
            <w:vMerge w:val="continue"/>
            <w:tcBorders>
              <w:tl2br w:val="nil"/>
              <w:tr2bl w:val="nil"/>
            </w:tcBorders>
            <w:shd w:val="clear" w:color="auto" w:fill="FFFFFF"/>
            <w:noWrap w:val="0"/>
            <w:vAlign w:val="center"/>
          </w:tcPr>
          <w:p w14:paraId="03F438C4">
            <w:pPr>
              <w:pStyle w:val="86"/>
              <w:bidi w:val="0"/>
              <w:rPr>
                <w:rFonts w:hint="default" w:ascii="Times New Roman" w:hAnsi="Times New Roman" w:eastAsia="宋体" w:cs="Times New Roman"/>
                <w:color w:val="auto"/>
                <w:highlight w:val="none"/>
                <w:lang w:eastAsia="zh-CN"/>
              </w:rPr>
            </w:pPr>
          </w:p>
        </w:tc>
      </w:tr>
      <w:tr w14:paraId="6730FC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90" w:hRule="atLeast"/>
          <w:jc w:val="center"/>
        </w:trPr>
        <w:tc>
          <w:tcPr>
            <w:tcW w:w="694" w:type="pct"/>
            <w:tcBorders>
              <w:tl2br w:val="nil"/>
              <w:tr2bl w:val="nil"/>
            </w:tcBorders>
            <w:shd w:val="clear" w:color="auto" w:fill="auto"/>
            <w:noWrap w:val="0"/>
            <w:vAlign w:val="center"/>
          </w:tcPr>
          <w:p w14:paraId="185AD1BE">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双兴村</w:t>
            </w:r>
          </w:p>
        </w:tc>
        <w:tc>
          <w:tcPr>
            <w:tcW w:w="795" w:type="pct"/>
            <w:tcBorders>
              <w:tl2br w:val="nil"/>
              <w:tr2bl w:val="nil"/>
            </w:tcBorders>
            <w:shd w:val="clear" w:color="auto" w:fill="FFFFFF"/>
            <w:noWrap w:val="0"/>
            <w:vAlign w:val="center"/>
          </w:tcPr>
          <w:p w14:paraId="3F36371B">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130.741768</w:t>
            </w:r>
          </w:p>
        </w:tc>
        <w:tc>
          <w:tcPr>
            <w:tcW w:w="734" w:type="pct"/>
            <w:tcBorders>
              <w:tl2br w:val="nil"/>
              <w:tr2bl w:val="nil"/>
            </w:tcBorders>
            <w:shd w:val="clear" w:color="auto" w:fill="FFFFFF"/>
            <w:noWrap w:val="0"/>
            <w:vAlign w:val="center"/>
          </w:tcPr>
          <w:p w14:paraId="08C2B34F">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46.986224</w:t>
            </w:r>
          </w:p>
        </w:tc>
        <w:tc>
          <w:tcPr>
            <w:tcW w:w="685" w:type="pct"/>
            <w:tcBorders>
              <w:tl2br w:val="nil"/>
              <w:tr2bl w:val="nil"/>
            </w:tcBorders>
            <w:shd w:val="clear" w:color="auto" w:fill="FFFFFF"/>
            <w:noWrap w:val="0"/>
            <w:vAlign w:val="center"/>
          </w:tcPr>
          <w:p w14:paraId="4817BC81">
            <w:pPr>
              <w:pStyle w:val="86"/>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居住区</w:t>
            </w:r>
          </w:p>
        </w:tc>
        <w:tc>
          <w:tcPr>
            <w:tcW w:w="409" w:type="pct"/>
            <w:tcBorders>
              <w:tl2br w:val="nil"/>
              <w:tr2bl w:val="nil"/>
            </w:tcBorders>
            <w:shd w:val="clear" w:color="auto" w:fill="FFFFFF"/>
            <w:noWrap w:val="0"/>
            <w:vAlign w:val="center"/>
          </w:tcPr>
          <w:p w14:paraId="08B11A05">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人群</w:t>
            </w:r>
          </w:p>
        </w:tc>
        <w:tc>
          <w:tcPr>
            <w:tcW w:w="492" w:type="pct"/>
            <w:vMerge w:val="restart"/>
            <w:tcBorders>
              <w:tl2br w:val="nil"/>
              <w:tr2bl w:val="nil"/>
            </w:tcBorders>
            <w:shd w:val="clear" w:color="auto" w:fill="FFFFFF"/>
            <w:noWrap w:val="0"/>
            <w:vAlign w:val="center"/>
          </w:tcPr>
          <w:p w14:paraId="65025801">
            <w:pPr>
              <w:pStyle w:val="86"/>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二类区</w:t>
            </w:r>
          </w:p>
        </w:tc>
        <w:tc>
          <w:tcPr>
            <w:tcW w:w="610" w:type="pct"/>
            <w:tcBorders>
              <w:tl2br w:val="nil"/>
              <w:tr2bl w:val="nil"/>
            </w:tcBorders>
            <w:shd w:val="clear" w:color="auto" w:fill="FFFFFF"/>
            <w:noWrap w:val="0"/>
            <w:vAlign w:val="center"/>
          </w:tcPr>
          <w:p w14:paraId="52097BAB">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S</w:t>
            </w:r>
            <w:r>
              <w:rPr>
                <w:rFonts w:hint="default" w:ascii="Times New Roman" w:hAnsi="Times New Roman" w:eastAsia="宋体" w:cs="Times New Roman"/>
                <w:color w:val="auto"/>
                <w:highlight w:val="none"/>
                <w:lang w:val="en-US" w:eastAsia="zh-CN"/>
              </w:rPr>
              <w:t>E</w:t>
            </w:r>
          </w:p>
        </w:tc>
        <w:tc>
          <w:tcPr>
            <w:tcW w:w="578" w:type="pct"/>
            <w:tcBorders>
              <w:tl2br w:val="nil"/>
              <w:tr2bl w:val="nil"/>
            </w:tcBorders>
            <w:shd w:val="clear" w:color="auto" w:fill="FFFFFF"/>
            <w:noWrap w:val="0"/>
            <w:vAlign w:val="center"/>
          </w:tcPr>
          <w:p w14:paraId="2177867C">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18</w:t>
            </w:r>
            <w:r>
              <w:rPr>
                <w:rFonts w:hint="default" w:ascii="Times New Roman" w:hAnsi="Times New Roman" w:eastAsia="宋体" w:cs="Times New Roman"/>
                <w:color w:val="auto"/>
                <w:highlight w:val="none"/>
                <w:lang w:val="en-US" w:eastAsia="zh-CN"/>
              </w:rPr>
              <w:t>00</w:t>
            </w:r>
          </w:p>
        </w:tc>
      </w:tr>
      <w:tr w14:paraId="03D167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90" w:hRule="atLeast"/>
          <w:jc w:val="center"/>
        </w:trPr>
        <w:tc>
          <w:tcPr>
            <w:tcW w:w="694" w:type="pct"/>
            <w:tcBorders>
              <w:tl2br w:val="nil"/>
              <w:tr2bl w:val="nil"/>
            </w:tcBorders>
            <w:shd w:val="clear" w:color="auto" w:fill="auto"/>
            <w:noWrap w:val="0"/>
            <w:vAlign w:val="center"/>
          </w:tcPr>
          <w:p w14:paraId="3BD618AC">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朱家村</w:t>
            </w:r>
          </w:p>
        </w:tc>
        <w:tc>
          <w:tcPr>
            <w:tcW w:w="795" w:type="pct"/>
            <w:tcBorders>
              <w:tl2br w:val="nil"/>
              <w:tr2bl w:val="nil"/>
            </w:tcBorders>
            <w:shd w:val="clear" w:color="auto" w:fill="FFFFFF"/>
            <w:noWrap w:val="0"/>
            <w:vAlign w:val="center"/>
          </w:tcPr>
          <w:p w14:paraId="70551E17">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130.753613</w:t>
            </w:r>
          </w:p>
        </w:tc>
        <w:tc>
          <w:tcPr>
            <w:tcW w:w="734" w:type="pct"/>
            <w:tcBorders>
              <w:tl2br w:val="nil"/>
              <w:tr2bl w:val="nil"/>
            </w:tcBorders>
            <w:shd w:val="clear" w:color="auto" w:fill="FFFFFF"/>
            <w:noWrap w:val="0"/>
            <w:vAlign w:val="center"/>
          </w:tcPr>
          <w:p w14:paraId="340CFB15">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46.958582</w:t>
            </w:r>
          </w:p>
        </w:tc>
        <w:tc>
          <w:tcPr>
            <w:tcW w:w="685" w:type="pct"/>
            <w:tcBorders>
              <w:tl2br w:val="nil"/>
              <w:tr2bl w:val="nil"/>
            </w:tcBorders>
            <w:shd w:val="clear" w:color="auto" w:fill="FFFFFF"/>
            <w:noWrap w:val="0"/>
            <w:vAlign w:val="center"/>
          </w:tcPr>
          <w:p w14:paraId="1E717E36">
            <w:pPr>
              <w:pStyle w:val="86"/>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居住区</w:t>
            </w:r>
          </w:p>
        </w:tc>
        <w:tc>
          <w:tcPr>
            <w:tcW w:w="409" w:type="pct"/>
            <w:tcBorders>
              <w:tl2br w:val="nil"/>
              <w:tr2bl w:val="nil"/>
            </w:tcBorders>
            <w:shd w:val="clear" w:color="auto" w:fill="FFFFFF"/>
            <w:noWrap w:val="0"/>
            <w:vAlign w:val="center"/>
          </w:tcPr>
          <w:p w14:paraId="71C97094">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人群</w:t>
            </w:r>
          </w:p>
        </w:tc>
        <w:tc>
          <w:tcPr>
            <w:tcW w:w="492" w:type="pct"/>
            <w:vMerge w:val="continue"/>
            <w:tcBorders>
              <w:tl2br w:val="nil"/>
              <w:tr2bl w:val="nil"/>
            </w:tcBorders>
            <w:shd w:val="clear" w:color="auto" w:fill="FFFFFF"/>
            <w:noWrap w:val="0"/>
            <w:vAlign w:val="center"/>
          </w:tcPr>
          <w:p w14:paraId="769FE511">
            <w:pPr>
              <w:pStyle w:val="86"/>
              <w:bidi w:val="0"/>
              <w:rPr>
                <w:rFonts w:hint="default" w:ascii="Times New Roman" w:hAnsi="Times New Roman" w:eastAsia="宋体" w:cs="Times New Roman"/>
                <w:color w:val="auto"/>
                <w:highlight w:val="none"/>
                <w:lang w:eastAsia="zh-CN"/>
              </w:rPr>
            </w:pPr>
          </w:p>
        </w:tc>
        <w:tc>
          <w:tcPr>
            <w:tcW w:w="610" w:type="pct"/>
            <w:tcBorders>
              <w:tl2br w:val="nil"/>
              <w:tr2bl w:val="nil"/>
            </w:tcBorders>
            <w:shd w:val="clear" w:color="auto" w:fill="FFFFFF"/>
            <w:noWrap w:val="0"/>
            <w:vAlign w:val="center"/>
          </w:tcPr>
          <w:p w14:paraId="41C67835">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SE</w:t>
            </w:r>
          </w:p>
        </w:tc>
        <w:tc>
          <w:tcPr>
            <w:tcW w:w="578" w:type="pct"/>
            <w:tcBorders>
              <w:tl2br w:val="nil"/>
              <w:tr2bl w:val="nil"/>
            </w:tcBorders>
            <w:shd w:val="clear" w:color="auto" w:fill="FFFFFF"/>
            <w:noWrap w:val="0"/>
            <w:vAlign w:val="center"/>
          </w:tcPr>
          <w:p w14:paraId="40596C0C">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46</w:t>
            </w:r>
            <w:r>
              <w:rPr>
                <w:rFonts w:hint="default" w:ascii="Times New Roman" w:hAnsi="Times New Roman" w:eastAsia="宋体" w:cs="Times New Roman"/>
                <w:color w:val="auto"/>
                <w:highlight w:val="none"/>
                <w:lang w:val="en-US" w:eastAsia="zh-CN"/>
              </w:rPr>
              <w:t>20</w:t>
            </w:r>
          </w:p>
        </w:tc>
      </w:tr>
      <w:tr w14:paraId="528739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90" w:hRule="atLeast"/>
          <w:jc w:val="center"/>
        </w:trPr>
        <w:tc>
          <w:tcPr>
            <w:tcW w:w="694" w:type="pct"/>
            <w:tcBorders>
              <w:tl2br w:val="nil"/>
              <w:tr2bl w:val="nil"/>
            </w:tcBorders>
            <w:shd w:val="clear" w:color="auto" w:fill="auto"/>
            <w:noWrap w:val="0"/>
            <w:vAlign w:val="center"/>
          </w:tcPr>
          <w:p w14:paraId="5D67A48E">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桦树村</w:t>
            </w:r>
          </w:p>
        </w:tc>
        <w:tc>
          <w:tcPr>
            <w:tcW w:w="795" w:type="pct"/>
            <w:tcBorders>
              <w:tl2br w:val="nil"/>
              <w:tr2bl w:val="nil"/>
            </w:tcBorders>
            <w:shd w:val="clear" w:color="auto" w:fill="FFFFFF"/>
            <w:noWrap w:val="0"/>
            <w:vAlign w:val="center"/>
          </w:tcPr>
          <w:p w14:paraId="5F77E66B">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130.719109</w:t>
            </w:r>
          </w:p>
        </w:tc>
        <w:tc>
          <w:tcPr>
            <w:tcW w:w="734" w:type="pct"/>
            <w:tcBorders>
              <w:tl2br w:val="nil"/>
              <w:tr2bl w:val="nil"/>
            </w:tcBorders>
            <w:shd w:val="clear" w:color="auto" w:fill="FFFFFF"/>
            <w:noWrap w:val="0"/>
            <w:vAlign w:val="center"/>
          </w:tcPr>
          <w:p w14:paraId="67C04AD3">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46.987864</w:t>
            </w:r>
          </w:p>
        </w:tc>
        <w:tc>
          <w:tcPr>
            <w:tcW w:w="685" w:type="pct"/>
            <w:tcBorders>
              <w:tl2br w:val="nil"/>
              <w:tr2bl w:val="nil"/>
            </w:tcBorders>
            <w:shd w:val="clear" w:color="auto" w:fill="FFFFFF"/>
            <w:noWrap w:val="0"/>
            <w:vAlign w:val="center"/>
          </w:tcPr>
          <w:p w14:paraId="5B8322ED">
            <w:pPr>
              <w:pStyle w:val="86"/>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居住区</w:t>
            </w:r>
          </w:p>
        </w:tc>
        <w:tc>
          <w:tcPr>
            <w:tcW w:w="409" w:type="pct"/>
            <w:tcBorders>
              <w:tl2br w:val="nil"/>
              <w:tr2bl w:val="nil"/>
            </w:tcBorders>
            <w:shd w:val="clear" w:color="auto" w:fill="FFFFFF"/>
            <w:noWrap w:val="0"/>
            <w:vAlign w:val="center"/>
          </w:tcPr>
          <w:p w14:paraId="63AB4A82">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人群</w:t>
            </w:r>
          </w:p>
        </w:tc>
        <w:tc>
          <w:tcPr>
            <w:tcW w:w="492" w:type="pct"/>
            <w:vMerge w:val="continue"/>
            <w:tcBorders>
              <w:tl2br w:val="nil"/>
              <w:tr2bl w:val="nil"/>
            </w:tcBorders>
            <w:shd w:val="clear" w:color="auto" w:fill="FFFFFF"/>
            <w:noWrap w:val="0"/>
            <w:vAlign w:val="center"/>
          </w:tcPr>
          <w:p w14:paraId="5C039A83">
            <w:pPr>
              <w:pStyle w:val="86"/>
              <w:bidi w:val="0"/>
              <w:rPr>
                <w:rFonts w:hint="default" w:ascii="Times New Roman" w:hAnsi="Times New Roman" w:eastAsia="宋体" w:cs="Times New Roman"/>
                <w:color w:val="auto"/>
                <w:highlight w:val="none"/>
                <w:lang w:eastAsia="zh-CN"/>
              </w:rPr>
            </w:pPr>
          </w:p>
        </w:tc>
        <w:tc>
          <w:tcPr>
            <w:tcW w:w="610" w:type="pct"/>
            <w:tcBorders>
              <w:tl2br w:val="nil"/>
              <w:tr2bl w:val="nil"/>
            </w:tcBorders>
            <w:shd w:val="clear" w:color="auto" w:fill="FFFFFF"/>
            <w:noWrap w:val="0"/>
            <w:vAlign w:val="center"/>
          </w:tcPr>
          <w:p w14:paraId="48924547">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S</w:t>
            </w:r>
            <w:r>
              <w:rPr>
                <w:rFonts w:hint="default" w:ascii="Times New Roman" w:hAnsi="Times New Roman" w:cs="Times New Roman"/>
                <w:color w:val="auto"/>
                <w:highlight w:val="none"/>
                <w:lang w:val="en-US" w:eastAsia="zh-CN"/>
              </w:rPr>
              <w:t>W</w:t>
            </w:r>
          </w:p>
        </w:tc>
        <w:tc>
          <w:tcPr>
            <w:tcW w:w="578" w:type="pct"/>
            <w:tcBorders>
              <w:tl2br w:val="nil"/>
              <w:tr2bl w:val="nil"/>
            </w:tcBorders>
            <w:shd w:val="clear" w:color="auto" w:fill="FFFFFF"/>
            <w:noWrap w:val="0"/>
            <w:vAlign w:val="center"/>
          </w:tcPr>
          <w:p w14:paraId="350CFC3E">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880</w:t>
            </w:r>
          </w:p>
        </w:tc>
      </w:tr>
      <w:tr w14:paraId="719152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90" w:hRule="atLeast"/>
          <w:jc w:val="center"/>
        </w:trPr>
        <w:tc>
          <w:tcPr>
            <w:tcW w:w="694" w:type="pct"/>
            <w:tcBorders>
              <w:tl2br w:val="nil"/>
              <w:tr2bl w:val="nil"/>
            </w:tcBorders>
            <w:shd w:val="clear" w:color="auto" w:fill="auto"/>
            <w:noWrap w:val="0"/>
            <w:vAlign w:val="center"/>
          </w:tcPr>
          <w:p w14:paraId="06122332">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万升村</w:t>
            </w:r>
          </w:p>
        </w:tc>
        <w:tc>
          <w:tcPr>
            <w:tcW w:w="795" w:type="pct"/>
            <w:tcBorders>
              <w:tl2br w:val="nil"/>
              <w:tr2bl w:val="nil"/>
            </w:tcBorders>
            <w:shd w:val="clear" w:color="auto" w:fill="FFFFFF"/>
            <w:noWrap w:val="0"/>
            <w:vAlign w:val="center"/>
          </w:tcPr>
          <w:p w14:paraId="0CA13716">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130.696449</w:t>
            </w:r>
          </w:p>
        </w:tc>
        <w:tc>
          <w:tcPr>
            <w:tcW w:w="734" w:type="pct"/>
            <w:tcBorders>
              <w:tl2br w:val="nil"/>
              <w:tr2bl w:val="nil"/>
            </w:tcBorders>
            <w:shd w:val="clear" w:color="auto" w:fill="FFFFFF"/>
            <w:noWrap w:val="0"/>
            <w:vAlign w:val="center"/>
          </w:tcPr>
          <w:p w14:paraId="417BAF12">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46.973342</w:t>
            </w:r>
          </w:p>
        </w:tc>
        <w:tc>
          <w:tcPr>
            <w:tcW w:w="685" w:type="pct"/>
            <w:tcBorders>
              <w:tl2br w:val="nil"/>
              <w:tr2bl w:val="nil"/>
            </w:tcBorders>
            <w:shd w:val="clear" w:color="auto" w:fill="FFFFFF"/>
            <w:noWrap w:val="0"/>
            <w:vAlign w:val="center"/>
          </w:tcPr>
          <w:p w14:paraId="19B3F4F7">
            <w:pPr>
              <w:pStyle w:val="86"/>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居住区</w:t>
            </w:r>
          </w:p>
        </w:tc>
        <w:tc>
          <w:tcPr>
            <w:tcW w:w="409" w:type="pct"/>
            <w:tcBorders>
              <w:tl2br w:val="nil"/>
              <w:tr2bl w:val="nil"/>
            </w:tcBorders>
            <w:shd w:val="clear" w:color="auto" w:fill="FFFFFF"/>
            <w:noWrap w:val="0"/>
            <w:vAlign w:val="center"/>
          </w:tcPr>
          <w:p w14:paraId="712B8721">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人群</w:t>
            </w:r>
          </w:p>
        </w:tc>
        <w:tc>
          <w:tcPr>
            <w:tcW w:w="492" w:type="pct"/>
            <w:vMerge w:val="continue"/>
            <w:tcBorders>
              <w:tl2br w:val="nil"/>
              <w:tr2bl w:val="nil"/>
            </w:tcBorders>
            <w:shd w:val="clear" w:color="auto" w:fill="FFFFFF"/>
            <w:noWrap w:val="0"/>
            <w:vAlign w:val="center"/>
          </w:tcPr>
          <w:p w14:paraId="49F99AA6">
            <w:pPr>
              <w:pStyle w:val="86"/>
              <w:bidi w:val="0"/>
              <w:rPr>
                <w:rFonts w:hint="default" w:ascii="Times New Roman" w:hAnsi="Times New Roman" w:eastAsia="宋体" w:cs="Times New Roman"/>
                <w:color w:val="auto"/>
                <w:highlight w:val="none"/>
                <w:lang w:eastAsia="zh-CN"/>
              </w:rPr>
            </w:pPr>
          </w:p>
        </w:tc>
        <w:tc>
          <w:tcPr>
            <w:tcW w:w="610" w:type="pct"/>
            <w:tcBorders>
              <w:tl2br w:val="nil"/>
              <w:tr2bl w:val="nil"/>
            </w:tcBorders>
            <w:shd w:val="clear" w:color="auto" w:fill="FFFFFF"/>
            <w:noWrap w:val="0"/>
            <w:vAlign w:val="center"/>
          </w:tcPr>
          <w:p w14:paraId="2D700136">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S</w:t>
            </w:r>
            <w:r>
              <w:rPr>
                <w:rFonts w:hint="default" w:ascii="Times New Roman" w:hAnsi="Times New Roman" w:cs="Times New Roman"/>
                <w:color w:val="auto"/>
                <w:highlight w:val="none"/>
                <w:lang w:val="en-US" w:eastAsia="zh-CN"/>
              </w:rPr>
              <w:t>W</w:t>
            </w:r>
          </w:p>
        </w:tc>
        <w:tc>
          <w:tcPr>
            <w:tcW w:w="578" w:type="pct"/>
            <w:tcBorders>
              <w:tl2br w:val="nil"/>
              <w:tr2bl w:val="nil"/>
            </w:tcBorders>
            <w:shd w:val="clear" w:color="auto" w:fill="FFFFFF"/>
            <w:noWrap w:val="0"/>
            <w:vAlign w:val="center"/>
          </w:tcPr>
          <w:p w14:paraId="40A5AF32">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3100</w:t>
            </w:r>
          </w:p>
        </w:tc>
      </w:tr>
      <w:tr w14:paraId="641109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90" w:hRule="atLeast"/>
          <w:jc w:val="center"/>
        </w:trPr>
        <w:tc>
          <w:tcPr>
            <w:tcW w:w="694" w:type="pct"/>
            <w:tcBorders>
              <w:tl2br w:val="nil"/>
              <w:tr2bl w:val="nil"/>
            </w:tcBorders>
            <w:shd w:val="clear" w:color="auto" w:fill="auto"/>
            <w:noWrap w:val="0"/>
            <w:vAlign w:val="center"/>
          </w:tcPr>
          <w:p w14:paraId="7F64C5F7">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丰年村</w:t>
            </w:r>
          </w:p>
        </w:tc>
        <w:tc>
          <w:tcPr>
            <w:tcW w:w="795" w:type="pct"/>
            <w:tcBorders>
              <w:tl2br w:val="nil"/>
              <w:tr2bl w:val="nil"/>
            </w:tcBorders>
            <w:shd w:val="clear" w:color="auto" w:fill="FFFFFF"/>
            <w:noWrap w:val="0"/>
            <w:vAlign w:val="center"/>
          </w:tcPr>
          <w:p w14:paraId="10E5419B">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130.673379</w:t>
            </w:r>
          </w:p>
        </w:tc>
        <w:tc>
          <w:tcPr>
            <w:tcW w:w="734" w:type="pct"/>
            <w:tcBorders>
              <w:tl2br w:val="nil"/>
              <w:tr2bl w:val="nil"/>
            </w:tcBorders>
            <w:shd w:val="clear" w:color="auto" w:fill="FFFFFF"/>
            <w:noWrap w:val="0"/>
            <w:vAlign w:val="center"/>
          </w:tcPr>
          <w:p w14:paraId="52238630">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46.980018</w:t>
            </w:r>
          </w:p>
        </w:tc>
        <w:tc>
          <w:tcPr>
            <w:tcW w:w="685" w:type="pct"/>
            <w:tcBorders>
              <w:tl2br w:val="nil"/>
              <w:tr2bl w:val="nil"/>
            </w:tcBorders>
            <w:shd w:val="clear" w:color="auto" w:fill="FFFFFF"/>
            <w:noWrap w:val="0"/>
            <w:vAlign w:val="center"/>
          </w:tcPr>
          <w:p w14:paraId="2C089405">
            <w:pPr>
              <w:pStyle w:val="86"/>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居住区</w:t>
            </w:r>
          </w:p>
        </w:tc>
        <w:tc>
          <w:tcPr>
            <w:tcW w:w="409" w:type="pct"/>
            <w:tcBorders>
              <w:tl2br w:val="nil"/>
              <w:tr2bl w:val="nil"/>
            </w:tcBorders>
            <w:shd w:val="clear" w:color="auto" w:fill="FFFFFF"/>
            <w:noWrap w:val="0"/>
            <w:vAlign w:val="center"/>
          </w:tcPr>
          <w:p w14:paraId="239CDFB4">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人群</w:t>
            </w:r>
          </w:p>
        </w:tc>
        <w:tc>
          <w:tcPr>
            <w:tcW w:w="492" w:type="pct"/>
            <w:vMerge w:val="continue"/>
            <w:tcBorders>
              <w:tl2br w:val="nil"/>
              <w:tr2bl w:val="nil"/>
            </w:tcBorders>
            <w:shd w:val="clear" w:color="auto" w:fill="FFFFFF"/>
            <w:noWrap w:val="0"/>
            <w:vAlign w:val="center"/>
          </w:tcPr>
          <w:p w14:paraId="3D908BEF">
            <w:pPr>
              <w:pStyle w:val="86"/>
              <w:bidi w:val="0"/>
              <w:rPr>
                <w:rFonts w:hint="default" w:ascii="Times New Roman" w:hAnsi="Times New Roman" w:eastAsia="宋体" w:cs="Times New Roman"/>
                <w:color w:val="auto"/>
                <w:highlight w:val="none"/>
                <w:lang w:eastAsia="zh-CN"/>
              </w:rPr>
            </w:pPr>
          </w:p>
        </w:tc>
        <w:tc>
          <w:tcPr>
            <w:tcW w:w="610" w:type="pct"/>
            <w:tcBorders>
              <w:tl2br w:val="nil"/>
              <w:tr2bl w:val="nil"/>
            </w:tcBorders>
            <w:shd w:val="clear" w:color="auto" w:fill="FFFFFF"/>
            <w:noWrap w:val="0"/>
            <w:vAlign w:val="center"/>
          </w:tcPr>
          <w:p w14:paraId="3DFBBA65">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S</w:t>
            </w:r>
            <w:r>
              <w:rPr>
                <w:rFonts w:hint="default" w:ascii="Times New Roman" w:hAnsi="Times New Roman" w:cs="Times New Roman"/>
                <w:color w:val="auto"/>
                <w:highlight w:val="none"/>
                <w:lang w:val="en-US" w:eastAsia="zh-CN"/>
              </w:rPr>
              <w:t>W</w:t>
            </w:r>
          </w:p>
        </w:tc>
        <w:tc>
          <w:tcPr>
            <w:tcW w:w="578" w:type="pct"/>
            <w:tcBorders>
              <w:tl2br w:val="nil"/>
              <w:tr2bl w:val="nil"/>
            </w:tcBorders>
            <w:shd w:val="clear" w:color="auto" w:fill="FFFFFF"/>
            <w:noWrap w:val="0"/>
            <w:vAlign w:val="center"/>
          </w:tcPr>
          <w:p w14:paraId="0EF12CDA">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3850</w:t>
            </w:r>
          </w:p>
        </w:tc>
      </w:tr>
      <w:tr w14:paraId="393B24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90" w:hRule="atLeast"/>
          <w:jc w:val="center"/>
        </w:trPr>
        <w:tc>
          <w:tcPr>
            <w:tcW w:w="694" w:type="pct"/>
            <w:tcBorders>
              <w:tl2br w:val="nil"/>
              <w:tr2bl w:val="nil"/>
            </w:tcBorders>
            <w:shd w:val="clear" w:color="auto" w:fill="auto"/>
            <w:noWrap w:val="0"/>
            <w:vAlign w:val="center"/>
          </w:tcPr>
          <w:p w14:paraId="53F0BA15">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新发村</w:t>
            </w:r>
          </w:p>
        </w:tc>
        <w:tc>
          <w:tcPr>
            <w:tcW w:w="795" w:type="pct"/>
            <w:tcBorders>
              <w:tl2br w:val="nil"/>
              <w:tr2bl w:val="nil"/>
            </w:tcBorders>
            <w:shd w:val="clear" w:color="auto" w:fill="FFFFFF"/>
            <w:noWrap w:val="0"/>
            <w:vAlign w:val="center"/>
          </w:tcPr>
          <w:p w14:paraId="15D2EFDC">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130.659542</w:t>
            </w:r>
          </w:p>
        </w:tc>
        <w:tc>
          <w:tcPr>
            <w:tcW w:w="734" w:type="pct"/>
            <w:tcBorders>
              <w:tl2br w:val="nil"/>
              <w:tr2bl w:val="nil"/>
            </w:tcBorders>
            <w:shd w:val="clear" w:color="auto" w:fill="FFFFFF"/>
            <w:noWrap w:val="0"/>
            <w:vAlign w:val="center"/>
          </w:tcPr>
          <w:p w14:paraId="6CD4F23E">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46.989035</w:t>
            </w:r>
          </w:p>
        </w:tc>
        <w:tc>
          <w:tcPr>
            <w:tcW w:w="685" w:type="pct"/>
            <w:tcBorders>
              <w:tl2br w:val="nil"/>
              <w:tr2bl w:val="nil"/>
            </w:tcBorders>
            <w:shd w:val="clear" w:color="auto" w:fill="FFFFFF"/>
            <w:noWrap w:val="0"/>
            <w:vAlign w:val="center"/>
          </w:tcPr>
          <w:p w14:paraId="6CD36FFD">
            <w:pPr>
              <w:pStyle w:val="86"/>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居住区</w:t>
            </w:r>
          </w:p>
        </w:tc>
        <w:tc>
          <w:tcPr>
            <w:tcW w:w="409" w:type="pct"/>
            <w:tcBorders>
              <w:tl2br w:val="nil"/>
              <w:tr2bl w:val="nil"/>
            </w:tcBorders>
            <w:shd w:val="clear" w:color="auto" w:fill="FFFFFF"/>
            <w:noWrap w:val="0"/>
            <w:vAlign w:val="center"/>
          </w:tcPr>
          <w:p w14:paraId="7370EBAA">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人群</w:t>
            </w:r>
          </w:p>
        </w:tc>
        <w:tc>
          <w:tcPr>
            <w:tcW w:w="492" w:type="pct"/>
            <w:vMerge w:val="continue"/>
            <w:tcBorders>
              <w:tl2br w:val="nil"/>
              <w:tr2bl w:val="nil"/>
            </w:tcBorders>
            <w:shd w:val="clear" w:color="auto" w:fill="FFFFFF"/>
            <w:noWrap w:val="0"/>
            <w:vAlign w:val="center"/>
          </w:tcPr>
          <w:p w14:paraId="7FBA115E">
            <w:pPr>
              <w:pStyle w:val="86"/>
              <w:bidi w:val="0"/>
              <w:rPr>
                <w:rFonts w:hint="default" w:ascii="Times New Roman" w:hAnsi="Times New Roman" w:eastAsia="宋体" w:cs="Times New Roman"/>
                <w:color w:val="auto"/>
                <w:highlight w:val="none"/>
                <w:lang w:eastAsia="zh-CN"/>
              </w:rPr>
            </w:pPr>
          </w:p>
        </w:tc>
        <w:tc>
          <w:tcPr>
            <w:tcW w:w="610" w:type="pct"/>
            <w:tcBorders>
              <w:tl2br w:val="nil"/>
              <w:tr2bl w:val="nil"/>
            </w:tcBorders>
            <w:shd w:val="clear" w:color="auto" w:fill="FFFFFF"/>
            <w:noWrap w:val="0"/>
            <w:vAlign w:val="center"/>
          </w:tcPr>
          <w:p w14:paraId="4491809F">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w:t>
            </w:r>
          </w:p>
        </w:tc>
        <w:tc>
          <w:tcPr>
            <w:tcW w:w="578" w:type="pct"/>
            <w:tcBorders>
              <w:tl2br w:val="nil"/>
              <w:tr2bl w:val="nil"/>
            </w:tcBorders>
            <w:shd w:val="clear" w:color="auto" w:fill="FFFFFF"/>
            <w:noWrap w:val="0"/>
            <w:vAlign w:val="center"/>
          </w:tcPr>
          <w:p w14:paraId="6FC2B503">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4630</w:t>
            </w:r>
          </w:p>
        </w:tc>
      </w:tr>
      <w:tr w14:paraId="2E375B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90" w:hRule="atLeast"/>
          <w:jc w:val="center"/>
        </w:trPr>
        <w:tc>
          <w:tcPr>
            <w:tcW w:w="694" w:type="pct"/>
            <w:tcBorders>
              <w:tl2br w:val="nil"/>
              <w:tr2bl w:val="nil"/>
            </w:tcBorders>
            <w:shd w:val="clear" w:color="auto" w:fill="auto"/>
            <w:noWrap w:val="0"/>
            <w:vAlign w:val="center"/>
          </w:tcPr>
          <w:p w14:paraId="24AB400D">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永发村</w:t>
            </w:r>
          </w:p>
        </w:tc>
        <w:tc>
          <w:tcPr>
            <w:tcW w:w="795" w:type="pct"/>
            <w:tcBorders>
              <w:tl2br w:val="nil"/>
              <w:tr2bl w:val="nil"/>
            </w:tcBorders>
            <w:shd w:val="clear" w:color="auto" w:fill="FFFFFF"/>
            <w:noWrap w:val="0"/>
            <w:vAlign w:val="center"/>
          </w:tcPr>
          <w:p w14:paraId="228B2F06">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130.686836</w:t>
            </w:r>
          </w:p>
        </w:tc>
        <w:tc>
          <w:tcPr>
            <w:tcW w:w="734" w:type="pct"/>
            <w:tcBorders>
              <w:tl2br w:val="nil"/>
              <w:tr2bl w:val="nil"/>
            </w:tcBorders>
            <w:shd w:val="clear" w:color="auto" w:fill="FFFFFF"/>
            <w:noWrap w:val="0"/>
            <w:vAlign w:val="center"/>
          </w:tcPr>
          <w:p w14:paraId="43342A8D">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47.009929</w:t>
            </w:r>
          </w:p>
        </w:tc>
        <w:tc>
          <w:tcPr>
            <w:tcW w:w="685" w:type="pct"/>
            <w:tcBorders>
              <w:tl2br w:val="nil"/>
              <w:tr2bl w:val="nil"/>
            </w:tcBorders>
            <w:shd w:val="clear" w:color="auto" w:fill="FFFFFF"/>
            <w:noWrap w:val="0"/>
            <w:vAlign w:val="center"/>
          </w:tcPr>
          <w:p w14:paraId="2143391C">
            <w:pPr>
              <w:pStyle w:val="86"/>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居住区</w:t>
            </w:r>
          </w:p>
        </w:tc>
        <w:tc>
          <w:tcPr>
            <w:tcW w:w="409" w:type="pct"/>
            <w:tcBorders>
              <w:tl2br w:val="nil"/>
              <w:tr2bl w:val="nil"/>
            </w:tcBorders>
            <w:shd w:val="clear" w:color="auto" w:fill="FFFFFF"/>
            <w:noWrap w:val="0"/>
            <w:vAlign w:val="center"/>
          </w:tcPr>
          <w:p w14:paraId="1DF44641">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人群</w:t>
            </w:r>
          </w:p>
        </w:tc>
        <w:tc>
          <w:tcPr>
            <w:tcW w:w="492" w:type="pct"/>
            <w:vMerge w:val="continue"/>
            <w:tcBorders>
              <w:tl2br w:val="nil"/>
              <w:tr2bl w:val="nil"/>
            </w:tcBorders>
            <w:shd w:val="clear" w:color="auto" w:fill="FFFFFF"/>
            <w:noWrap w:val="0"/>
            <w:vAlign w:val="center"/>
          </w:tcPr>
          <w:p w14:paraId="6B904BB9">
            <w:pPr>
              <w:pStyle w:val="86"/>
              <w:bidi w:val="0"/>
              <w:rPr>
                <w:rFonts w:hint="default" w:ascii="Times New Roman" w:hAnsi="Times New Roman" w:eastAsia="宋体" w:cs="Times New Roman"/>
                <w:color w:val="auto"/>
                <w:highlight w:val="none"/>
                <w:lang w:eastAsia="zh-CN"/>
              </w:rPr>
            </w:pPr>
          </w:p>
        </w:tc>
        <w:tc>
          <w:tcPr>
            <w:tcW w:w="610" w:type="pct"/>
            <w:tcBorders>
              <w:tl2br w:val="nil"/>
              <w:tr2bl w:val="nil"/>
            </w:tcBorders>
            <w:shd w:val="clear" w:color="auto" w:fill="FFFFFF"/>
            <w:noWrap w:val="0"/>
            <w:vAlign w:val="center"/>
          </w:tcPr>
          <w:p w14:paraId="19F475DC">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N</w:t>
            </w:r>
            <w:r>
              <w:rPr>
                <w:rFonts w:hint="default" w:ascii="Times New Roman" w:hAnsi="Times New Roman" w:eastAsia="宋体" w:cs="Times New Roman"/>
                <w:color w:val="auto"/>
                <w:highlight w:val="none"/>
                <w:lang w:val="en-US" w:eastAsia="zh-CN"/>
              </w:rPr>
              <w:t>W</w:t>
            </w:r>
          </w:p>
        </w:tc>
        <w:tc>
          <w:tcPr>
            <w:tcW w:w="578" w:type="pct"/>
            <w:tcBorders>
              <w:tl2br w:val="nil"/>
              <w:tr2bl w:val="nil"/>
            </w:tcBorders>
            <w:shd w:val="clear" w:color="auto" w:fill="FFFFFF"/>
            <w:noWrap w:val="0"/>
            <w:vAlign w:val="center"/>
          </w:tcPr>
          <w:p w14:paraId="644ACEE0">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26</w:t>
            </w:r>
            <w:r>
              <w:rPr>
                <w:rFonts w:hint="default" w:ascii="Times New Roman" w:hAnsi="Times New Roman" w:eastAsia="宋体" w:cs="Times New Roman"/>
                <w:color w:val="auto"/>
                <w:highlight w:val="none"/>
                <w:lang w:val="en-US" w:eastAsia="zh-CN"/>
              </w:rPr>
              <w:t>40</w:t>
            </w:r>
          </w:p>
        </w:tc>
      </w:tr>
      <w:tr w14:paraId="449524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90" w:hRule="atLeast"/>
          <w:jc w:val="center"/>
        </w:trPr>
        <w:tc>
          <w:tcPr>
            <w:tcW w:w="694" w:type="pct"/>
            <w:tcBorders>
              <w:tl2br w:val="nil"/>
              <w:tr2bl w:val="nil"/>
            </w:tcBorders>
            <w:shd w:val="clear" w:color="auto" w:fill="auto"/>
            <w:noWrap w:val="0"/>
            <w:vAlign w:val="center"/>
          </w:tcPr>
          <w:p w14:paraId="5F800533">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苏苏村</w:t>
            </w:r>
          </w:p>
        </w:tc>
        <w:tc>
          <w:tcPr>
            <w:tcW w:w="795" w:type="pct"/>
            <w:tcBorders>
              <w:tl2br w:val="nil"/>
              <w:tr2bl w:val="nil"/>
            </w:tcBorders>
            <w:shd w:val="clear" w:color="auto" w:fill="FFFFFF"/>
            <w:noWrap w:val="0"/>
            <w:vAlign w:val="center"/>
          </w:tcPr>
          <w:p w14:paraId="1635CB7E">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130.658169</w:t>
            </w:r>
          </w:p>
        </w:tc>
        <w:tc>
          <w:tcPr>
            <w:tcW w:w="734" w:type="pct"/>
            <w:tcBorders>
              <w:tl2br w:val="nil"/>
              <w:tr2bl w:val="nil"/>
            </w:tcBorders>
            <w:shd w:val="clear" w:color="auto" w:fill="FFFFFF"/>
            <w:noWrap w:val="0"/>
            <w:vAlign w:val="center"/>
          </w:tcPr>
          <w:p w14:paraId="277AFAE0">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47.012567</w:t>
            </w:r>
          </w:p>
        </w:tc>
        <w:tc>
          <w:tcPr>
            <w:tcW w:w="685" w:type="pct"/>
            <w:tcBorders>
              <w:tl2br w:val="nil"/>
              <w:tr2bl w:val="nil"/>
            </w:tcBorders>
            <w:shd w:val="clear" w:color="auto" w:fill="FFFFFF"/>
            <w:noWrap w:val="0"/>
            <w:vAlign w:val="center"/>
          </w:tcPr>
          <w:p w14:paraId="1D44FA91">
            <w:pPr>
              <w:pStyle w:val="86"/>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居住区</w:t>
            </w:r>
          </w:p>
        </w:tc>
        <w:tc>
          <w:tcPr>
            <w:tcW w:w="409" w:type="pct"/>
            <w:tcBorders>
              <w:tl2br w:val="nil"/>
              <w:tr2bl w:val="nil"/>
            </w:tcBorders>
            <w:shd w:val="clear" w:color="auto" w:fill="FFFFFF"/>
            <w:noWrap w:val="0"/>
            <w:vAlign w:val="center"/>
          </w:tcPr>
          <w:p w14:paraId="5DA94896">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人群</w:t>
            </w:r>
          </w:p>
        </w:tc>
        <w:tc>
          <w:tcPr>
            <w:tcW w:w="492" w:type="pct"/>
            <w:vMerge w:val="continue"/>
            <w:tcBorders>
              <w:tl2br w:val="nil"/>
              <w:tr2bl w:val="nil"/>
            </w:tcBorders>
            <w:shd w:val="clear" w:color="auto" w:fill="FFFFFF"/>
            <w:noWrap w:val="0"/>
            <w:vAlign w:val="center"/>
          </w:tcPr>
          <w:p w14:paraId="04D22918">
            <w:pPr>
              <w:pStyle w:val="86"/>
              <w:bidi w:val="0"/>
              <w:rPr>
                <w:rFonts w:hint="default" w:ascii="Times New Roman" w:hAnsi="Times New Roman" w:eastAsia="宋体" w:cs="Times New Roman"/>
                <w:color w:val="auto"/>
                <w:highlight w:val="none"/>
                <w:lang w:eastAsia="zh-CN"/>
              </w:rPr>
            </w:pPr>
          </w:p>
        </w:tc>
        <w:tc>
          <w:tcPr>
            <w:tcW w:w="610" w:type="pct"/>
            <w:tcBorders>
              <w:tl2br w:val="nil"/>
              <w:tr2bl w:val="nil"/>
            </w:tcBorders>
            <w:shd w:val="clear" w:color="auto" w:fill="FFFFFF"/>
            <w:noWrap w:val="0"/>
            <w:vAlign w:val="center"/>
          </w:tcPr>
          <w:p w14:paraId="70EB0CED">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N</w:t>
            </w:r>
            <w:r>
              <w:rPr>
                <w:rFonts w:hint="default" w:ascii="Times New Roman" w:hAnsi="Times New Roman" w:eastAsia="宋体" w:cs="Times New Roman"/>
                <w:color w:val="auto"/>
                <w:highlight w:val="none"/>
                <w:lang w:val="en-US" w:eastAsia="zh-CN"/>
              </w:rPr>
              <w:t>W</w:t>
            </w:r>
          </w:p>
        </w:tc>
        <w:tc>
          <w:tcPr>
            <w:tcW w:w="578" w:type="pct"/>
            <w:tcBorders>
              <w:tl2br w:val="nil"/>
              <w:tr2bl w:val="nil"/>
            </w:tcBorders>
            <w:shd w:val="clear" w:color="auto" w:fill="FFFFFF"/>
            <w:noWrap w:val="0"/>
            <w:vAlign w:val="center"/>
          </w:tcPr>
          <w:p w14:paraId="7BE3F005">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4850</w:t>
            </w:r>
          </w:p>
        </w:tc>
      </w:tr>
      <w:tr w14:paraId="034997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90" w:hRule="atLeast"/>
          <w:jc w:val="center"/>
        </w:trPr>
        <w:tc>
          <w:tcPr>
            <w:tcW w:w="694" w:type="pct"/>
            <w:tcBorders>
              <w:tl2br w:val="nil"/>
              <w:tr2bl w:val="nil"/>
            </w:tcBorders>
            <w:shd w:val="clear" w:color="auto" w:fill="auto"/>
            <w:noWrap w:val="0"/>
            <w:vAlign w:val="center"/>
          </w:tcPr>
          <w:p w14:paraId="50A93686">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桦川县</w:t>
            </w:r>
          </w:p>
        </w:tc>
        <w:tc>
          <w:tcPr>
            <w:tcW w:w="795" w:type="pct"/>
            <w:tcBorders>
              <w:tl2br w:val="nil"/>
              <w:tr2bl w:val="nil"/>
            </w:tcBorders>
            <w:shd w:val="clear" w:color="auto" w:fill="FFFFFF"/>
            <w:noWrap w:val="0"/>
            <w:vAlign w:val="center"/>
          </w:tcPr>
          <w:p w14:paraId="16A05AC3">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130.712585</w:t>
            </w:r>
          </w:p>
        </w:tc>
        <w:tc>
          <w:tcPr>
            <w:tcW w:w="734" w:type="pct"/>
            <w:tcBorders>
              <w:tl2br w:val="nil"/>
              <w:tr2bl w:val="nil"/>
            </w:tcBorders>
            <w:shd w:val="clear" w:color="auto" w:fill="FFFFFF"/>
            <w:noWrap w:val="0"/>
            <w:vAlign w:val="center"/>
          </w:tcPr>
          <w:p w14:paraId="4B908B8B">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47.022046</w:t>
            </w:r>
          </w:p>
        </w:tc>
        <w:tc>
          <w:tcPr>
            <w:tcW w:w="685" w:type="pct"/>
            <w:tcBorders>
              <w:tl2br w:val="nil"/>
              <w:tr2bl w:val="nil"/>
            </w:tcBorders>
            <w:shd w:val="clear" w:color="auto" w:fill="FFFFFF"/>
            <w:noWrap w:val="0"/>
            <w:vAlign w:val="center"/>
          </w:tcPr>
          <w:p w14:paraId="6F9351DF">
            <w:pPr>
              <w:pStyle w:val="86"/>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居住区</w:t>
            </w:r>
          </w:p>
        </w:tc>
        <w:tc>
          <w:tcPr>
            <w:tcW w:w="409" w:type="pct"/>
            <w:tcBorders>
              <w:tl2br w:val="nil"/>
              <w:tr2bl w:val="nil"/>
            </w:tcBorders>
            <w:shd w:val="clear" w:color="auto" w:fill="FFFFFF"/>
            <w:noWrap w:val="0"/>
            <w:vAlign w:val="center"/>
          </w:tcPr>
          <w:p w14:paraId="4C21C0EC">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人群</w:t>
            </w:r>
          </w:p>
        </w:tc>
        <w:tc>
          <w:tcPr>
            <w:tcW w:w="492" w:type="pct"/>
            <w:vMerge w:val="continue"/>
            <w:tcBorders>
              <w:tl2br w:val="nil"/>
              <w:tr2bl w:val="nil"/>
            </w:tcBorders>
            <w:shd w:val="clear" w:color="auto" w:fill="FFFFFF"/>
            <w:noWrap w:val="0"/>
            <w:vAlign w:val="center"/>
          </w:tcPr>
          <w:p w14:paraId="37BC9B58">
            <w:pPr>
              <w:pStyle w:val="86"/>
              <w:bidi w:val="0"/>
              <w:rPr>
                <w:rFonts w:hint="default" w:ascii="Times New Roman" w:hAnsi="Times New Roman" w:eastAsia="宋体" w:cs="Times New Roman"/>
                <w:color w:val="auto"/>
                <w:highlight w:val="none"/>
                <w:lang w:eastAsia="zh-CN"/>
              </w:rPr>
            </w:pPr>
          </w:p>
        </w:tc>
        <w:tc>
          <w:tcPr>
            <w:tcW w:w="610" w:type="pct"/>
            <w:tcBorders>
              <w:tl2br w:val="nil"/>
              <w:tr2bl w:val="nil"/>
            </w:tcBorders>
            <w:shd w:val="clear" w:color="auto" w:fill="FFFFFF"/>
            <w:noWrap w:val="0"/>
            <w:vAlign w:val="center"/>
          </w:tcPr>
          <w:p w14:paraId="6185798B">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N</w:t>
            </w:r>
          </w:p>
        </w:tc>
        <w:tc>
          <w:tcPr>
            <w:tcW w:w="578" w:type="pct"/>
            <w:tcBorders>
              <w:tl2br w:val="nil"/>
              <w:tr2bl w:val="nil"/>
            </w:tcBorders>
            <w:shd w:val="clear" w:color="auto" w:fill="FFFFFF"/>
            <w:noWrap w:val="0"/>
            <w:vAlign w:val="center"/>
          </w:tcPr>
          <w:p w14:paraId="26D0E602">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20</w:t>
            </w:r>
            <w:r>
              <w:rPr>
                <w:rFonts w:hint="default" w:ascii="Times New Roman" w:hAnsi="Times New Roman" w:eastAsia="宋体" w:cs="Times New Roman"/>
                <w:color w:val="auto"/>
                <w:highlight w:val="none"/>
                <w:lang w:val="en-US" w:eastAsia="zh-CN"/>
              </w:rPr>
              <w:t>0</w:t>
            </w:r>
          </w:p>
        </w:tc>
      </w:tr>
      <w:tr w14:paraId="297914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90" w:hRule="atLeast"/>
          <w:jc w:val="center"/>
        </w:trPr>
        <w:tc>
          <w:tcPr>
            <w:tcW w:w="694" w:type="pct"/>
            <w:tcBorders>
              <w:tl2br w:val="nil"/>
              <w:tr2bl w:val="nil"/>
            </w:tcBorders>
            <w:shd w:val="clear" w:color="auto" w:fill="auto"/>
            <w:noWrap w:val="0"/>
            <w:vAlign w:val="center"/>
          </w:tcPr>
          <w:p w14:paraId="7E6F31D4">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孟家港村</w:t>
            </w:r>
          </w:p>
        </w:tc>
        <w:tc>
          <w:tcPr>
            <w:tcW w:w="795" w:type="pct"/>
            <w:tcBorders>
              <w:tl2br w:val="nil"/>
              <w:tr2bl w:val="nil"/>
            </w:tcBorders>
            <w:shd w:val="clear" w:color="auto" w:fill="FFFFFF"/>
            <w:noWrap w:val="0"/>
            <w:vAlign w:val="center"/>
          </w:tcPr>
          <w:p w14:paraId="453A3471">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130.759621</w:t>
            </w:r>
          </w:p>
        </w:tc>
        <w:tc>
          <w:tcPr>
            <w:tcW w:w="734" w:type="pct"/>
            <w:tcBorders>
              <w:tl2br w:val="nil"/>
              <w:tr2bl w:val="nil"/>
            </w:tcBorders>
            <w:shd w:val="clear" w:color="auto" w:fill="FFFFFF"/>
            <w:noWrap w:val="0"/>
            <w:vAlign w:val="center"/>
          </w:tcPr>
          <w:p w14:paraId="47BD2912">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47.037842</w:t>
            </w:r>
          </w:p>
        </w:tc>
        <w:tc>
          <w:tcPr>
            <w:tcW w:w="685" w:type="pct"/>
            <w:tcBorders>
              <w:tl2br w:val="nil"/>
              <w:tr2bl w:val="nil"/>
            </w:tcBorders>
            <w:shd w:val="clear" w:color="auto" w:fill="FFFFFF"/>
            <w:noWrap w:val="0"/>
            <w:vAlign w:val="center"/>
          </w:tcPr>
          <w:p w14:paraId="784AABFD">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居住区</w:t>
            </w:r>
          </w:p>
        </w:tc>
        <w:tc>
          <w:tcPr>
            <w:tcW w:w="409" w:type="pct"/>
            <w:tcBorders>
              <w:tl2br w:val="nil"/>
              <w:tr2bl w:val="nil"/>
            </w:tcBorders>
            <w:shd w:val="clear" w:color="auto" w:fill="FFFFFF"/>
            <w:noWrap w:val="0"/>
            <w:vAlign w:val="center"/>
          </w:tcPr>
          <w:p w14:paraId="363583E3">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人群</w:t>
            </w:r>
          </w:p>
        </w:tc>
        <w:tc>
          <w:tcPr>
            <w:tcW w:w="492" w:type="pct"/>
            <w:vMerge w:val="continue"/>
            <w:tcBorders>
              <w:tl2br w:val="nil"/>
              <w:tr2bl w:val="nil"/>
            </w:tcBorders>
            <w:shd w:val="clear" w:color="auto" w:fill="FFFFFF"/>
            <w:noWrap w:val="0"/>
            <w:vAlign w:val="center"/>
          </w:tcPr>
          <w:p w14:paraId="0FB4D61B">
            <w:pPr>
              <w:pStyle w:val="86"/>
              <w:bidi w:val="0"/>
              <w:rPr>
                <w:rFonts w:hint="default" w:ascii="Times New Roman" w:hAnsi="Times New Roman" w:eastAsia="宋体" w:cs="Times New Roman"/>
                <w:color w:val="auto"/>
                <w:highlight w:val="none"/>
                <w:lang w:eastAsia="zh-CN"/>
              </w:rPr>
            </w:pPr>
          </w:p>
        </w:tc>
        <w:tc>
          <w:tcPr>
            <w:tcW w:w="610" w:type="pct"/>
            <w:tcBorders>
              <w:tl2br w:val="nil"/>
              <w:tr2bl w:val="nil"/>
            </w:tcBorders>
            <w:shd w:val="clear" w:color="auto" w:fill="FFFFFF"/>
            <w:noWrap w:val="0"/>
            <w:vAlign w:val="center"/>
          </w:tcPr>
          <w:p w14:paraId="6D6AA8DA">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NE</w:t>
            </w:r>
          </w:p>
        </w:tc>
        <w:tc>
          <w:tcPr>
            <w:tcW w:w="578" w:type="pct"/>
            <w:tcBorders>
              <w:tl2br w:val="nil"/>
              <w:tr2bl w:val="nil"/>
            </w:tcBorders>
            <w:shd w:val="clear" w:color="auto" w:fill="FFFFFF"/>
            <w:noWrap w:val="0"/>
            <w:vAlign w:val="center"/>
          </w:tcPr>
          <w:p w14:paraId="70BCA580">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43</w:t>
            </w:r>
            <w:r>
              <w:rPr>
                <w:rFonts w:hint="default" w:ascii="Times New Roman" w:hAnsi="Times New Roman" w:cs="Times New Roman"/>
                <w:color w:val="auto"/>
                <w:highlight w:val="none"/>
                <w:lang w:val="en-US" w:eastAsia="zh-CN"/>
              </w:rPr>
              <w:t>4</w:t>
            </w:r>
            <w:r>
              <w:rPr>
                <w:rFonts w:hint="default" w:ascii="Times New Roman" w:hAnsi="Times New Roman" w:eastAsia="宋体" w:cs="Times New Roman"/>
                <w:color w:val="auto"/>
                <w:highlight w:val="none"/>
                <w:lang w:val="en-US" w:eastAsia="zh-CN"/>
              </w:rPr>
              <w:t>0</w:t>
            </w:r>
          </w:p>
        </w:tc>
      </w:tr>
      <w:tr w14:paraId="311898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90" w:hRule="atLeast"/>
          <w:jc w:val="center"/>
        </w:trPr>
        <w:tc>
          <w:tcPr>
            <w:tcW w:w="694" w:type="pct"/>
            <w:tcBorders>
              <w:tl2br w:val="nil"/>
              <w:tr2bl w:val="nil"/>
            </w:tcBorders>
            <w:shd w:val="clear" w:color="auto" w:fill="auto"/>
            <w:noWrap w:val="0"/>
            <w:vAlign w:val="center"/>
          </w:tcPr>
          <w:p w14:paraId="77690F9F">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东兴村</w:t>
            </w:r>
          </w:p>
        </w:tc>
        <w:tc>
          <w:tcPr>
            <w:tcW w:w="795" w:type="pct"/>
            <w:tcBorders>
              <w:tl2br w:val="nil"/>
              <w:tr2bl w:val="nil"/>
            </w:tcBorders>
            <w:shd w:val="clear" w:color="auto" w:fill="FFFFFF"/>
            <w:noWrap w:val="0"/>
            <w:vAlign w:val="center"/>
          </w:tcPr>
          <w:p w14:paraId="04E73F6D">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130.748634</w:t>
            </w:r>
          </w:p>
        </w:tc>
        <w:tc>
          <w:tcPr>
            <w:tcW w:w="734" w:type="pct"/>
            <w:tcBorders>
              <w:tl2br w:val="nil"/>
              <w:tr2bl w:val="nil"/>
            </w:tcBorders>
            <w:shd w:val="clear" w:color="auto" w:fill="FFFFFF"/>
            <w:noWrap w:val="0"/>
            <w:vAlign w:val="center"/>
          </w:tcPr>
          <w:p w14:paraId="59DA5528">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47.017248</w:t>
            </w:r>
          </w:p>
        </w:tc>
        <w:tc>
          <w:tcPr>
            <w:tcW w:w="685" w:type="pct"/>
            <w:tcBorders>
              <w:tl2br w:val="nil"/>
              <w:tr2bl w:val="nil"/>
            </w:tcBorders>
            <w:shd w:val="clear" w:color="auto" w:fill="FFFFFF"/>
            <w:noWrap w:val="0"/>
            <w:vAlign w:val="center"/>
          </w:tcPr>
          <w:p w14:paraId="23C10782">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居住区</w:t>
            </w:r>
          </w:p>
        </w:tc>
        <w:tc>
          <w:tcPr>
            <w:tcW w:w="409" w:type="pct"/>
            <w:tcBorders>
              <w:tl2br w:val="nil"/>
              <w:tr2bl w:val="nil"/>
            </w:tcBorders>
            <w:shd w:val="clear" w:color="auto" w:fill="FFFFFF"/>
            <w:noWrap w:val="0"/>
            <w:vAlign w:val="center"/>
          </w:tcPr>
          <w:p w14:paraId="7EDAB08E">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人群</w:t>
            </w:r>
          </w:p>
        </w:tc>
        <w:tc>
          <w:tcPr>
            <w:tcW w:w="492" w:type="pct"/>
            <w:vMerge w:val="continue"/>
            <w:tcBorders>
              <w:tl2br w:val="nil"/>
              <w:tr2bl w:val="nil"/>
            </w:tcBorders>
            <w:shd w:val="clear" w:color="auto" w:fill="FFFFFF"/>
            <w:noWrap w:val="0"/>
            <w:vAlign w:val="center"/>
          </w:tcPr>
          <w:p w14:paraId="55B89F8D">
            <w:pPr>
              <w:pStyle w:val="86"/>
              <w:bidi w:val="0"/>
              <w:rPr>
                <w:rFonts w:hint="default" w:ascii="Times New Roman" w:hAnsi="Times New Roman" w:eastAsia="宋体" w:cs="Times New Roman"/>
                <w:color w:val="auto"/>
                <w:highlight w:val="none"/>
                <w:lang w:eastAsia="zh-CN"/>
              </w:rPr>
            </w:pPr>
          </w:p>
        </w:tc>
        <w:tc>
          <w:tcPr>
            <w:tcW w:w="610" w:type="pct"/>
            <w:tcBorders>
              <w:tl2br w:val="nil"/>
              <w:tr2bl w:val="nil"/>
            </w:tcBorders>
            <w:shd w:val="clear" w:color="auto" w:fill="FFFFFF"/>
            <w:noWrap w:val="0"/>
            <w:vAlign w:val="center"/>
          </w:tcPr>
          <w:p w14:paraId="445D3C79">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NE</w:t>
            </w:r>
          </w:p>
        </w:tc>
        <w:tc>
          <w:tcPr>
            <w:tcW w:w="578" w:type="pct"/>
            <w:tcBorders>
              <w:tl2br w:val="nil"/>
              <w:tr2bl w:val="nil"/>
            </w:tcBorders>
            <w:shd w:val="clear" w:color="auto" w:fill="FFFFFF"/>
            <w:noWrap w:val="0"/>
            <w:vAlign w:val="center"/>
          </w:tcPr>
          <w:p w14:paraId="40C789D9">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210</w:t>
            </w:r>
            <w:r>
              <w:rPr>
                <w:rFonts w:hint="default" w:ascii="Times New Roman" w:hAnsi="Times New Roman" w:eastAsia="宋体" w:cs="Times New Roman"/>
                <w:color w:val="auto"/>
                <w:highlight w:val="none"/>
                <w:lang w:val="en-US" w:eastAsia="zh-CN"/>
              </w:rPr>
              <w:t>0</w:t>
            </w:r>
          </w:p>
        </w:tc>
      </w:tr>
    </w:tbl>
    <w:p w14:paraId="23BB4661">
      <w:pPr>
        <w:pStyle w:val="65"/>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textAlignment w:val="auto"/>
        <w:rPr>
          <w:rFonts w:hint="default" w:ascii="Times New Roman" w:hAnsi="Times New Roman" w:eastAsia="宋体" w:cs="Times New Roman"/>
          <w:b/>
          <w:color w:val="auto"/>
          <w:kern w:val="2"/>
          <w:sz w:val="24"/>
          <w:szCs w:val="24"/>
          <w:highlight w:val="none"/>
        </w:rPr>
      </w:pPr>
    </w:p>
    <w:p w14:paraId="38159EB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7696" behindDoc="0" locked="0" layoutInCell="1" allowOverlap="1">
                <wp:simplePos x="0" y="0"/>
                <wp:positionH relativeFrom="column">
                  <wp:posOffset>3749040</wp:posOffset>
                </wp:positionH>
                <wp:positionV relativeFrom="paragraph">
                  <wp:posOffset>5044440</wp:posOffset>
                </wp:positionV>
                <wp:extent cx="285750" cy="133350"/>
                <wp:effectExtent l="9525" t="9525" r="9525" b="9525"/>
                <wp:wrapNone/>
                <wp:docPr id="13" name="矩形 658"/>
                <wp:cNvGraphicFramePr/>
                <a:graphic xmlns:a="http://schemas.openxmlformats.org/drawingml/2006/main">
                  <a:graphicData uri="http://schemas.microsoft.com/office/word/2010/wordprocessingShape">
                    <wps:wsp>
                      <wps:cNvSpPr/>
                      <wps:spPr>
                        <a:xfrm>
                          <a:off x="0" y="0"/>
                          <a:ext cx="285750" cy="133350"/>
                        </a:xfrm>
                        <a:prstGeom prst="rect">
                          <a:avLst/>
                        </a:prstGeom>
                        <a:solidFill>
                          <a:srgbClr val="FFFF00"/>
                        </a:solidFill>
                        <a:ln w="19050" cap="flat" cmpd="sng">
                          <a:solidFill>
                            <a:srgbClr val="FFFF00"/>
                          </a:solidFill>
                          <a:prstDash val="solid"/>
                          <a:miter/>
                          <a:headEnd type="none" w="med" len="med"/>
                          <a:tailEnd type="none" w="med" len="med"/>
                        </a:ln>
                      </wps:spPr>
                      <wps:bodyPr vert="horz" anchor="t" anchorCtr="0" upright="1"/>
                    </wps:wsp>
                  </a:graphicData>
                </a:graphic>
              </wp:anchor>
            </w:drawing>
          </mc:Choice>
          <mc:Fallback>
            <w:pict>
              <v:rect id="矩形 658" o:spid="_x0000_s1026" o:spt="1" style="position:absolute;left:0pt;margin-left:295.2pt;margin-top:397.2pt;height:10.5pt;width:22.5pt;z-index:251677696;mso-width-relative:page;mso-height-relative:page;" fillcolor="#FFFF00" filled="t" stroked="t" coordsize="21600,21600" o:gfxdata="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MlmKQbXAAAACwEAAA8AAAAAAAAAAQAgAAAA&#10;IgAAAGRycy9kb3ducmV2LnhtbFBLAQIUABQAAAAIAIdO4kC7T/GVDAIAAEYEAAAOAAAAAAAAAAEA&#10;IAAAACYBAABkcnMvZTJvRG9jLnhtbFBLBQYAAAAABgAGAFkBAACkBQAAAAA=&#10;">
                <v:fill on="t" focussize="0,0"/>
                <v:stroke weight="1.5pt" color="#FFFF00" joinstyle="miter"/>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3600" behindDoc="0" locked="0" layoutInCell="1" allowOverlap="1">
                <wp:simplePos x="0" y="0"/>
                <wp:positionH relativeFrom="column">
                  <wp:posOffset>3749040</wp:posOffset>
                </wp:positionH>
                <wp:positionV relativeFrom="paragraph">
                  <wp:posOffset>4539615</wp:posOffset>
                </wp:positionV>
                <wp:extent cx="285750" cy="133350"/>
                <wp:effectExtent l="9525" t="9525" r="9525" b="9525"/>
                <wp:wrapNone/>
                <wp:docPr id="80" name="矩形 658"/>
                <wp:cNvGraphicFramePr/>
                <a:graphic xmlns:a="http://schemas.openxmlformats.org/drawingml/2006/main">
                  <a:graphicData uri="http://schemas.microsoft.com/office/word/2010/wordprocessingShape">
                    <wps:wsp>
                      <wps:cNvSpPr/>
                      <wps:spPr>
                        <a:xfrm>
                          <a:off x="4890135" y="7245985"/>
                          <a:ext cx="285750" cy="133350"/>
                        </a:xfrm>
                        <a:prstGeom prst="rect">
                          <a:avLst/>
                        </a:prstGeom>
                        <a:noFill/>
                        <a:ln w="19050" cap="flat" cmpd="sng">
                          <a:solidFill>
                            <a:srgbClr val="FF0000"/>
                          </a:solidFill>
                          <a:prstDash val="solid"/>
                          <a:miter/>
                          <a:headEnd type="none" w="med" len="med"/>
                          <a:tailEnd type="none" w="med" len="med"/>
                        </a:ln>
                      </wps:spPr>
                      <wps:bodyPr vert="horz" anchor="t" anchorCtr="0" upright="1"/>
                    </wps:wsp>
                  </a:graphicData>
                </a:graphic>
              </wp:anchor>
            </w:drawing>
          </mc:Choice>
          <mc:Fallback>
            <w:pict>
              <v:rect id="矩形 658" o:spid="_x0000_s1026" o:spt="1" style="position:absolute;left:0pt;margin-left:295.2pt;margin-top:357.45pt;height:10.5pt;width:22.5pt;z-index:251673600;mso-width-relative:page;mso-height-relative:page;" filled="f" stroked="t" coordsize="21600,21600" o:gfxdata="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Q0tVC2QAAAAsB&#10;AAAPAAAAAAAAAAEAIAAAACIAAABkcnMvZG93bnJldi54bWxQSwECFAAUAAAACACHTuJAsJPB3BoC&#10;AAApBAAADgAAAAAAAAABACAAAAAoAQAAZHJzL2Uyb0RvYy54bWxQSwUGAAAAAAYABgBZAQAAtAUA&#10;AAAA&#10;">
                <v:fill on="f" focussize="0,0"/>
                <v:stroke weight="1.5pt" color="#FF0000" joinstyle="miter"/>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4624" behindDoc="0" locked="0" layoutInCell="1" allowOverlap="1">
                <wp:simplePos x="0" y="0"/>
                <wp:positionH relativeFrom="column">
                  <wp:posOffset>3787140</wp:posOffset>
                </wp:positionH>
                <wp:positionV relativeFrom="paragraph">
                  <wp:posOffset>4768215</wp:posOffset>
                </wp:positionV>
                <wp:extent cx="200025" cy="190500"/>
                <wp:effectExtent l="9525" t="9525" r="19050" b="9525"/>
                <wp:wrapNone/>
                <wp:docPr id="5" name="椭圆 659"/>
                <wp:cNvGraphicFramePr/>
                <a:graphic xmlns:a="http://schemas.openxmlformats.org/drawingml/2006/main">
                  <a:graphicData uri="http://schemas.microsoft.com/office/word/2010/wordprocessingShape">
                    <wps:wsp>
                      <wps:cNvSpPr/>
                      <wps:spPr>
                        <a:xfrm>
                          <a:off x="4909185" y="7474585"/>
                          <a:ext cx="200025" cy="190500"/>
                        </a:xfrm>
                        <a:prstGeom prst="ellipse">
                          <a:avLst/>
                        </a:prstGeom>
                        <a:solidFill>
                          <a:srgbClr val="FFFFFF"/>
                        </a:solidFill>
                        <a:ln w="19050" cap="flat" cmpd="sng">
                          <a:solidFill>
                            <a:srgbClr val="002060"/>
                          </a:solidFill>
                          <a:prstDash val="solid"/>
                          <a:headEnd type="none" w="med" len="med"/>
                          <a:tailEnd type="none" w="med" len="med"/>
                        </a:ln>
                      </wps:spPr>
                      <wps:bodyPr vert="horz" anchor="t" anchorCtr="0" upright="1"/>
                    </wps:wsp>
                  </a:graphicData>
                </a:graphic>
              </wp:anchor>
            </w:drawing>
          </mc:Choice>
          <mc:Fallback>
            <w:pict>
              <v:shape id="椭圆 659" o:spid="_x0000_s1026" o:spt="3" type="#_x0000_t3" style="position:absolute;left:0pt;margin-left:298.2pt;margin-top:375.45pt;height:15pt;width:15.75pt;z-index:251674624;mso-width-relative:page;mso-height-relative:page;" fillcolor="#FFFFFF" filled="t" stroked="t" coordsize="21600,21600" o:gfxdata="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NsUlHXbAAAA&#10;CwEAAA8AAAAAAAAAAQAgAAAAIgAAAGRycy9kb3ducmV2LnhtbFBLAQIUABQAAAAIAIdO4kDxxE0x&#10;GgIAAEoEAAAOAAAAAAAAAAEAIAAAACoBAABkcnMvZTJvRG9jLnhtbFBLBQYAAAAABgAGAFkBAAC2&#10;BQAAAAA=&#10;">
                <v:fill on="t" focussize="0,0"/>
                <v:stroke weight="1.5pt" color="#002060" joinstyle="round"/>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2576" behindDoc="0" locked="0" layoutInCell="1" allowOverlap="1">
                <wp:simplePos x="0" y="0"/>
                <wp:positionH relativeFrom="column">
                  <wp:posOffset>3672840</wp:posOffset>
                </wp:positionH>
                <wp:positionV relativeFrom="paragraph">
                  <wp:posOffset>4139565</wp:posOffset>
                </wp:positionV>
                <wp:extent cx="1600200" cy="1133475"/>
                <wp:effectExtent l="4445" t="4445" r="14605" b="5080"/>
                <wp:wrapNone/>
                <wp:docPr id="6" name="文本框 657"/>
                <wp:cNvGraphicFramePr/>
                <a:graphic xmlns:a="http://schemas.openxmlformats.org/drawingml/2006/main">
                  <a:graphicData uri="http://schemas.microsoft.com/office/word/2010/wordprocessingShape">
                    <wps:wsp>
                      <wps:cNvSpPr txBox="1"/>
                      <wps:spPr>
                        <a:xfrm>
                          <a:off x="4918710" y="6655435"/>
                          <a:ext cx="1600200" cy="113347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7A435DB">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sz w:val="21"/>
                                <w:szCs w:val="20"/>
                                <w:lang w:val="en-US" w:eastAsia="zh-CN"/>
                              </w:rPr>
                            </w:pPr>
                            <w:r>
                              <w:rPr>
                                <w:rFonts w:hint="default" w:ascii="Times New Roman" w:hAnsi="Times New Roman" w:eastAsia="宋体" w:cs="Times New Roman"/>
                                <w:sz w:val="21"/>
                                <w:szCs w:val="20"/>
                                <w:lang w:val="en-US" w:eastAsia="zh-CN"/>
                              </w:rPr>
                              <w:t>图</w:t>
                            </w:r>
                            <w:r>
                              <w:rPr>
                                <w:rFonts w:hint="eastAsia" w:ascii="Times New Roman" w:hAnsi="Times New Roman" w:eastAsia="宋体" w:cs="Times New Roman"/>
                                <w:sz w:val="21"/>
                                <w:szCs w:val="20"/>
                                <w:lang w:val="en-US" w:eastAsia="zh-CN"/>
                              </w:rPr>
                              <w:t xml:space="preserve"> </w:t>
                            </w:r>
                            <w:r>
                              <w:rPr>
                                <w:rFonts w:hint="default" w:ascii="Times New Roman" w:hAnsi="Times New Roman" w:eastAsia="宋体" w:cs="Times New Roman"/>
                                <w:sz w:val="21"/>
                                <w:szCs w:val="20"/>
                                <w:lang w:val="en-US" w:eastAsia="zh-CN"/>
                              </w:rPr>
                              <w:t>例</w:t>
                            </w:r>
                          </w:p>
                          <w:p w14:paraId="774F7AF1">
                            <w:pPr>
                              <w:pStyle w:val="48"/>
                              <w:keepNext w:val="0"/>
                              <w:keepLines w:val="0"/>
                              <w:pageBreakBefore w:val="0"/>
                              <w:widowControl w:val="0"/>
                              <w:kinsoku/>
                              <w:wordWrap/>
                              <w:overflowPunct/>
                              <w:topLinePunct w:val="0"/>
                              <w:bidi w:val="0"/>
                              <w:adjustRightInd w:val="0"/>
                              <w:snapToGrid w:val="0"/>
                              <w:spacing w:line="240" w:lineRule="auto"/>
                              <w:ind w:firstLine="0" w:firstLineChars="0"/>
                              <w:textAlignment w:val="auto"/>
                              <w:rPr>
                                <w:rFonts w:hint="default" w:ascii="Times New Roman" w:hAnsi="Times New Roman" w:eastAsia="宋体" w:cs="Times New Roman"/>
                                <w:sz w:val="21"/>
                                <w:szCs w:val="20"/>
                              </w:rPr>
                            </w:pPr>
                          </w:p>
                          <w:p w14:paraId="1E9AA769">
                            <w:pPr>
                              <w:keepNext w:val="0"/>
                              <w:keepLines w:val="0"/>
                              <w:pageBreakBefore w:val="0"/>
                              <w:widowControl w:val="0"/>
                              <w:kinsoku/>
                              <w:wordWrap w:val="0"/>
                              <w:overflowPunct/>
                              <w:topLinePunct w:val="0"/>
                              <w:bidi w:val="0"/>
                              <w:adjustRightInd w:val="0"/>
                              <w:snapToGrid w:val="0"/>
                              <w:spacing w:line="360" w:lineRule="auto"/>
                              <w:ind w:firstLine="0" w:firstLineChars="0"/>
                              <w:jc w:val="right"/>
                              <w:textAlignment w:val="auto"/>
                              <w:rPr>
                                <w:rFonts w:hint="default" w:ascii="Times New Roman" w:hAnsi="Times New Roman" w:eastAsia="宋体" w:cs="Times New Roman"/>
                                <w:sz w:val="21"/>
                                <w:szCs w:val="20"/>
                                <w:lang w:val="en-US" w:eastAsia="zh-CN"/>
                              </w:rPr>
                            </w:pPr>
                            <w:r>
                              <w:rPr>
                                <w:rFonts w:hint="eastAsia" w:ascii="Times New Roman" w:hAnsi="Times New Roman" w:eastAsia="宋体" w:cs="Times New Roman"/>
                                <w:sz w:val="21"/>
                                <w:szCs w:val="20"/>
                                <w:lang w:val="en-US" w:eastAsia="zh-CN"/>
                              </w:rPr>
                              <w:t xml:space="preserve">本项目厂址范围  </w:t>
                            </w:r>
                          </w:p>
                          <w:p w14:paraId="15CBF533">
                            <w:pPr>
                              <w:keepNext w:val="0"/>
                              <w:keepLines w:val="0"/>
                              <w:pageBreakBefore w:val="0"/>
                              <w:widowControl w:val="0"/>
                              <w:kinsoku/>
                              <w:wordWrap/>
                              <w:overflowPunct/>
                              <w:topLinePunct w:val="0"/>
                              <w:bidi w:val="0"/>
                              <w:adjustRightInd w:val="0"/>
                              <w:snapToGrid w:val="0"/>
                              <w:spacing w:line="360" w:lineRule="auto"/>
                              <w:ind w:left="0" w:leftChars="0" w:firstLine="0" w:firstLineChars="0"/>
                              <w:jc w:val="right"/>
                              <w:textAlignment w:val="auto"/>
                              <w:rPr>
                                <w:rFonts w:hint="default" w:ascii="Times New Roman" w:hAnsi="Times New Roman" w:eastAsia="宋体" w:cs="Times New Roman"/>
                                <w:sz w:val="21"/>
                                <w:szCs w:val="20"/>
                                <w:lang w:val="en-US" w:eastAsia="zh-CN"/>
                              </w:rPr>
                            </w:pPr>
                            <w:r>
                              <w:rPr>
                                <w:rFonts w:hint="eastAsia" w:ascii="Times New Roman" w:hAnsi="Times New Roman" w:eastAsia="宋体" w:cs="Times New Roman"/>
                                <w:sz w:val="21"/>
                                <w:szCs w:val="20"/>
                                <w:lang w:val="en-US" w:eastAsia="zh-CN"/>
                              </w:rPr>
                              <w:t>环境风险保护范围</w:t>
                            </w:r>
                          </w:p>
                          <w:p w14:paraId="0C056EF9">
                            <w:pPr>
                              <w:pStyle w:val="48"/>
                              <w:keepNext w:val="0"/>
                              <w:keepLines w:val="0"/>
                              <w:pageBreakBefore w:val="0"/>
                              <w:widowControl w:val="0"/>
                              <w:kinsoku/>
                              <w:wordWrap/>
                              <w:overflowPunct/>
                              <w:topLinePunct w:val="0"/>
                              <w:bidi w:val="0"/>
                              <w:adjustRightInd w:val="0"/>
                              <w:snapToGrid w:val="0"/>
                              <w:spacing w:line="360" w:lineRule="auto"/>
                              <w:ind w:firstLine="0" w:firstLineChars="0"/>
                              <w:jc w:val="right"/>
                              <w:textAlignment w:val="auto"/>
                              <w:rPr>
                                <w:rFonts w:hint="default" w:ascii="Times New Roman" w:hAnsi="Times New Roman" w:eastAsia="宋体" w:cs="Times New Roman"/>
                                <w:sz w:val="21"/>
                                <w:szCs w:val="20"/>
                                <w:lang w:val="en-US" w:eastAsia="zh-CN"/>
                              </w:rPr>
                            </w:pPr>
                            <w:r>
                              <w:rPr>
                                <w:rFonts w:hint="eastAsia" w:ascii="Times New Roman" w:hAnsi="Times New Roman" w:eastAsia="宋体" w:cs="Times New Roman"/>
                                <w:sz w:val="21"/>
                                <w:szCs w:val="20"/>
                                <w:lang w:val="en-US" w:eastAsia="zh-CN"/>
                              </w:rPr>
                              <w:t>环境风险保护目标</w:t>
                            </w:r>
                          </w:p>
                          <w:p w14:paraId="0C188934">
                            <w:pPr>
                              <w:keepNext w:val="0"/>
                              <w:keepLines w:val="0"/>
                              <w:pageBreakBefore w:val="0"/>
                              <w:widowControl w:val="0"/>
                              <w:kinsoku/>
                              <w:wordWrap/>
                              <w:overflowPunct/>
                              <w:topLinePunct w:val="0"/>
                              <w:bidi w:val="0"/>
                              <w:adjustRightInd w:val="0"/>
                              <w:snapToGrid w:val="0"/>
                              <w:spacing w:line="360" w:lineRule="auto"/>
                              <w:ind w:firstLine="0" w:firstLineChars="0"/>
                              <w:textAlignment w:val="auto"/>
                              <w:rPr>
                                <w:rFonts w:hint="default" w:ascii="Times New Roman" w:hAnsi="Times New Roman" w:eastAsia="宋体" w:cs="Times New Roman"/>
                                <w:sz w:val="21"/>
                                <w:szCs w:val="20"/>
                              </w:rPr>
                            </w:pPr>
                          </w:p>
                          <w:p w14:paraId="1D77ED74">
                            <w:pPr>
                              <w:keepNext w:val="0"/>
                              <w:keepLines w:val="0"/>
                              <w:pageBreakBefore w:val="0"/>
                              <w:widowControl w:val="0"/>
                              <w:kinsoku/>
                              <w:wordWrap/>
                              <w:overflowPunct/>
                              <w:topLinePunct w:val="0"/>
                              <w:bidi w:val="0"/>
                              <w:adjustRightInd w:val="0"/>
                              <w:snapToGrid w:val="0"/>
                              <w:spacing w:line="360" w:lineRule="auto"/>
                              <w:ind w:firstLine="0" w:firstLineChars="0"/>
                              <w:textAlignment w:val="auto"/>
                              <w:rPr>
                                <w:rFonts w:hint="default" w:ascii="Times New Roman" w:hAnsi="Times New Roman" w:eastAsia="宋体" w:cs="Times New Roman"/>
                                <w:sz w:val="21"/>
                                <w:szCs w:val="20"/>
                              </w:rPr>
                            </w:pPr>
                          </w:p>
                        </w:txbxContent>
                      </wps:txbx>
                      <wps:bodyPr vert="horz" anchor="t" anchorCtr="0" upright="1"/>
                    </wps:wsp>
                  </a:graphicData>
                </a:graphic>
              </wp:anchor>
            </w:drawing>
          </mc:Choice>
          <mc:Fallback>
            <w:pict>
              <v:shape id="文本框 657" o:spid="_x0000_s1026" o:spt="202" type="#_x0000_t202" style="position:absolute;left:0pt;margin-left:289.2pt;margin-top:325.95pt;height:89.25pt;width:126pt;z-index:251672576;mso-width-relative:page;mso-height-relative:page;" fillcolor="#FFFFFF" filled="t" stroked="t" coordsize="21600,21600" o:gfxdata="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3ueGC2QAAAAsBAAAPAAAAAAAAAAEAIAAAACIAAABkcnMvZG93bnJldi54bWxQ&#10;SwECFAAUAAAACACHTuJAbE7MaC8CAABqBAAADgAAAAAAAAABACAAAAAoAQAAZHJzL2Uyb0RvYy54&#10;bWxQSwUGAAAAAAYABgBZAQAAyQUAAAAA&#10;">
                <v:fill on="t" focussize="0,0"/>
                <v:stroke color="#000000" joinstyle="miter"/>
                <v:imagedata o:title=""/>
                <o:lock v:ext="edit" aspectratio="f"/>
                <v:textbox>
                  <w:txbxContent>
                    <w:p w14:paraId="27A435DB">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sz w:val="21"/>
                          <w:szCs w:val="20"/>
                          <w:lang w:val="en-US" w:eastAsia="zh-CN"/>
                        </w:rPr>
                      </w:pPr>
                      <w:r>
                        <w:rPr>
                          <w:rFonts w:hint="default" w:ascii="Times New Roman" w:hAnsi="Times New Roman" w:eastAsia="宋体" w:cs="Times New Roman"/>
                          <w:sz w:val="21"/>
                          <w:szCs w:val="20"/>
                          <w:lang w:val="en-US" w:eastAsia="zh-CN"/>
                        </w:rPr>
                        <w:t>图</w:t>
                      </w:r>
                      <w:r>
                        <w:rPr>
                          <w:rFonts w:hint="eastAsia" w:ascii="Times New Roman" w:hAnsi="Times New Roman" w:eastAsia="宋体" w:cs="Times New Roman"/>
                          <w:sz w:val="21"/>
                          <w:szCs w:val="20"/>
                          <w:lang w:val="en-US" w:eastAsia="zh-CN"/>
                        </w:rPr>
                        <w:t xml:space="preserve"> </w:t>
                      </w:r>
                      <w:r>
                        <w:rPr>
                          <w:rFonts w:hint="default" w:ascii="Times New Roman" w:hAnsi="Times New Roman" w:eastAsia="宋体" w:cs="Times New Roman"/>
                          <w:sz w:val="21"/>
                          <w:szCs w:val="20"/>
                          <w:lang w:val="en-US" w:eastAsia="zh-CN"/>
                        </w:rPr>
                        <w:t>例</w:t>
                      </w:r>
                    </w:p>
                    <w:p w14:paraId="774F7AF1">
                      <w:pPr>
                        <w:pStyle w:val="48"/>
                        <w:keepNext w:val="0"/>
                        <w:keepLines w:val="0"/>
                        <w:pageBreakBefore w:val="0"/>
                        <w:widowControl w:val="0"/>
                        <w:kinsoku/>
                        <w:wordWrap/>
                        <w:overflowPunct/>
                        <w:topLinePunct w:val="0"/>
                        <w:bidi w:val="0"/>
                        <w:adjustRightInd w:val="0"/>
                        <w:snapToGrid w:val="0"/>
                        <w:spacing w:line="240" w:lineRule="auto"/>
                        <w:ind w:firstLine="0" w:firstLineChars="0"/>
                        <w:textAlignment w:val="auto"/>
                        <w:rPr>
                          <w:rFonts w:hint="default" w:ascii="Times New Roman" w:hAnsi="Times New Roman" w:eastAsia="宋体" w:cs="Times New Roman"/>
                          <w:sz w:val="21"/>
                          <w:szCs w:val="20"/>
                        </w:rPr>
                      </w:pPr>
                    </w:p>
                    <w:p w14:paraId="1E9AA769">
                      <w:pPr>
                        <w:keepNext w:val="0"/>
                        <w:keepLines w:val="0"/>
                        <w:pageBreakBefore w:val="0"/>
                        <w:widowControl w:val="0"/>
                        <w:kinsoku/>
                        <w:wordWrap w:val="0"/>
                        <w:overflowPunct/>
                        <w:topLinePunct w:val="0"/>
                        <w:bidi w:val="0"/>
                        <w:adjustRightInd w:val="0"/>
                        <w:snapToGrid w:val="0"/>
                        <w:spacing w:line="360" w:lineRule="auto"/>
                        <w:ind w:firstLine="0" w:firstLineChars="0"/>
                        <w:jc w:val="right"/>
                        <w:textAlignment w:val="auto"/>
                        <w:rPr>
                          <w:rFonts w:hint="default" w:ascii="Times New Roman" w:hAnsi="Times New Roman" w:eastAsia="宋体" w:cs="Times New Roman"/>
                          <w:sz w:val="21"/>
                          <w:szCs w:val="20"/>
                          <w:lang w:val="en-US" w:eastAsia="zh-CN"/>
                        </w:rPr>
                      </w:pPr>
                      <w:r>
                        <w:rPr>
                          <w:rFonts w:hint="eastAsia" w:ascii="Times New Roman" w:hAnsi="Times New Roman" w:eastAsia="宋体" w:cs="Times New Roman"/>
                          <w:sz w:val="21"/>
                          <w:szCs w:val="20"/>
                          <w:lang w:val="en-US" w:eastAsia="zh-CN"/>
                        </w:rPr>
                        <w:t xml:space="preserve">本项目厂址范围  </w:t>
                      </w:r>
                    </w:p>
                    <w:p w14:paraId="15CBF533">
                      <w:pPr>
                        <w:keepNext w:val="0"/>
                        <w:keepLines w:val="0"/>
                        <w:pageBreakBefore w:val="0"/>
                        <w:widowControl w:val="0"/>
                        <w:kinsoku/>
                        <w:wordWrap/>
                        <w:overflowPunct/>
                        <w:topLinePunct w:val="0"/>
                        <w:bidi w:val="0"/>
                        <w:adjustRightInd w:val="0"/>
                        <w:snapToGrid w:val="0"/>
                        <w:spacing w:line="360" w:lineRule="auto"/>
                        <w:ind w:left="0" w:leftChars="0" w:firstLine="0" w:firstLineChars="0"/>
                        <w:jc w:val="right"/>
                        <w:textAlignment w:val="auto"/>
                        <w:rPr>
                          <w:rFonts w:hint="default" w:ascii="Times New Roman" w:hAnsi="Times New Roman" w:eastAsia="宋体" w:cs="Times New Roman"/>
                          <w:sz w:val="21"/>
                          <w:szCs w:val="20"/>
                          <w:lang w:val="en-US" w:eastAsia="zh-CN"/>
                        </w:rPr>
                      </w:pPr>
                      <w:r>
                        <w:rPr>
                          <w:rFonts w:hint="eastAsia" w:ascii="Times New Roman" w:hAnsi="Times New Roman" w:eastAsia="宋体" w:cs="Times New Roman"/>
                          <w:sz w:val="21"/>
                          <w:szCs w:val="20"/>
                          <w:lang w:val="en-US" w:eastAsia="zh-CN"/>
                        </w:rPr>
                        <w:t>环境风险保护范围</w:t>
                      </w:r>
                    </w:p>
                    <w:p w14:paraId="0C056EF9">
                      <w:pPr>
                        <w:pStyle w:val="48"/>
                        <w:keepNext w:val="0"/>
                        <w:keepLines w:val="0"/>
                        <w:pageBreakBefore w:val="0"/>
                        <w:widowControl w:val="0"/>
                        <w:kinsoku/>
                        <w:wordWrap/>
                        <w:overflowPunct/>
                        <w:topLinePunct w:val="0"/>
                        <w:bidi w:val="0"/>
                        <w:adjustRightInd w:val="0"/>
                        <w:snapToGrid w:val="0"/>
                        <w:spacing w:line="360" w:lineRule="auto"/>
                        <w:ind w:firstLine="0" w:firstLineChars="0"/>
                        <w:jc w:val="right"/>
                        <w:textAlignment w:val="auto"/>
                        <w:rPr>
                          <w:rFonts w:hint="default" w:ascii="Times New Roman" w:hAnsi="Times New Roman" w:eastAsia="宋体" w:cs="Times New Roman"/>
                          <w:sz w:val="21"/>
                          <w:szCs w:val="20"/>
                          <w:lang w:val="en-US" w:eastAsia="zh-CN"/>
                        </w:rPr>
                      </w:pPr>
                      <w:r>
                        <w:rPr>
                          <w:rFonts w:hint="eastAsia" w:ascii="Times New Roman" w:hAnsi="Times New Roman" w:eastAsia="宋体" w:cs="Times New Roman"/>
                          <w:sz w:val="21"/>
                          <w:szCs w:val="20"/>
                          <w:lang w:val="en-US" w:eastAsia="zh-CN"/>
                        </w:rPr>
                        <w:t>环境风险保护目标</w:t>
                      </w:r>
                    </w:p>
                    <w:p w14:paraId="0C188934">
                      <w:pPr>
                        <w:keepNext w:val="0"/>
                        <w:keepLines w:val="0"/>
                        <w:pageBreakBefore w:val="0"/>
                        <w:widowControl w:val="0"/>
                        <w:kinsoku/>
                        <w:wordWrap/>
                        <w:overflowPunct/>
                        <w:topLinePunct w:val="0"/>
                        <w:bidi w:val="0"/>
                        <w:adjustRightInd w:val="0"/>
                        <w:snapToGrid w:val="0"/>
                        <w:spacing w:line="360" w:lineRule="auto"/>
                        <w:ind w:firstLine="0" w:firstLineChars="0"/>
                        <w:textAlignment w:val="auto"/>
                        <w:rPr>
                          <w:rFonts w:hint="default" w:ascii="Times New Roman" w:hAnsi="Times New Roman" w:eastAsia="宋体" w:cs="Times New Roman"/>
                          <w:sz w:val="21"/>
                          <w:szCs w:val="20"/>
                        </w:rPr>
                      </w:pPr>
                    </w:p>
                    <w:p w14:paraId="1D77ED74">
                      <w:pPr>
                        <w:keepNext w:val="0"/>
                        <w:keepLines w:val="0"/>
                        <w:pageBreakBefore w:val="0"/>
                        <w:widowControl w:val="0"/>
                        <w:kinsoku/>
                        <w:wordWrap/>
                        <w:overflowPunct/>
                        <w:topLinePunct w:val="0"/>
                        <w:bidi w:val="0"/>
                        <w:adjustRightInd w:val="0"/>
                        <w:snapToGrid w:val="0"/>
                        <w:spacing w:line="360" w:lineRule="auto"/>
                        <w:ind w:firstLine="0" w:firstLineChars="0"/>
                        <w:textAlignment w:val="auto"/>
                        <w:rPr>
                          <w:rFonts w:hint="default" w:ascii="Times New Roman" w:hAnsi="Times New Roman" w:eastAsia="宋体" w:cs="Times New Roman"/>
                          <w:sz w:val="21"/>
                          <w:szCs w:val="20"/>
                        </w:rPr>
                      </w:pPr>
                    </w:p>
                  </w:txbxContent>
                </v:textbox>
              </v:shape>
            </w:pict>
          </mc:Fallback>
        </mc:AlternateContent>
      </w:r>
      <w:r>
        <w:rPr>
          <w:rFonts w:hint="default" w:ascii="Times New Roman" w:hAnsi="Times New Roman" w:eastAsia="宋体" w:cs="Times New Roman"/>
          <w:color w:val="auto"/>
          <w:spacing w:val="0"/>
          <w:position w:val="0"/>
          <w:highlight w:val="none"/>
        </w:rPr>
        <w:drawing>
          <wp:anchor distT="0" distB="0" distL="114300" distR="114300" simplePos="0" relativeHeight="251676672" behindDoc="0" locked="0" layoutInCell="1" allowOverlap="1">
            <wp:simplePos x="0" y="0"/>
            <wp:positionH relativeFrom="column">
              <wp:posOffset>4544695</wp:posOffset>
            </wp:positionH>
            <wp:positionV relativeFrom="paragraph">
              <wp:posOffset>21590</wp:posOffset>
            </wp:positionV>
            <wp:extent cx="716915" cy="763270"/>
            <wp:effectExtent l="0" t="0" r="6985" b="17780"/>
            <wp:wrapNone/>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43"/>
                    <a:stretch>
                      <a:fillRect/>
                    </a:stretch>
                  </pic:blipFill>
                  <pic:spPr>
                    <a:xfrm>
                      <a:off x="0" y="0"/>
                      <a:ext cx="716915" cy="763270"/>
                    </a:xfrm>
                    <a:prstGeom prst="rect">
                      <a:avLst/>
                    </a:prstGeom>
                    <a:noFill/>
                    <a:ln>
                      <a:noFill/>
                    </a:ln>
                  </pic:spPr>
                </pic:pic>
              </a:graphicData>
            </a:graphic>
          </wp:anchor>
        </w:drawing>
      </w:r>
      <w:r>
        <w:rPr>
          <w:rFonts w:hint="default" w:ascii="Times New Roman" w:hAnsi="Times New Roman" w:cs="Times New Roman"/>
          <w:color w:val="auto"/>
          <w:highlight w:val="none"/>
        </w:rPr>
        <w:drawing>
          <wp:inline distT="0" distB="0" distL="114300" distR="114300">
            <wp:extent cx="5274945" cy="5274945"/>
            <wp:effectExtent l="0" t="0" r="1905" b="1905"/>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75"/>
                    <a:stretch>
                      <a:fillRect/>
                    </a:stretch>
                  </pic:blipFill>
                  <pic:spPr>
                    <a:xfrm>
                      <a:off x="0" y="0"/>
                      <a:ext cx="5274945" cy="5274945"/>
                    </a:xfrm>
                    <a:prstGeom prst="rect">
                      <a:avLst/>
                    </a:prstGeom>
                    <a:noFill/>
                    <a:ln>
                      <a:noFill/>
                    </a:ln>
                  </pic:spPr>
                </pic:pic>
              </a:graphicData>
            </a:graphic>
          </wp:inline>
        </w:drawing>
      </w:r>
    </w:p>
    <w:p w14:paraId="6A59A9A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图2-1 环境敏感目标区位分布图</w:t>
      </w:r>
    </w:p>
    <w:p w14:paraId="463636C2">
      <w:pPr>
        <w:pageBreakBefore w:val="0"/>
        <w:kinsoku/>
        <w:bidi w:val="0"/>
        <w:adjustRightInd w:val="0"/>
        <w:snapToGrid w:val="0"/>
        <w:ind w:left="0" w:leftChars="0" w:right="0" w:rightChars="0" w:firstLine="0" w:firstLineChars="0"/>
        <w:rPr>
          <w:rFonts w:hint="default" w:ascii="Times New Roman" w:hAnsi="Times New Roman" w:eastAsia="宋体" w:cs="Times New Roman"/>
          <w:color w:val="auto"/>
          <w:sz w:val="24"/>
          <w:szCs w:val="24"/>
          <w:highlight w:val="none"/>
        </w:rPr>
        <w:sectPr>
          <w:headerReference r:id="rId17" w:type="default"/>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type="linesAndChars" w:linePitch="312" w:charSpace="0"/>
        </w:sectPr>
      </w:pPr>
    </w:p>
    <w:p w14:paraId="6D773358">
      <w:pPr>
        <w:pStyle w:val="2"/>
        <w:keepNext/>
        <w:keepLines/>
        <w:pageBreakBefore w:val="0"/>
        <w:widowControl w:val="0"/>
        <w:numPr>
          <w:ilvl w:val="0"/>
          <w:numId w:val="0"/>
        </w:numPr>
        <w:kinsoku/>
        <w:wordWrap/>
        <w:overflowPunct/>
        <w:topLinePunct w:val="0"/>
        <w:autoSpaceDE/>
        <w:autoSpaceDN/>
        <w:bidi w:val="0"/>
        <w:adjustRightInd w:val="0"/>
        <w:snapToGrid w:val="0"/>
        <w:spacing w:before="0" w:after="0" w:line="360" w:lineRule="auto"/>
        <w:ind w:left="0" w:leftChars="0" w:right="0" w:rightChars="0"/>
        <w:jc w:val="left"/>
        <w:textAlignment w:val="auto"/>
        <w:rPr>
          <w:rFonts w:hint="default" w:ascii="Times New Roman" w:hAnsi="Times New Roman" w:eastAsia="宋体" w:cs="Times New Roman"/>
          <w:b/>
          <w:bCs w:val="0"/>
          <w:color w:val="auto"/>
          <w:kern w:val="2"/>
          <w:sz w:val="28"/>
          <w:szCs w:val="28"/>
          <w:highlight w:val="none"/>
          <w:lang w:val="en-US" w:eastAsia="zh-CN" w:bidi="ar-SA"/>
        </w:rPr>
      </w:pPr>
      <w:bookmarkStart w:id="79" w:name="_Toc26568"/>
      <w:bookmarkStart w:id="80" w:name="_Toc10388"/>
      <w:r>
        <w:rPr>
          <w:rFonts w:hint="default" w:ascii="Times New Roman" w:hAnsi="Times New Roman" w:eastAsia="宋体" w:cs="Times New Roman"/>
          <w:b/>
          <w:bCs w:val="0"/>
          <w:color w:val="auto"/>
          <w:kern w:val="2"/>
          <w:sz w:val="28"/>
          <w:szCs w:val="28"/>
          <w:highlight w:val="none"/>
          <w:lang w:val="en-US" w:eastAsia="zh-CN" w:bidi="ar-SA"/>
        </w:rPr>
        <w:t>3环境风险潜势初判</w:t>
      </w:r>
      <w:bookmarkEnd w:id="79"/>
      <w:bookmarkEnd w:id="80"/>
    </w:p>
    <w:p w14:paraId="02C1723F">
      <w:pPr>
        <w:pStyle w:val="3"/>
        <w:keepNext/>
        <w:keepLines/>
        <w:pageBreakBefore w:val="0"/>
        <w:widowControl w:val="0"/>
        <w:numPr>
          <w:ilvl w:val="1"/>
          <w:numId w:val="0"/>
        </w:numPr>
        <w:kinsoku/>
        <w:wordWrap/>
        <w:overflowPunct/>
        <w:topLinePunct w:val="0"/>
        <w:autoSpaceDE/>
        <w:autoSpaceDN/>
        <w:bidi w:val="0"/>
        <w:adjustRightInd w:val="0"/>
        <w:snapToGrid w:val="0"/>
        <w:spacing w:before="0" w:after="0" w:line="360" w:lineRule="auto"/>
        <w:ind w:left="0" w:leftChars="0" w:right="0" w:rightChars="0"/>
        <w:textAlignment w:val="auto"/>
        <w:rPr>
          <w:rFonts w:hint="default" w:ascii="Times New Roman" w:hAnsi="Times New Roman" w:eastAsia="宋体" w:cs="Times New Roman"/>
          <w:b/>
          <w:bCs/>
          <w:color w:val="auto"/>
          <w:kern w:val="0"/>
          <w:sz w:val="24"/>
          <w:szCs w:val="24"/>
          <w:highlight w:val="none"/>
          <w:lang w:val="en-US" w:eastAsia="zh-CN" w:bidi="ar"/>
        </w:rPr>
      </w:pPr>
      <w:bookmarkStart w:id="81" w:name="_Toc2185"/>
      <w:r>
        <w:rPr>
          <w:rFonts w:hint="default" w:ascii="Times New Roman" w:hAnsi="Times New Roman" w:eastAsia="宋体" w:cs="Times New Roman"/>
          <w:b/>
          <w:bCs/>
          <w:color w:val="auto"/>
          <w:kern w:val="0"/>
          <w:sz w:val="24"/>
          <w:szCs w:val="24"/>
          <w:highlight w:val="none"/>
          <w:lang w:val="en-US" w:eastAsia="zh-CN" w:bidi="ar"/>
        </w:rPr>
        <w:t>3.1环境风险潜势划分</w:t>
      </w:r>
      <w:bookmarkEnd w:id="81"/>
    </w:p>
    <w:p w14:paraId="184D7B4A">
      <w:pPr>
        <w:pageBreakBefore w:val="0"/>
        <w:kinsoku/>
        <w:bidi w:val="0"/>
        <w:adjustRightInd w:val="0"/>
        <w:snapToGrid w:val="0"/>
        <w:spacing w:line="360" w:lineRule="auto"/>
        <w:ind w:left="0" w:leftChars="0" w:right="0" w:rightChars="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建设项目环境风险潜势划分为Ⅰ、Ⅱ、Ⅲ、Ⅳ/Ⅳ</w:t>
      </w:r>
      <w:r>
        <w:rPr>
          <w:rFonts w:hint="default" w:ascii="Times New Roman" w:hAnsi="Times New Roman" w:eastAsia="宋体" w:cs="Times New Roman"/>
          <w:color w:val="auto"/>
          <w:sz w:val="24"/>
          <w:szCs w:val="24"/>
          <w:highlight w:val="none"/>
          <w:vertAlign w:val="superscript"/>
        </w:rPr>
        <w:t>+</w:t>
      </w:r>
      <w:r>
        <w:rPr>
          <w:rFonts w:hint="default" w:ascii="Times New Roman" w:hAnsi="Times New Roman" w:eastAsia="宋体" w:cs="Times New Roman"/>
          <w:color w:val="auto"/>
          <w:sz w:val="24"/>
          <w:szCs w:val="24"/>
          <w:highlight w:val="none"/>
        </w:rPr>
        <w:t>。</w:t>
      </w:r>
    </w:p>
    <w:p w14:paraId="197FEEA7">
      <w:pPr>
        <w:pageBreakBefore w:val="0"/>
        <w:kinsoku/>
        <w:bidi w:val="0"/>
        <w:adjustRightInd w:val="0"/>
        <w:snapToGrid w:val="0"/>
        <w:spacing w:line="360" w:lineRule="auto"/>
        <w:ind w:left="0" w:leftChars="0" w:right="0" w:rightChars="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根据建设项目涉及的物质及工艺系统危险性和所在地的环境敏感程度，结合事故情形下环境影响途径，对建设潜在的环境危害程度进行概化，按照表3-1确定环境风险潜势。</w:t>
      </w:r>
    </w:p>
    <w:p w14:paraId="0911744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表3-1 建设项目环境风险潜势划分</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34"/>
        <w:gridCol w:w="1559"/>
        <w:gridCol w:w="1561"/>
        <w:gridCol w:w="1561"/>
        <w:gridCol w:w="1613"/>
      </w:tblGrid>
      <w:tr w14:paraId="182AAC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10" w:type="pct"/>
            <w:vMerge w:val="restart"/>
            <w:vAlign w:val="center"/>
          </w:tcPr>
          <w:p w14:paraId="6ADB4FE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环境敏感程度（E）</w:t>
            </w:r>
          </w:p>
        </w:tc>
        <w:tc>
          <w:tcPr>
            <w:tcW w:w="3690" w:type="pct"/>
            <w:gridSpan w:val="4"/>
            <w:vAlign w:val="center"/>
          </w:tcPr>
          <w:p w14:paraId="6FC9318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危险物质及工艺系统危险性（P）</w:t>
            </w:r>
          </w:p>
        </w:tc>
      </w:tr>
      <w:tr w14:paraId="7FBAB1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10" w:type="pct"/>
            <w:vMerge w:val="continue"/>
            <w:vAlign w:val="center"/>
          </w:tcPr>
          <w:p w14:paraId="2FF3BD6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914" w:type="pct"/>
            <w:vAlign w:val="center"/>
          </w:tcPr>
          <w:p w14:paraId="2B3E626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极高危害（P1）</w:t>
            </w:r>
          </w:p>
        </w:tc>
        <w:tc>
          <w:tcPr>
            <w:tcW w:w="915" w:type="pct"/>
            <w:vAlign w:val="center"/>
          </w:tcPr>
          <w:p w14:paraId="3BBB735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高度危害（P2）</w:t>
            </w:r>
          </w:p>
        </w:tc>
        <w:tc>
          <w:tcPr>
            <w:tcW w:w="915" w:type="pct"/>
            <w:vAlign w:val="center"/>
          </w:tcPr>
          <w:p w14:paraId="10DDAA1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中度危害（P3）</w:t>
            </w:r>
          </w:p>
        </w:tc>
        <w:tc>
          <w:tcPr>
            <w:tcW w:w="946" w:type="pct"/>
            <w:vAlign w:val="center"/>
          </w:tcPr>
          <w:p w14:paraId="22FD744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轻度危害（P4）</w:t>
            </w:r>
          </w:p>
        </w:tc>
      </w:tr>
      <w:tr w14:paraId="15E177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10" w:type="pct"/>
            <w:vAlign w:val="center"/>
          </w:tcPr>
          <w:p w14:paraId="0C6FC3A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环境高度敏感区（E1）</w:t>
            </w:r>
          </w:p>
        </w:tc>
        <w:tc>
          <w:tcPr>
            <w:tcW w:w="914" w:type="pct"/>
            <w:vAlign w:val="center"/>
          </w:tcPr>
          <w:p w14:paraId="3BDFA13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bidi="en-US"/>
              </w:rPr>
              <w:t>Ⅳ</w:t>
            </w:r>
            <w:r>
              <w:rPr>
                <w:rFonts w:hint="default" w:ascii="Times New Roman" w:hAnsi="Times New Roman" w:eastAsia="宋体" w:cs="Times New Roman"/>
                <w:color w:val="auto"/>
                <w:sz w:val="21"/>
                <w:szCs w:val="21"/>
                <w:highlight w:val="none"/>
                <w:vertAlign w:val="superscript"/>
                <w:lang w:bidi="en-US"/>
              </w:rPr>
              <w:t>+</w:t>
            </w:r>
          </w:p>
        </w:tc>
        <w:tc>
          <w:tcPr>
            <w:tcW w:w="915" w:type="pct"/>
            <w:tcBorders>
              <w:bottom w:val="single" w:color="auto" w:sz="4" w:space="0"/>
            </w:tcBorders>
            <w:vAlign w:val="center"/>
          </w:tcPr>
          <w:p w14:paraId="0FF5227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bidi="en-US"/>
              </w:rPr>
              <w:t>Ⅳ</w:t>
            </w:r>
          </w:p>
        </w:tc>
        <w:tc>
          <w:tcPr>
            <w:tcW w:w="915" w:type="pct"/>
            <w:vAlign w:val="center"/>
          </w:tcPr>
          <w:p w14:paraId="3F75DCB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bidi="en-US"/>
              </w:rPr>
              <w:t>Ⅲ</w:t>
            </w:r>
          </w:p>
        </w:tc>
        <w:tc>
          <w:tcPr>
            <w:tcW w:w="946" w:type="pct"/>
            <w:vAlign w:val="center"/>
          </w:tcPr>
          <w:p w14:paraId="358BD9A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bidi="en-US"/>
              </w:rPr>
              <w:t>Ⅲ</w:t>
            </w:r>
          </w:p>
        </w:tc>
      </w:tr>
      <w:tr w14:paraId="1692DF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10" w:type="pct"/>
            <w:vAlign w:val="center"/>
          </w:tcPr>
          <w:p w14:paraId="0A4F42D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环境中度敏感区（E2）</w:t>
            </w:r>
          </w:p>
        </w:tc>
        <w:tc>
          <w:tcPr>
            <w:tcW w:w="914" w:type="pct"/>
            <w:vAlign w:val="center"/>
          </w:tcPr>
          <w:p w14:paraId="46F17E0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bidi="en-US"/>
              </w:rPr>
              <w:t>Ⅳ</w:t>
            </w:r>
          </w:p>
        </w:tc>
        <w:tc>
          <w:tcPr>
            <w:tcW w:w="915" w:type="pct"/>
            <w:tcBorders>
              <w:top w:val="single" w:color="auto" w:sz="4" w:space="0"/>
              <w:bottom w:val="single" w:color="auto" w:sz="4" w:space="0"/>
            </w:tcBorders>
            <w:shd w:val="clear" w:color="auto" w:fill="auto"/>
            <w:vAlign w:val="center"/>
          </w:tcPr>
          <w:p w14:paraId="71F834D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bidi="en-US"/>
              </w:rPr>
              <w:t>Ⅲ</w:t>
            </w:r>
          </w:p>
        </w:tc>
        <w:tc>
          <w:tcPr>
            <w:tcW w:w="915" w:type="pct"/>
            <w:vAlign w:val="center"/>
          </w:tcPr>
          <w:p w14:paraId="7F8B506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bidi="en-US"/>
              </w:rPr>
              <w:t>Ⅲ</w:t>
            </w:r>
          </w:p>
        </w:tc>
        <w:tc>
          <w:tcPr>
            <w:tcW w:w="946" w:type="pct"/>
            <w:vAlign w:val="center"/>
          </w:tcPr>
          <w:p w14:paraId="210975D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Ⅱ</w:t>
            </w:r>
          </w:p>
        </w:tc>
      </w:tr>
      <w:tr w14:paraId="4CD2CA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10" w:type="pct"/>
            <w:vAlign w:val="center"/>
          </w:tcPr>
          <w:p w14:paraId="3C32CA0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环境低度敏感区（E3）</w:t>
            </w:r>
          </w:p>
        </w:tc>
        <w:tc>
          <w:tcPr>
            <w:tcW w:w="914" w:type="pct"/>
            <w:vAlign w:val="center"/>
          </w:tcPr>
          <w:p w14:paraId="57A1515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bidi="en-US"/>
              </w:rPr>
              <w:t>Ⅲ</w:t>
            </w:r>
          </w:p>
        </w:tc>
        <w:tc>
          <w:tcPr>
            <w:tcW w:w="915" w:type="pct"/>
            <w:tcBorders>
              <w:top w:val="single" w:color="auto" w:sz="4" w:space="0"/>
              <w:bottom w:val="single" w:color="auto" w:sz="4" w:space="0"/>
            </w:tcBorders>
            <w:shd w:val="clear" w:color="auto" w:fill="auto"/>
            <w:vAlign w:val="center"/>
          </w:tcPr>
          <w:p w14:paraId="4EEBD36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bidi="en-US"/>
              </w:rPr>
              <w:t>Ⅲ</w:t>
            </w:r>
          </w:p>
        </w:tc>
        <w:tc>
          <w:tcPr>
            <w:tcW w:w="915" w:type="pct"/>
            <w:vAlign w:val="center"/>
          </w:tcPr>
          <w:p w14:paraId="6DA0BF8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Ⅱ</w:t>
            </w:r>
          </w:p>
        </w:tc>
        <w:tc>
          <w:tcPr>
            <w:tcW w:w="946" w:type="pct"/>
            <w:vAlign w:val="center"/>
          </w:tcPr>
          <w:p w14:paraId="4867D4B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bidi="en-US"/>
              </w:rPr>
              <w:t>Ⅰ</w:t>
            </w:r>
          </w:p>
        </w:tc>
      </w:tr>
      <w:tr w14:paraId="1B139A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5"/>
            <w:vAlign w:val="center"/>
          </w:tcPr>
          <w:p w14:paraId="342E5C7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注：Ⅳ</w:t>
            </w:r>
            <w:r>
              <w:rPr>
                <w:rFonts w:hint="default" w:ascii="Times New Roman" w:hAnsi="Times New Roman" w:eastAsia="宋体" w:cs="Times New Roman"/>
                <w:color w:val="auto"/>
                <w:sz w:val="21"/>
                <w:szCs w:val="21"/>
                <w:highlight w:val="none"/>
                <w:vertAlign w:val="superscript"/>
                <w:lang w:bidi="en-US"/>
              </w:rPr>
              <w:t>+</w:t>
            </w:r>
            <w:r>
              <w:rPr>
                <w:rFonts w:hint="default" w:ascii="Times New Roman" w:hAnsi="Times New Roman" w:eastAsia="宋体" w:cs="Times New Roman"/>
                <w:color w:val="auto"/>
                <w:sz w:val="21"/>
                <w:szCs w:val="21"/>
                <w:highlight w:val="none"/>
                <w:lang w:bidi="en-US"/>
              </w:rPr>
              <w:t>为极高环境风险</w:t>
            </w:r>
          </w:p>
        </w:tc>
      </w:tr>
    </w:tbl>
    <w:p w14:paraId="7E65669A">
      <w:pPr>
        <w:pStyle w:val="3"/>
        <w:keepNext/>
        <w:keepLines/>
        <w:pageBreakBefore w:val="0"/>
        <w:widowControl w:val="0"/>
        <w:numPr>
          <w:ilvl w:val="1"/>
          <w:numId w:val="0"/>
        </w:numPr>
        <w:kinsoku/>
        <w:wordWrap/>
        <w:overflowPunct/>
        <w:topLinePunct w:val="0"/>
        <w:autoSpaceDE/>
        <w:autoSpaceDN/>
        <w:bidi w:val="0"/>
        <w:adjustRightInd w:val="0"/>
        <w:snapToGrid w:val="0"/>
        <w:spacing w:before="0" w:after="0" w:line="360" w:lineRule="auto"/>
        <w:ind w:left="0" w:leftChars="0" w:right="0" w:rightChars="0"/>
        <w:textAlignment w:val="auto"/>
        <w:rPr>
          <w:rFonts w:hint="default" w:ascii="Times New Roman" w:hAnsi="Times New Roman" w:eastAsia="宋体" w:cs="Times New Roman"/>
          <w:b/>
          <w:bCs/>
          <w:color w:val="auto"/>
          <w:kern w:val="0"/>
          <w:sz w:val="24"/>
          <w:szCs w:val="24"/>
          <w:highlight w:val="none"/>
          <w:lang w:val="en-US" w:eastAsia="zh-CN" w:bidi="ar"/>
        </w:rPr>
      </w:pPr>
      <w:bookmarkStart w:id="82" w:name="_Toc3636"/>
      <w:r>
        <w:rPr>
          <w:rFonts w:hint="default" w:ascii="Times New Roman" w:hAnsi="Times New Roman" w:eastAsia="宋体" w:cs="Times New Roman"/>
          <w:b/>
          <w:bCs/>
          <w:color w:val="auto"/>
          <w:kern w:val="0"/>
          <w:sz w:val="24"/>
          <w:szCs w:val="24"/>
          <w:highlight w:val="none"/>
          <w:lang w:val="en-US" w:eastAsia="zh-CN" w:bidi="ar"/>
        </w:rPr>
        <w:t>3.2 P的分级确定</w:t>
      </w:r>
      <w:bookmarkEnd w:id="82"/>
    </w:p>
    <w:p w14:paraId="454097B3">
      <w:pPr>
        <w:pStyle w:val="4"/>
        <w:keepNext/>
        <w:keepLines/>
        <w:pageBreakBefore w:val="0"/>
        <w:widowControl w:val="0"/>
        <w:numPr>
          <w:ilvl w:val="2"/>
          <w:numId w:val="0"/>
        </w:numPr>
        <w:kinsoku/>
        <w:wordWrap/>
        <w:overflowPunct/>
        <w:topLinePunct w:val="0"/>
        <w:autoSpaceDE/>
        <w:autoSpaceDN/>
        <w:bidi w:val="0"/>
        <w:adjustRightInd w:val="0"/>
        <w:snapToGrid w:val="0"/>
        <w:spacing w:beforeLines="0" w:afterLines="0"/>
        <w:ind w:left="0" w:leftChars="0" w:right="0" w:rightChars="0"/>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3.2.1危险物质数量与临界量比值（Q）</w:t>
      </w:r>
    </w:p>
    <w:p w14:paraId="36708144">
      <w:pPr>
        <w:keepNext w:val="0"/>
        <w:keepLines w:val="0"/>
        <w:pageBreakBefore w:val="0"/>
        <w:widowControl w:val="0"/>
        <w:kinsoku/>
        <w:wordWrap/>
        <w:overflowPunct w:val="0"/>
        <w:topLinePunct w:val="0"/>
        <w:autoSpaceDE/>
        <w:autoSpaceDN/>
        <w:bidi w:val="0"/>
        <w:adjustRightInd w:val="0"/>
        <w:snapToGrid w:val="0"/>
        <w:spacing w:line="360" w:lineRule="auto"/>
        <w:ind w:firstLine="480" w:firstLineChars="200"/>
        <w:textAlignment w:val="auto"/>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pP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t>按下式计算物质总量与其临界量比值（Q）。</w:t>
      </w:r>
    </w:p>
    <w:p w14:paraId="2B224BBE">
      <w:pPr>
        <w:keepNext w:val="0"/>
        <w:keepLines w:val="0"/>
        <w:pageBreakBefore w:val="0"/>
        <w:widowControl w:val="0"/>
        <w:kinsoku/>
        <w:wordWrap/>
        <w:overflowPunct w:val="0"/>
        <w:topLinePunct w:val="0"/>
        <w:autoSpaceDE/>
        <w:autoSpaceDN/>
        <w:bidi w:val="0"/>
        <w:adjustRightInd w:val="0"/>
        <w:snapToGrid w:val="0"/>
        <w:spacing w:line="360" w:lineRule="auto"/>
        <w:jc w:val="center"/>
        <w:textAlignment w:val="auto"/>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pPr>
      <w:r>
        <w:rPr>
          <w:rFonts w:hint="default" w:ascii="Times New Roman" w:hAnsi="Times New Roman" w:eastAsia="宋体" w:cs="Times New Roman"/>
          <w:color w:val="auto"/>
          <w:szCs w:val="24"/>
          <w:highlight w:val="none"/>
        </w:rPr>
        <w:drawing>
          <wp:inline distT="0" distB="0" distL="114300" distR="114300">
            <wp:extent cx="1428750" cy="431800"/>
            <wp:effectExtent l="0" t="0" r="0" b="5080"/>
            <wp:docPr id="8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5"/>
                    <pic:cNvPicPr>
                      <a:picLocks noChangeAspect="1"/>
                    </pic:cNvPicPr>
                  </pic:nvPicPr>
                  <pic:blipFill>
                    <a:blip r:embed="rId76"/>
                    <a:stretch>
                      <a:fillRect/>
                    </a:stretch>
                  </pic:blipFill>
                  <pic:spPr>
                    <a:xfrm>
                      <a:off x="0" y="0"/>
                      <a:ext cx="1428750" cy="431800"/>
                    </a:xfrm>
                    <a:prstGeom prst="rect">
                      <a:avLst/>
                    </a:prstGeom>
                    <a:noFill/>
                    <a:ln>
                      <a:noFill/>
                    </a:ln>
                  </pic:spPr>
                </pic:pic>
              </a:graphicData>
            </a:graphic>
          </wp:inline>
        </w:drawing>
      </w:r>
    </w:p>
    <w:p w14:paraId="495FD1E7">
      <w:pPr>
        <w:keepNext w:val="0"/>
        <w:keepLines w:val="0"/>
        <w:pageBreakBefore w:val="0"/>
        <w:widowControl w:val="0"/>
        <w:kinsoku/>
        <w:wordWrap/>
        <w:overflowPunct w:val="0"/>
        <w:topLinePunct w:val="0"/>
        <w:autoSpaceDE/>
        <w:autoSpaceDN/>
        <w:bidi w:val="0"/>
        <w:adjustRightInd w:val="0"/>
        <w:snapToGrid w:val="0"/>
        <w:spacing w:line="360" w:lineRule="auto"/>
        <w:ind w:firstLine="480" w:firstLineChars="200"/>
        <w:textAlignment w:val="auto"/>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pP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t>式中：q</w:t>
      </w: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vertAlign w:val="subscript"/>
          <w:lang w:eastAsia="zh-CN"/>
        </w:rPr>
        <w:t>1</w:t>
      </w: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t>、q</w:t>
      </w: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vertAlign w:val="subscript"/>
          <w:lang w:eastAsia="zh-CN"/>
        </w:rPr>
        <w:t>2</w:t>
      </w: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t>、q</w:t>
      </w: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vertAlign w:val="subscript"/>
          <w:lang w:eastAsia="zh-CN"/>
        </w:rPr>
        <w:t>n</w:t>
      </w: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t>——每种危险物质的最大存在总量，t；</w:t>
      </w:r>
    </w:p>
    <w:p w14:paraId="164EF82B">
      <w:pPr>
        <w:keepNext w:val="0"/>
        <w:keepLines w:val="0"/>
        <w:pageBreakBefore w:val="0"/>
        <w:widowControl w:val="0"/>
        <w:kinsoku/>
        <w:wordWrap/>
        <w:overflowPunct w:val="0"/>
        <w:topLinePunct w:val="0"/>
        <w:autoSpaceDE/>
        <w:autoSpaceDN/>
        <w:bidi w:val="0"/>
        <w:adjustRightInd w:val="0"/>
        <w:snapToGrid w:val="0"/>
        <w:spacing w:line="360" w:lineRule="auto"/>
        <w:ind w:firstLine="1200" w:firstLineChars="500"/>
        <w:textAlignment w:val="auto"/>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pP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t>Q</w:t>
      </w: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vertAlign w:val="subscript"/>
          <w:lang w:eastAsia="zh-CN"/>
        </w:rPr>
        <w:t>1</w:t>
      </w: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t>、Q</w:t>
      </w: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vertAlign w:val="subscript"/>
          <w:lang w:eastAsia="zh-CN"/>
        </w:rPr>
        <w:t>2</w:t>
      </w: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t>、Q</w:t>
      </w: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vertAlign w:val="subscript"/>
          <w:lang w:eastAsia="zh-CN"/>
        </w:rPr>
        <w:t>n</w:t>
      </w: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t>——每种危险物质的临界量，t。</w:t>
      </w:r>
    </w:p>
    <w:p w14:paraId="0BCD73B8">
      <w:pPr>
        <w:keepNext w:val="0"/>
        <w:keepLines w:val="0"/>
        <w:pageBreakBefore w:val="0"/>
        <w:widowControl w:val="0"/>
        <w:kinsoku/>
        <w:wordWrap/>
        <w:overflowPunct w:val="0"/>
        <w:topLinePunct w:val="0"/>
        <w:autoSpaceDE/>
        <w:autoSpaceDN/>
        <w:bidi w:val="0"/>
        <w:adjustRightInd w:val="0"/>
        <w:snapToGrid w:val="0"/>
        <w:spacing w:line="360" w:lineRule="auto"/>
        <w:ind w:firstLine="1200" w:firstLineChars="500"/>
        <w:textAlignment w:val="auto"/>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pP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t>当Q&lt;1时，该项目环境风险潜势为I。</w:t>
      </w:r>
    </w:p>
    <w:p w14:paraId="5D4D6D7A">
      <w:pPr>
        <w:keepNext w:val="0"/>
        <w:keepLines w:val="0"/>
        <w:pageBreakBefore w:val="0"/>
        <w:widowControl w:val="0"/>
        <w:kinsoku/>
        <w:wordWrap/>
        <w:overflowPunct w:val="0"/>
        <w:topLinePunct w:val="0"/>
        <w:autoSpaceDE/>
        <w:autoSpaceDN/>
        <w:bidi w:val="0"/>
        <w:adjustRightInd w:val="0"/>
        <w:snapToGrid w:val="0"/>
        <w:spacing w:line="360" w:lineRule="auto"/>
        <w:ind w:firstLine="1200" w:firstLineChars="500"/>
        <w:textAlignment w:val="auto"/>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pP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t>当Q≥1时，将Q值划分为：（1）1≤Q＜10；（2）10≤Q＜100；（3）Q≥100。</w:t>
      </w:r>
    </w:p>
    <w:p w14:paraId="7383E35F">
      <w:pPr>
        <w:keepNext w:val="0"/>
        <w:keepLines w:val="0"/>
        <w:pageBreakBefore w:val="0"/>
        <w:widowControl w:val="0"/>
        <w:kinsoku/>
        <w:wordWrap/>
        <w:overflowPunct w:val="0"/>
        <w:topLinePunct w:val="0"/>
        <w:autoSpaceDE/>
        <w:autoSpaceDN/>
        <w:bidi w:val="0"/>
        <w:adjustRightInd w:val="0"/>
        <w:snapToGrid w:val="0"/>
        <w:spacing w:line="360" w:lineRule="auto"/>
        <w:ind w:firstLine="480" w:firstLineChars="200"/>
        <w:textAlignment w:val="auto"/>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pP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t>根据项目调查，按照项目的工艺流程和平面布置功能区划结合物质危险性识别可知，建设项目涉及的危险物质主要分布在罐区。</w:t>
      </w:r>
    </w:p>
    <w:p w14:paraId="425F6620">
      <w:pPr>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w:t>
      </w:r>
      <w:r>
        <w:rPr>
          <w:rFonts w:hint="default" w:ascii="Times New Roman" w:hAnsi="Times New Roman" w:eastAsia="宋体" w:cs="Times New Roman"/>
          <w:b/>
          <w:color w:val="auto"/>
          <w:sz w:val="24"/>
          <w:szCs w:val="24"/>
          <w:highlight w:val="none"/>
          <w:lang w:val="en-US" w:eastAsia="zh-CN"/>
        </w:rPr>
        <w:t>3-2</w:t>
      </w:r>
      <w:r>
        <w:rPr>
          <w:rFonts w:hint="default" w:ascii="Times New Roman" w:hAnsi="Times New Roman" w:eastAsia="宋体" w:cs="Times New Roman"/>
          <w:b/>
          <w:color w:val="auto"/>
          <w:sz w:val="24"/>
          <w:szCs w:val="24"/>
          <w:highlight w:val="none"/>
        </w:rPr>
        <w:t xml:space="preserve"> 危险物质分布数量与临界量比值</w:t>
      </w:r>
    </w:p>
    <w:tbl>
      <w:tblPr>
        <w:tblStyle w:val="29"/>
        <w:tblW w:w="498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691"/>
        <w:gridCol w:w="1119"/>
        <w:gridCol w:w="1121"/>
        <w:gridCol w:w="1503"/>
        <w:gridCol w:w="1729"/>
        <w:gridCol w:w="1368"/>
        <w:gridCol w:w="817"/>
      </w:tblGrid>
      <w:tr w14:paraId="6EFAB2E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414" w:type="pct"/>
            <w:noWrap w:val="0"/>
            <w:tcMar>
              <w:left w:w="28" w:type="dxa"/>
              <w:right w:w="28" w:type="dxa"/>
            </w:tcMar>
            <w:vAlign w:val="center"/>
          </w:tcPr>
          <w:p w14:paraId="27FA4118">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670" w:type="pct"/>
            <w:noWrap w:val="0"/>
            <w:tcMar>
              <w:left w:w="28" w:type="dxa"/>
              <w:right w:w="28" w:type="dxa"/>
            </w:tcMar>
            <w:vAlign w:val="center"/>
          </w:tcPr>
          <w:p w14:paraId="09B01C0E">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危险物质</w:t>
            </w:r>
          </w:p>
        </w:tc>
        <w:tc>
          <w:tcPr>
            <w:tcW w:w="671" w:type="pct"/>
            <w:noWrap w:val="0"/>
            <w:tcMar>
              <w:left w:w="28" w:type="dxa"/>
              <w:right w:w="28" w:type="dxa"/>
            </w:tcMar>
            <w:vAlign w:val="center"/>
          </w:tcPr>
          <w:p w14:paraId="59F8A31B">
            <w:pPr>
              <w:pStyle w:val="111"/>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rPr>
              <w:t>CAS 号</w:t>
            </w:r>
          </w:p>
        </w:tc>
        <w:tc>
          <w:tcPr>
            <w:tcW w:w="900" w:type="pct"/>
            <w:noWrap w:val="0"/>
            <w:tcMar>
              <w:left w:w="28" w:type="dxa"/>
              <w:right w:w="28" w:type="dxa"/>
            </w:tcMar>
            <w:vAlign w:val="center"/>
          </w:tcPr>
          <w:p w14:paraId="16EF4DF0">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临界量Qi（t）</w:t>
            </w:r>
          </w:p>
        </w:tc>
        <w:tc>
          <w:tcPr>
            <w:tcW w:w="1034" w:type="pct"/>
            <w:noWrap w:val="0"/>
            <w:tcMar>
              <w:left w:w="28" w:type="dxa"/>
              <w:right w:w="28" w:type="dxa"/>
            </w:tcMar>
            <w:vAlign w:val="center"/>
          </w:tcPr>
          <w:p w14:paraId="2E6351C5">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最大存在</w:t>
            </w:r>
            <w:r>
              <w:rPr>
                <w:rFonts w:hint="default" w:ascii="Times New Roman" w:hAnsi="Times New Roman" w:eastAsia="宋体" w:cs="Times New Roman"/>
                <w:color w:val="auto"/>
                <w:sz w:val="21"/>
                <w:szCs w:val="21"/>
                <w:highlight w:val="none"/>
              </w:rPr>
              <w:t>量qi（t）</w:t>
            </w:r>
          </w:p>
        </w:tc>
        <w:tc>
          <w:tcPr>
            <w:tcW w:w="819" w:type="pct"/>
            <w:noWrap w:val="0"/>
            <w:vAlign w:val="center"/>
          </w:tcPr>
          <w:p w14:paraId="5CB59561">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Q=Σqn/Qn</w:t>
            </w:r>
          </w:p>
        </w:tc>
        <w:tc>
          <w:tcPr>
            <w:tcW w:w="489" w:type="pct"/>
            <w:noWrap w:val="0"/>
            <w:vAlign w:val="center"/>
          </w:tcPr>
          <w:p w14:paraId="5309BCCD">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备注</w:t>
            </w:r>
          </w:p>
        </w:tc>
      </w:tr>
      <w:tr w14:paraId="7B1A02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414" w:type="pct"/>
            <w:noWrap w:val="0"/>
            <w:tcMar>
              <w:left w:w="28" w:type="dxa"/>
              <w:right w:w="28" w:type="dxa"/>
            </w:tcMar>
            <w:vAlign w:val="center"/>
          </w:tcPr>
          <w:p w14:paraId="4DEBB2D6">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670" w:type="pct"/>
            <w:noWrap w:val="0"/>
            <w:tcMar>
              <w:left w:w="28" w:type="dxa"/>
              <w:right w:w="28" w:type="dxa"/>
            </w:tcMar>
            <w:vAlign w:val="center"/>
          </w:tcPr>
          <w:p w14:paraId="6CC30766">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正己烷</w:t>
            </w:r>
          </w:p>
        </w:tc>
        <w:tc>
          <w:tcPr>
            <w:tcW w:w="671" w:type="pct"/>
            <w:noWrap w:val="0"/>
            <w:tcMar>
              <w:left w:w="28" w:type="dxa"/>
              <w:right w:w="28" w:type="dxa"/>
            </w:tcMar>
            <w:vAlign w:val="center"/>
          </w:tcPr>
          <w:p w14:paraId="74BDD0EB">
            <w:pPr>
              <w:pStyle w:val="111"/>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rPr>
              <w:t>110-54-3</w:t>
            </w:r>
          </w:p>
        </w:tc>
        <w:tc>
          <w:tcPr>
            <w:tcW w:w="900" w:type="pct"/>
            <w:noWrap w:val="0"/>
            <w:tcMar>
              <w:left w:w="28" w:type="dxa"/>
              <w:right w:w="28" w:type="dxa"/>
            </w:tcMar>
            <w:vAlign w:val="center"/>
          </w:tcPr>
          <w:p w14:paraId="7B5B2208">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034" w:type="pct"/>
            <w:noWrap w:val="0"/>
            <w:tcMar>
              <w:left w:w="28" w:type="dxa"/>
              <w:right w:w="28" w:type="dxa"/>
            </w:tcMar>
            <w:vAlign w:val="center"/>
          </w:tcPr>
          <w:p w14:paraId="0D980B97">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70</w:t>
            </w:r>
          </w:p>
        </w:tc>
        <w:tc>
          <w:tcPr>
            <w:tcW w:w="819" w:type="pct"/>
            <w:noWrap w:val="0"/>
            <w:vAlign w:val="center"/>
          </w:tcPr>
          <w:p w14:paraId="437086B6">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7.0</w:t>
            </w:r>
          </w:p>
        </w:tc>
        <w:tc>
          <w:tcPr>
            <w:tcW w:w="489" w:type="pct"/>
            <w:noWrap w:val="0"/>
            <w:vAlign w:val="center"/>
          </w:tcPr>
          <w:p w14:paraId="759170CA">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z w:val="21"/>
                <w:szCs w:val="21"/>
                <w:highlight w:val="none"/>
              </w:rPr>
            </w:pPr>
          </w:p>
        </w:tc>
      </w:tr>
      <w:tr w14:paraId="3F7C799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414" w:type="pct"/>
            <w:noWrap w:val="0"/>
            <w:tcMar>
              <w:left w:w="28" w:type="dxa"/>
              <w:right w:w="28" w:type="dxa"/>
            </w:tcMar>
            <w:vAlign w:val="center"/>
          </w:tcPr>
          <w:p w14:paraId="0D77B63F">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670" w:type="pct"/>
            <w:shd w:val="clear" w:color="auto" w:fill="auto"/>
            <w:noWrap w:val="0"/>
            <w:tcMar>
              <w:left w:w="28" w:type="dxa"/>
              <w:right w:w="28" w:type="dxa"/>
            </w:tcMar>
            <w:vAlign w:val="center"/>
          </w:tcPr>
          <w:p w14:paraId="04F74C9D">
            <w:pPr>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磷酸</w:t>
            </w:r>
          </w:p>
        </w:tc>
        <w:tc>
          <w:tcPr>
            <w:tcW w:w="671" w:type="pct"/>
            <w:shd w:val="clear" w:color="auto" w:fill="auto"/>
            <w:noWrap w:val="0"/>
            <w:tcMar>
              <w:left w:w="28" w:type="dxa"/>
              <w:right w:w="28" w:type="dxa"/>
            </w:tcMar>
            <w:vAlign w:val="center"/>
          </w:tcPr>
          <w:p w14:paraId="170DFD80">
            <w:pPr>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7664-38-2</w:t>
            </w:r>
          </w:p>
        </w:tc>
        <w:tc>
          <w:tcPr>
            <w:tcW w:w="900" w:type="pct"/>
            <w:shd w:val="clear" w:color="auto" w:fill="auto"/>
            <w:noWrap w:val="0"/>
            <w:tcMar>
              <w:left w:w="28" w:type="dxa"/>
              <w:right w:w="28" w:type="dxa"/>
            </w:tcMar>
            <w:vAlign w:val="center"/>
          </w:tcPr>
          <w:p w14:paraId="1D403BCE">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w:t>
            </w:r>
          </w:p>
        </w:tc>
        <w:tc>
          <w:tcPr>
            <w:tcW w:w="1034" w:type="pct"/>
            <w:shd w:val="clear" w:color="auto" w:fill="auto"/>
            <w:noWrap w:val="0"/>
            <w:tcMar>
              <w:left w:w="28" w:type="dxa"/>
              <w:right w:w="28" w:type="dxa"/>
            </w:tcMar>
            <w:vAlign w:val="center"/>
          </w:tcPr>
          <w:p w14:paraId="6EFA8F80">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w:t>
            </w:r>
          </w:p>
        </w:tc>
        <w:tc>
          <w:tcPr>
            <w:tcW w:w="819" w:type="pct"/>
            <w:shd w:val="clear" w:color="auto" w:fill="auto"/>
            <w:noWrap w:val="0"/>
            <w:vAlign w:val="center"/>
          </w:tcPr>
          <w:p w14:paraId="4F92AE23">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0.12</w:t>
            </w:r>
          </w:p>
        </w:tc>
        <w:tc>
          <w:tcPr>
            <w:tcW w:w="489" w:type="pct"/>
            <w:noWrap w:val="0"/>
            <w:vAlign w:val="center"/>
          </w:tcPr>
          <w:p w14:paraId="7C547C19">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z w:val="21"/>
                <w:szCs w:val="21"/>
                <w:highlight w:val="none"/>
              </w:rPr>
            </w:pPr>
          </w:p>
        </w:tc>
      </w:tr>
      <w:tr w14:paraId="61B61B8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414" w:type="pct"/>
            <w:noWrap w:val="0"/>
            <w:tcMar>
              <w:left w:w="28" w:type="dxa"/>
              <w:right w:w="28" w:type="dxa"/>
            </w:tcMar>
            <w:vAlign w:val="center"/>
          </w:tcPr>
          <w:p w14:paraId="64A79BF5">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670" w:type="pct"/>
            <w:shd w:val="clear" w:color="auto" w:fill="auto"/>
            <w:noWrap w:val="0"/>
            <w:tcMar>
              <w:left w:w="28" w:type="dxa"/>
              <w:right w:w="28" w:type="dxa"/>
            </w:tcMar>
            <w:vAlign w:val="center"/>
          </w:tcPr>
          <w:p w14:paraId="355DE247">
            <w:pPr>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氢氧化钠</w:t>
            </w:r>
          </w:p>
        </w:tc>
        <w:tc>
          <w:tcPr>
            <w:tcW w:w="671" w:type="pct"/>
            <w:shd w:val="clear" w:color="auto" w:fill="auto"/>
            <w:noWrap w:val="0"/>
            <w:tcMar>
              <w:left w:w="28" w:type="dxa"/>
              <w:right w:w="28" w:type="dxa"/>
            </w:tcMar>
            <w:vAlign w:val="center"/>
          </w:tcPr>
          <w:p w14:paraId="39820070">
            <w:pPr>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900" w:type="pct"/>
            <w:shd w:val="clear" w:color="auto" w:fill="auto"/>
            <w:noWrap w:val="0"/>
            <w:tcMar>
              <w:left w:w="28" w:type="dxa"/>
              <w:right w:w="28" w:type="dxa"/>
            </w:tcMar>
            <w:vAlign w:val="center"/>
          </w:tcPr>
          <w:p w14:paraId="0BFCB184">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50</w:t>
            </w:r>
          </w:p>
        </w:tc>
        <w:tc>
          <w:tcPr>
            <w:tcW w:w="1034" w:type="pct"/>
            <w:shd w:val="clear" w:color="auto" w:fill="auto"/>
            <w:noWrap w:val="0"/>
            <w:tcMar>
              <w:left w:w="28" w:type="dxa"/>
              <w:right w:w="28" w:type="dxa"/>
            </w:tcMar>
            <w:vAlign w:val="center"/>
          </w:tcPr>
          <w:p w14:paraId="19657757">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0.9</w:t>
            </w:r>
          </w:p>
        </w:tc>
        <w:tc>
          <w:tcPr>
            <w:tcW w:w="819" w:type="pct"/>
            <w:shd w:val="clear" w:color="auto" w:fill="auto"/>
            <w:noWrap w:val="0"/>
            <w:vAlign w:val="center"/>
          </w:tcPr>
          <w:p w14:paraId="7DCA2AE0">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0.018</w:t>
            </w:r>
          </w:p>
        </w:tc>
        <w:tc>
          <w:tcPr>
            <w:tcW w:w="489" w:type="pct"/>
            <w:noWrap w:val="0"/>
            <w:vAlign w:val="center"/>
          </w:tcPr>
          <w:p w14:paraId="4600BAF1">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z w:val="21"/>
                <w:szCs w:val="21"/>
                <w:highlight w:val="none"/>
              </w:rPr>
            </w:pPr>
          </w:p>
        </w:tc>
      </w:tr>
      <w:tr w14:paraId="40FF1AA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414" w:type="pct"/>
            <w:noWrap w:val="0"/>
            <w:tcMar>
              <w:left w:w="28" w:type="dxa"/>
              <w:right w:w="28" w:type="dxa"/>
            </w:tcMar>
            <w:vAlign w:val="center"/>
          </w:tcPr>
          <w:p w14:paraId="589B9A0D">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670" w:type="pct"/>
            <w:shd w:val="clear" w:color="auto" w:fill="auto"/>
            <w:noWrap w:val="0"/>
            <w:tcMar>
              <w:left w:w="28" w:type="dxa"/>
              <w:right w:w="28" w:type="dxa"/>
            </w:tcMar>
            <w:vAlign w:val="center"/>
          </w:tcPr>
          <w:p w14:paraId="50456192">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油类物质</w:t>
            </w:r>
          </w:p>
        </w:tc>
        <w:tc>
          <w:tcPr>
            <w:tcW w:w="671" w:type="pct"/>
            <w:shd w:val="clear" w:color="auto" w:fill="auto"/>
            <w:noWrap w:val="0"/>
            <w:tcMar>
              <w:left w:w="28" w:type="dxa"/>
              <w:right w:w="28" w:type="dxa"/>
            </w:tcMar>
            <w:vAlign w:val="center"/>
          </w:tcPr>
          <w:p w14:paraId="494A3908">
            <w:pPr>
              <w:pStyle w:val="111"/>
              <w:keepNext w:val="0"/>
              <w:keepLines w:val="0"/>
              <w:pageBreakBefore w:val="0"/>
              <w:widowControl w:val="0"/>
              <w:kinsoku/>
              <w:wordWrap/>
              <w:overflowPunct w:val="0"/>
              <w:topLinePunct w:val="0"/>
              <w:autoSpaceDE/>
              <w:autoSpaceDN/>
              <w:bidi w:val="0"/>
              <w:adjustRightInd w:val="0"/>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rPr>
              <w:t>/</w:t>
            </w:r>
          </w:p>
        </w:tc>
        <w:tc>
          <w:tcPr>
            <w:tcW w:w="900" w:type="pct"/>
            <w:shd w:val="clear" w:color="auto" w:fill="auto"/>
            <w:noWrap w:val="0"/>
            <w:tcMar>
              <w:left w:w="28" w:type="dxa"/>
              <w:right w:w="28" w:type="dxa"/>
            </w:tcMar>
            <w:vAlign w:val="center"/>
          </w:tcPr>
          <w:p w14:paraId="0B457432">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2500</w:t>
            </w:r>
          </w:p>
        </w:tc>
        <w:tc>
          <w:tcPr>
            <w:tcW w:w="1034" w:type="pct"/>
            <w:shd w:val="clear" w:color="auto" w:fill="auto"/>
            <w:noWrap w:val="0"/>
            <w:tcMar>
              <w:left w:w="28" w:type="dxa"/>
              <w:right w:w="28" w:type="dxa"/>
            </w:tcMar>
            <w:vAlign w:val="center"/>
          </w:tcPr>
          <w:p w14:paraId="72FD4DE3">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0.1</w:t>
            </w:r>
          </w:p>
        </w:tc>
        <w:tc>
          <w:tcPr>
            <w:tcW w:w="819" w:type="pct"/>
            <w:shd w:val="clear" w:color="auto" w:fill="auto"/>
            <w:noWrap w:val="0"/>
            <w:vAlign w:val="center"/>
          </w:tcPr>
          <w:p w14:paraId="190A0281">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0.00004</w:t>
            </w:r>
          </w:p>
        </w:tc>
        <w:tc>
          <w:tcPr>
            <w:tcW w:w="489" w:type="pct"/>
            <w:noWrap w:val="0"/>
            <w:vAlign w:val="center"/>
          </w:tcPr>
          <w:p w14:paraId="63D3252C">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z w:val="21"/>
                <w:szCs w:val="21"/>
                <w:highlight w:val="none"/>
              </w:rPr>
            </w:pPr>
          </w:p>
        </w:tc>
      </w:tr>
      <w:tr w14:paraId="4603AA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3690" w:type="pct"/>
            <w:gridSpan w:val="5"/>
            <w:noWrap w:val="0"/>
            <w:tcMar>
              <w:left w:w="28" w:type="dxa"/>
              <w:right w:w="28" w:type="dxa"/>
            </w:tcMar>
            <w:vAlign w:val="center"/>
          </w:tcPr>
          <w:p w14:paraId="3028DE81">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合计</w:t>
            </w:r>
          </w:p>
        </w:tc>
        <w:tc>
          <w:tcPr>
            <w:tcW w:w="819" w:type="pct"/>
            <w:noWrap w:val="0"/>
            <w:vAlign w:val="center"/>
          </w:tcPr>
          <w:p w14:paraId="2E15BA35">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7.13804</w:t>
            </w:r>
          </w:p>
        </w:tc>
        <w:tc>
          <w:tcPr>
            <w:tcW w:w="489" w:type="pct"/>
            <w:noWrap w:val="0"/>
            <w:vAlign w:val="center"/>
          </w:tcPr>
          <w:p w14:paraId="50E0A9A4">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textAlignment w:val="auto"/>
              <w:rPr>
                <w:rFonts w:hint="default" w:ascii="Times New Roman" w:hAnsi="Times New Roman" w:eastAsia="宋体" w:cs="Times New Roman"/>
                <w:color w:val="auto"/>
                <w:sz w:val="21"/>
                <w:szCs w:val="21"/>
                <w:highlight w:val="none"/>
              </w:rPr>
            </w:pPr>
          </w:p>
        </w:tc>
      </w:tr>
    </w:tbl>
    <w:p w14:paraId="3EEE17AB">
      <w:pPr>
        <w:pageBreakBefore w:val="0"/>
        <w:kinsoku/>
        <w:bidi w:val="0"/>
        <w:adjustRightInd w:val="0"/>
        <w:snapToGrid w:val="0"/>
        <w:ind w:left="0" w:leftChars="0" w:right="0" w:rightChars="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根据以上分析，本项目Q</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7.13804</w:t>
      </w:r>
      <w:r>
        <w:rPr>
          <w:rFonts w:hint="default" w:ascii="Times New Roman" w:hAnsi="Times New Roman" w:eastAsia="宋体" w:cs="Times New Roman"/>
          <w:color w:val="auto"/>
          <w:sz w:val="24"/>
          <w:szCs w:val="24"/>
          <w:highlight w:val="none"/>
        </w:rPr>
        <w:t>，1</w:t>
      </w: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t>&lt;</w:t>
      </w:r>
      <w:r>
        <w:rPr>
          <w:rFonts w:hint="default" w:ascii="Times New Roman" w:hAnsi="Times New Roman" w:eastAsia="宋体" w:cs="Times New Roman"/>
          <w:color w:val="auto"/>
          <w:sz w:val="24"/>
          <w:szCs w:val="24"/>
          <w:highlight w:val="none"/>
        </w:rPr>
        <w:t>Q</w:t>
      </w:r>
      <w:r>
        <w:rPr>
          <w:rStyle w:val="32"/>
          <w:rFonts w:hint="default" w:ascii="Times New Roman" w:hAnsi="Times New Roman" w:eastAsia="宋体" w:cs="Times New Roman"/>
          <w:b w:val="0"/>
          <w:bCs w:val="0"/>
          <w:color w:val="auto"/>
          <w:spacing w:val="0"/>
          <w:w w:val="100"/>
          <w:kern w:val="0"/>
          <w:sz w:val="24"/>
          <w:szCs w:val="24"/>
          <w:highlight w:val="none"/>
          <w:shd w:val="clear" w:color="auto" w:fill="FFFFFF"/>
          <w:lang w:eastAsia="zh-CN"/>
        </w:rPr>
        <w:t>&lt;</w:t>
      </w:r>
      <w:r>
        <w:rPr>
          <w:rFonts w:hint="default" w:ascii="Times New Roman" w:hAnsi="Times New Roman" w:eastAsia="宋体" w:cs="Times New Roman"/>
          <w:color w:val="auto"/>
          <w:sz w:val="24"/>
          <w:szCs w:val="24"/>
          <w:highlight w:val="none"/>
        </w:rPr>
        <w:t>10。</w:t>
      </w:r>
    </w:p>
    <w:p w14:paraId="772AEAE5">
      <w:pPr>
        <w:pStyle w:val="4"/>
        <w:keepNext/>
        <w:keepLines/>
        <w:pageBreakBefore w:val="0"/>
        <w:widowControl w:val="0"/>
        <w:numPr>
          <w:ilvl w:val="2"/>
          <w:numId w:val="0"/>
        </w:numPr>
        <w:kinsoku/>
        <w:wordWrap/>
        <w:overflowPunct/>
        <w:topLinePunct w:val="0"/>
        <w:autoSpaceDE/>
        <w:autoSpaceDN/>
        <w:bidi w:val="0"/>
        <w:adjustRightInd w:val="0"/>
        <w:snapToGrid w:val="0"/>
        <w:spacing w:beforeLines="0" w:afterLines="0"/>
        <w:ind w:left="0" w:leftChars="0" w:right="0" w:right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kern w:val="0"/>
          <w:sz w:val="24"/>
          <w:szCs w:val="24"/>
          <w:highlight w:val="none"/>
          <w:lang w:val="en-US" w:eastAsia="zh-CN" w:bidi="ar"/>
        </w:rPr>
        <w:t>3.2.2行业及生产工艺（M）</w:t>
      </w:r>
    </w:p>
    <w:p w14:paraId="28BA736A">
      <w:pPr>
        <w:pageBreakBefore w:val="0"/>
        <w:kinsoku/>
        <w:bidi w:val="0"/>
        <w:adjustRightInd w:val="0"/>
        <w:snapToGrid w:val="0"/>
        <w:spacing w:line="360" w:lineRule="auto"/>
        <w:ind w:left="0" w:leftChars="0" w:right="0" w:rightChars="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根据项目所属行业及生产工艺特点，按照《建设项目环境风险评价技术导则》（HJ169-2018）附录C中表C.1确定M值，具体评估取值情况见表8。将M划分为M&gt;20；10&lt;M≤20；5&lt;M≤10；M=5，分别以M1、M2、M3、M4表示。</w:t>
      </w:r>
    </w:p>
    <w:p w14:paraId="24E9E4FA">
      <w:pPr>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w:t>
      </w:r>
      <w:r>
        <w:rPr>
          <w:rFonts w:hint="default" w:ascii="Times New Roman" w:hAnsi="Times New Roman" w:eastAsia="宋体" w:cs="Times New Roman"/>
          <w:b/>
          <w:color w:val="auto"/>
          <w:sz w:val="24"/>
          <w:szCs w:val="24"/>
          <w:highlight w:val="none"/>
          <w:lang w:val="en-US" w:eastAsia="zh-CN"/>
        </w:rPr>
        <w:t>3-3</w:t>
      </w:r>
      <w:r>
        <w:rPr>
          <w:rFonts w:hint="default" w:ascii="Times New Roman" w:hAnsi="Times New Roman" w:eastAsia="宋体" w:cs="Times New Roman"/>
          <w:b/>
          <w:color w:val="auto"/>
          <w:sz w:val="24"/>
          <w:szCs w:val="24"/>
          <w:highlight w:val="none"/>
        </w:rPr>
        <w:t xml:space="preserve"> 行业及生产工艺（M）</w:t>
      </w:r>
    </w:p>
    <w:tbl>
      <w:tblPr>
        <w:tblStyle w:val="29"/>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14"/>
        <w:gridCol w:w="5189"/>
        <w:gridCol w:w="1420"/>
      </w:tblGrid>
      <w:tr w14:paraId="68D790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122" w:type="pct"/>
            <w:noWrap w:val="0"/>
            <w:vAlign w:val="center"/>
          </w:tcPr>
          <w:p w14:paraId="31D58128">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行业</w:t>
            </w:r>
          </w:p>
        </w:tc>
        <w:tc>
          <w:tcPr>
            <w:tcW w:w="3044" w:type="pct"/>
            <w:noWrap w:val="0"/>
            <w:vAlign w:val="center"/>
          </w:tcPr>
          <w:p w14:paraId="448C74AA">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评估依据</w:t>
            </w:r>
          </w:p>
        </w:tc>
        <w:tc>
          <w:tcPr>
            <w:tcW w:w="833" w:type="pct"/>
            <w:noWrap w:val="0"/>
            <w:vAlign w:val="center"/>
          </w:tcPr>
          <w:p w14:paraId="4CC49053">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分值</w:t>
            </w:r>
          </w:p>
        </w:tc>
      </w:tr>
      <w:tr w14:paraId="533E7A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122" w:type="pct"/>
            <w:vMerge w:val="restart"/>
            <w:noWrap w:val="0"/>
            <w:vAlign w:val="center"/>
          </w:tcPr>
          <w:p w14:paraId="55D074D2">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石化、化工、医药、轻工、化纤、有色冶炼等</w:t>
            </w:r>
          </w:p>
        </w:tc>
        <w:tc>
          <w:tcPr>
            <w:tcW w:w="3044" w:type="pct"/>
            <w:noWrap w:val="0"/>
            <w:vAlign w:val="center"/>
          </w:tcPr>
          <w:p w14:paraId="095E2617">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833" w:type="pct"/>
            <w:noWrap w:val="0"/>
            <w:vAlign w:val="center"/>
          </w:tcPr>
          <w:p w14:paraId="38230E9A">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10/套</w:t>
            </w:r>
          </w:p>
        </w:tc>
      </w:tr>
      <w:tr w14:paraId="41CF5E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122" w:type="pct"/>
            <w:vMerge w:val="continue"/>
            <w:noWrap w:val="0"/>
            <w:vAlign w:val="center"/>
          </w:tcPr>
          <w:p w14:paraId="3629EF50">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p>
        </w:tc>
        <w:tc>
          <w:tcPr>
            <w:tcW w:w="3044" w:type="pct"/>
            <w:noWrap w:val="0"/>
            <w:vAlign w:val="center"/>
          </w:tcPr>
          <w:p w14:paraId="4A62883A">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无机酸制酸工艺、焦化工艺</w:t>
            </w:r>
          </w:p>
        </w:tc>
        <w:tc>
          <w:tcPr>
            <w:tcW w:w="833" w:type="pct"/>
            <w:noWrap w:val="0"/>
            <w:vAlign w:val="center"/>
          </w:tcPr>
          <w:p w14:paraId="7198ED66">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5/套</w:t>
            </w:r>
          </w:p>
        </w:tc>
      </w:tr>
      <w:tr w14:paraId="3C601D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122" w:type="pct"/>
            <w:vMerge w:val="continue"/>
            <w:noWrap w:val="0"/>
            <w:vAlign w:val="center"/>
          </w:tcPr>
          <w:p w14:paraId="7D3B9601">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p>
        </w:tc>
        <w:tc>
          <w:tcPr>
            <w:tcW w:w="3044" w:type="pct"/>
            <w:noWrap w:val="0"/>
            <w:vAlign w:val="center"/>
          </w:tcPr>
          <w:p w14:paraId="24787AC3">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其他高温或高压，且涉及危险物质的工艺过程</w:t>
            </w:r>
            <w:r>
              <w:rPr>
                <w:rFonts w:hint="default" w:ascii="Times New Roman" w:hAnsi="Times New Roman" w:eastAsia="宋体" w:cs="Times New Roman"/>
                <w:color w:val="auto"/>
                <w:sz w:val="21"/>
                <w:szCs w:val="21"/>
                <w:highlight w:val="none"/>
                <w:vertAlign w:val="superscript"/>
              </w:rPr>
              <w:t>a</w:t>
            </w:r>
            <w:r>
              <w:rPr>
                <w:rFonts w:hint="default" w:ascii="Times New Roman" w:hAnsi="Times New Roman" w:eastAsia="宋体" w:cs="Times New Roman"/>
                <w:color w:val="auto"/>
                <w:sz w:val="21"/>
                <w:szCs w:val="21"/>
                <w:highlight w:val="none"/>
              </w:rPr>
              <w:t>、危险物质贮存罐区</w:t>
            </w:r>
          </w:p>
        </w:tc>
        <w:tc>
          <w:tcPr>
            <w:tcW w:w="833" w:type="pct"/>
            <w:noWrap w:val="0"/>
            <w:vAlign w:val="center"/>
          </w:tcPr>
          <w:p w14:paraId="6C05D48A">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5/套（罐区）</w:t>
            </w:r>
          </w:p>
        </w:tc>
      </w:tr>
      <w:tr w14:paraId="27364B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122" w:type="pct"/>
            <w:noWrap w:val="0"/>
            <w:vAlign w:val="center"/>
          </w:tcPr>
          <w:p w14:paraId="614803F7">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管道、港口/码头等</w:t>
            </w:r>
          </w:p>
        </w:tc>
        <w:tc>
          <w:tcPr>
            <w:tcW w:w="3044" w:type="pct"/>
            <w:noWrap w:val="0"/>
            <w:vAlign w:val="center"/>
          </w:tcPr>
          <w:p w14:paraId="5E687B6B">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涉及危险物质管道运输项目、港口/码头等</w:t>
            </w:r>
          </w:p>
        </w:tc>
        <w:tc>
          <w:tcPr>
            <w:tcW w:w="833" w:type="pct"/>
            <w:noWrap w:val="0"/>
            <w:vAlign w:val="center"/>
          </w:tcPr>
          <w:p w14:paraId="13319CCD">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r>
      <w:tr w14:paraId="4CA4F8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122" w:type="pct"/>
            <w:noWrap w:val="0"/>
            <w:vAlign w:val="center"/>
          </w:tcPr>
          <w:p w14:paraId="57B1CCAB">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石油天然气</w:t>
            </w:r>
          </w:p>
        </w:tc>
        <w:tc>
          <w:tcPr>
            <w:tcW w:w="3044" w:type="pct"/>
            <w:noWrap w:val="0"/>
            <w:vAlign w:val="center"/>
          </w:tcPr>
          <w:p w14:paraId="3977BD91">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石油、天然气、页岩气开采（含净化），气库（不含加气站的气库），油库（不含加气站的油库）、油气管线</w:t>
            </w:r>
            <w:r>
              <w:rPr>
                <w:rFonts w:hint="default" w:ascii="Times New Roman" w:hAnsi="Times New Roman" w:eastAsia="宋体" w:cs="Times New Roman"/>
                <w:color w:val="auto"/>
                <w:sz w:val="21"/>
                <w:szCs w:val="21"/>
                <w:highlight w:val="none"/>
                <w:vertAlign w:val="superscript"/>
              </w:rPr>
              <w:t>b</w:t>
            </w:r>
            <w:r>
              <w:rPr>
                <w:rFonts w:hint="default" w:ascii="Times New Roman" w:hAnsi="Times New Roman" w:eastAsia="宋体" w:cs="Times New Roman"/>
                <w:color w:val="auto"/>
                <w:sz w:val="21"/>
                <w:szCs w:val="21"/>
                <w:highlight w:val="none"/>
              </w:rPr>
              <w:t>（不含城镇燃气管线）</w:t>
            </w:r>
          </w:p>
        </w:tc>
        <w:tc>
          <w:tcPr>
            <w:tcW w:w="833" w:type="pct"/>
            <w:noWrap w:val="0"/>
            <w:vAlign w:val="center"/>
          </w:tcPr>
          <w:p w14:paraId="005EEF22">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r>
      <w:tr w14:paraId="5AE025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122" w:type="pct"/>
            <w:noWrap w:val="0"/>
            <w:vAlign w:val="center"/>
          </w:tcPr>
          <w:p w14:paraId="01B6C850">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w:t>
            </w:r>
          </w:p>
        </w:tc>
        <w:tc>
          <w:tcPr>
            <w:tcW w:w="3044" w:type="pct"/>
            <w:noWrap w:val="0"/>
            <w:vAlign w:val="center"/>
          </w:tcPr>
          <w:p w14:paraId="5784EE79">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涉及危险物质使用、贮存的项目</w:t>
            </w:r>
          </w:p>
        </w:tc>
        <w:tc>
          <w:tcPr>
            <w:tcW w:w="833" w:type="pct"/>
            <w:noWrap w:val="0"/>
            <w:vAlign w:val="center"/>
          </w:tcPr>
          <w:p w14:paraId="025D560D">
            <w:pPr>
              <w:pStyle w:val="119"/>
              <w:keepNext w:val="0"/>
              <w:keepLines w:val="0"/>
              <w:pageBreakBefore w:val="0"/>
              <w:widowControl w:val="0"/>
              <w:kinsoku/>
              <w:wordWrap/>
              <w:overflowPunct w:val="0"/>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r>
      <w:tr w14:paraId="1B907D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00" w:type="pct"/>
            <w:gridSpan w:val="3"/>
            <w:noWrap w:val="0"/>
            <w:vAlign w:val="center"/>
          </w:tcPr>
          <w:p w14:paraId="074C03E6">
            <w:pPr>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vertAlign w:val="superscript"/>
              </w:rPr>
              <w:t>a</w:t>
            </w:r>
            <w:r>
              <w:rPr>
                <w:rFonts w:hint="default" w:ascii="Times New Roman" w:hAnsi="Times New Roman" w:eastAsia="宋体" w:cs="Times New Roman"/>
                <w:color w:val="auto"/>
                <w:sz w:val="21"/>
                <w:szCs w:val="21"/>
                <w:highlight w:val="none"/>
              </w:rPr>
              <w:t>高温指工艺温度≥300℃，高压指压力容器的设计压力（P）≥10.0MPa；</w:t>
            </w:r>
          </w:p>
          <w:p w14:paraId="03E05357">
            <w:pPr>
              <w:keepNext w:val="0"/>
              <w:keepLines w:val="0"/>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vertAlign w:val="superscript"/>
              </w:rPr>
              <w:t>b</w:t>
            </w:r>
            <w:r>
              <w:rPr>
                <w:rFonts w:hint="default" w:ascii="Times New Roman" w:hAnsi="Times New Roman" w:eastAsia="宋体" w:cs="Times New Roman"/>
                <w:color w:val="auto"/>
                <w:sz w:val="21"/>
                <w:szCs w:val="21"/>
                <w:highlight w:val="none"/>
              </w:rPr>
              <w:t>长输管道运输项目应按站场、管线分段进行评价。</w:t>
            </w:r>
          </w:p>
        </w:tc>
      </w:tr>
    </w:tbl>
    <w:p w14:paraId="4238E988">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本项目M值确定表见表3-4。</w:t>
      </w:r>
    </w:p>
    <w:p w14:paraId="0D23ADE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表3-4 本项目M值确定表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2"/>
        <w:gridCol w:w="1774"/>
        <w:gridCol w:w="3258"/>
        <w:gridCol w:w="1140"/>
        <w:gridCol w:w="1614"/>
      </w:tblGrid>
      <w:tr w14:paraId="028D2F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5" w:type="pct"/>
            <w:vAlign w:val="center"/>
          </w:tcPr>
          <w:p w14:paraId="6B2FDABE">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序号</w:t>
            </w:r>
          </w:p>
        </w:tc>
        <w:tc>
          <w:tcPr>
            <w:tcW w:w="1040" w:type="pct"/>
            <w:vAlign w:val="center"/>
          </w:tcPr>
          <w:p w14:paraId="7E2AF01E">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工艺单元名称</w:t>
            </w:r>
          </w:p>
        </w:tc>
        <w:tc>
          <w:tcPr>
            <w:tcW w:w="1910" w:type="pct"/>
            <w:vAlign w:val="center"/>
          </w:tcPr>
          <w:p w14:paraId="142617C4">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生产工艺</w:t>
            </w:r>
          </w:p>
        </w:tc>
        <w:tc>
          <w:tcPr>
            <w:tcW w:w="667" w:type="pct"/>
            <w:vAlign w:val="center"/>
          </w:tcPr>
          <w:p w14:paraId="2E78A2EF">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数量/套</w:t>
            </w:r>
          </w:p>
        </w:tc>
        <w:tc>
          <w:tcPr>
            <w:tcW w:w="946" w:type="pct"/>
            <w:vAlign w:val="center"/>
          </w:tcPr>
          <w:p w14:paraId="3BBE6704">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M分值</w:t>
            </w:r>
          </w:p>
        </w:tc>
      </w:tr>
      <w:tr w14:paraId="341E0B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5" w:type="pct"/>
            <w:vAlign w:val="center"/>
          </w:tcPr>
          <w:p w14:paraId="18570F8B">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w:t>
            </w:r>
          </w:p>
        </w:tc>
        <w:tc>
          <w:tcPr>
            <w:tcW w:w="1040" w:type="pct"/>
            <w:vAlign w:val="center"/>
          </w:tcPr>
          <w:p w14:paraId="3A8221CC">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w:t>
            </w:r>
          </w:p>
        </w:tc>
        <w:tc>
          <w:tcPr>
            <w:tcW w:w="1910" w:type="pct"/>
            <w:vAlign w:val="center"/>
          </w:tcPr>
          <w:p w14:paraId="5D5D9C21">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涉及危险物质使用、贮存的项目</w:t>
            </w:r>
          </w:p>
        </w:tc>
        <w:tc>
          <w:tcPr>
            <w:tcW w:w="667" w:type="pct"/>
            <w:vAlign w:val="center"/>
          </w:tcPr>
          <w:p w14:paraId="39EA4230">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w:t>
            </w:r>
          </w:p>
        </w:tc>
        <w:tc>
          <w:tcPr>
            <w:tcW w:w="946" w:type="pct"/>
            <w:vAlign w:val="center"/>
          </w:tcPr>
          <w:p w14:paraId="13C5D4C0">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5</w:t>
            </w:r>
          </w:p>
        </w:tc>
      </w:tr>
      <w:tr w14:paraId="2E052C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53" w:type="pct"/>
            <w:gridSpan w:val="4"/>
            <w:vAlign w:val="center"/>
          </w:tcPr>
          <w:p w14:paraId="60CC68EA">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项目M值∑</w:t>
            </w:r>
          </w:p>
        </w:tc>
        <w:tc>
          <w:tcPr>
            <w:tcW w:w="946" w:type="pct"/>
            <w:vAlign w:val="center"/>
          </w:tcPr>
          <w:p w14:paraId="0EC3B0C9">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5</w:t>
            </w:r>
          </w:p>
        </w:tc>
      </w:tr>
    </w:tbl>
    <w:p w14:paraId="001281D9">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本项目M得分为</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分，属于M</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，确定本项目行业及生产工艺（M）类别为M</w:t>
      </w: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w:t>
      </w:r>
    </w:p>
    <w:p w14:paraId="0D1584F2">
      <w:pPr>
        <w:pStyle w:val="4"/>
        <w:keepNext/>
        <w:keepLines/>
        <w:pageBreakBefore w:val="0"/>
        <w:widowControl w:val="0"/>
        <w:numPr>
          <w:ilvl w:val="2"/>
          <w:numId w:val="0"/>
        </w:numPr>
        <w:kinsoku/>
        <w:wordWrap/>
        <w:overflowPunct/>
        <w:topLinePunct w:val="0"/>
        <w:autoSpaceDE/>
        <w:autoSpaceDN/>
        <w:bidi w:val="0"/>
        <w:adjustRightInd w:val="0"/>
        <w:snapToGrid w:val="0"/>
        <w:spacing w:beforeLines="0" w:afterLines="0"/>
        <w:ind w:left="0" w:leftChars="0" w:right="0" w:rightChars="0"/>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3.2.3危险物质及工艺系统危险性（P）分级</w:t>
      </w:r>
    </w:p>
    <w:p w14:paraId="6E5CA2CA">
      <w:pPr>
        <w:pageBreakBefore w:val="0"/>
        <w:kinsoku/>
        <w:bidi w:val="0"/>
        <w:adjustRightInd w:val="0"/>
        <w:snapToGrid w:val="0"/>
        <w:spacing w:line="360" w:lineRule="auto"/>
        <w:ind w:left="0" w:leftChars="0" w:right="0" w:rightChars="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根据危险物质数量与临界量比值（Q）和行业及生产工艺（M），按照表3-5确定危险物质及工艺系统危险性（P）。</w:t>
      </w:r>
    </w:p>
    <w:p w14:paraId="737981F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表3-5 危险物质及工艺系统危险性等级判断（P）</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34"/>
        <w:gridCol w:w="1559"/>
        <w:gridCol w:w="1561"/>
        <w:gridCol w:w="1561"/>
        <w:gridCol w:w="1613"/>
      </w:tblGrid>
      <w:tr w14:paraId="1D7B10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10" w:type="pct"/>
            <w:vMerge w:val="restart"/>
            <w:vAlign w:val="center"/>
          </w:tcPr>
          <w:p w14:paraId="19055BCC">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危险物质数量与临界量比值（Q）</w:t>
            </w:r>
          </w:p>
        </w:tc>
        <w:tc>
          <w:tcPr>
            <w:tcW w:w="3690" w:type="pct"/>
            <w:gridSpan w:val="4"/>
            <w:vAlign w:val="center"/>
          </w:tcPr>
          <w:p w14:paraId="2D4D346D">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行业及生产工艺（M）</w:t>
            </w:r>
          </w:p>
        </w:tc>
      </w:tr>
      <w:tr w14:paraId="3C6FD0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10" w:type="pct"/>
            <w:vMerge w:val="continue"/>
            <w:vAlign w:val="center"/>
          </w:tcPr>
          <w:p w14:paraId="11E7A832">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p>
        </w:tc>
        <w:tc>
          <w:tcPr>
            <w:tcW w:w="914" w:type="pct"/>
            <w:vAlign w:val="center"/>
          </w:tcPr>
          <w:p w14:paraId="6947265C">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M1</w:t>
            </w:r>
          </w:p>
        </w:tc>
        <w:tc>
          <w:tcPr>
            <w:tcW w:w="915" w:type="pct"/>
            <w:vAlign w:val="center"/>
          </w:tcPr>
          <w:p w14:paraId="10D0DA8A">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M2</w:t>
            </w:r>
          </w:p>
        </w:tc>
        <w:tc>
          <w:tcPr>
            <w:tcW w:w="915" w:type="pct"/>
            <w:tcBorders>
              <w:bottom w:val="single" w:color="auto" w:sz="4" w:space="0"/>
            </w:tcBorders>
            <w:vAlign w:val="center"/>
          </w:tcPr>
          <w:p w14:paraId="590B4CE5">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M3</w:t>
            </w:r>
          </w:p>
        </w:tc>
        <w:tc>
          <w:tcPr>
            <w:tcW w:w="946" w:type="pct"/>
            <w:tcBorders>
              <w:bottom w:val="single" w:color="auto" w:sz="4" w:space="0"/>
            </w:tcBorders>
            <w:vAlign w:val="center"/>
          </w:tcPr>
          <w:p w14:paraId="5287D950">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bCs w:val="0"/>
                <w:color w:val="auto"/>
                <w:sz w:val="21"/>
                <w:szCs w:val="21"/>
                <w:highlight w:val="none"/>
              </w:rPr>
              <w:t>M4</w:t>
            </w:r>
          </w:p>
        </w:tc>
      </w:tr>
      <w:tr w14:paraId="465592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10" w:type="pct"/>
            <w:vAlign w:val="center"/>
          </w:tcPr>
          <w:p w14:paraId="12ECB7F7">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val="0"/>
                <w:bCs/>
                <w:color w:val="auto"/>
                <w:sz w:val="21"/>
                <w:szCs w:val="21"/>
                <w:highlight w:val="none"/>
              </w:rPr>
              <w:t>Q≥100</w:t>
            </w:r>
          </w:p>
        </w:tc>
        <w:tc>
          <w:tcPr>
            <w:tcW w:w="914" w:type="pct"/>
            <w:vAlign w:val="center"/>
          </w:tcPr>
          <w:p w14:paraId="6129DA8E">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P1</w:t>
            </w:r>
          </w:p>
        </w:tc>
        <w:tc>
          <w:tcPr>
            <w:tcW w:w="915" w:type="pct"/>
            <w:vAlign w:val="center"/>
          </w:tcPr>
          <w:p w14:paraId="09FEAA62">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P1</w:t>
            </w:r>
          </w:p>
        </w:tc>
        <w:tc>
          <w:tcPr>
            <w:tcW w:w="915" w:type="pct"/>
            <w:tcBorders>
              <w:top w:val="single" w:color="auto" w:sz="4" w:space="0"/>
              <w:bottom w:val="single" w:color="auto" w:sz="4" w:space="0"/>
            </w:tcBorders>
            <w:shd w:val="clear" w:color="auto" w:fill="auto"/>
            <w:vAlign w:val="center"/>
          </w:tcPr>
          <w:p w14:paraId="07914905">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P2</w:t>
            </w:r>
          </w:p>
        </w:tc>
        <w:tc>
          <w:tcPr>
            <w:tcW w:w="946" w:type="pct"/>
            <w:tcBorders>
              <w:top w:val="single" w:color="auto" w:sz="4" w:space="0"/>
              <w:bottom w:val="single" w:color="auto" w:sz="4" w:space="0"/>
            </w:tcBorders>
            <w:shd w:val="clear" w:color="auto" w:fill="auto"/>
            <w:vAlign w:val="center"/>
          </w:tcPr>
          <w:p w14:paraId="1E4ECA84">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P3</w:t>
            </w:r>
          </w:p>
        </w:tc>
      </w:tr>
      <w:tr w14:paraId="272FD1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10" w:type="pct"/>
            <w:vAlign w:val="center"/>
          </w:tcPr>
          <w:p w14:paraId="5BAF35AE">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10≤Q＜100</w:t>
            </w:r>
          </w:p>
        </w:tc>
        <w:tc>
          <w:tcPr>
            <w:tcW w:w="914" w:type="pct"/>
            <w:tcBorders>
              <w:bottom w:val="single" w:color="auto" w:sz="4" w:space="0"/>
            </w:tcBorders>
            <w:vAlign w:val="center"/>
          </w:tcPr>
          <w:p w14:paraId="3EF84D32">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P1</w:t>
            </w:r>
          </w:p>
        </w:tc>
        <w:tc>
          <w:tcPr>
            <w:tcW w:w="915" w:type="pct"/>
            <w:vAlign w:val="center"/>
          </w:tcPr>
          <w:p w14:paraId="76C8519B">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P2</w:t>
            </w:r>
          </w:p>
        </w:tc>
        <w:tc>
          <w:tcPr>
            <w:tcW w:w="915" w:type="pct"/>
            <w:tcBorders>
              <w:top w:val="single" w:color="auto" w:sz="4" w:space="0"/>
            </w:tcBorders>
            <w:shd w:val="clear" w:color="auto" w:fill="auto"/>
            <w:vAlign w:val="center"/>
          </w:tcPr>
          <w:p w14:paraId="774A4844">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P3</w:t>
            </w:r>
          </w:p>
        </w:tc>
        <w:tc>
          <w:tcPr>
            <w:tcW w:w="946" w:type="pct"/>
            <w:tcBorders>
              <w:top w:val="single" w:color="auto" w:sz="4" w:space="0"/>
            </w:tcBorders>
            <w:vAlign w:val="center"/>
          </w:tcPr>
          <w:p w14:paraId="49489FE3">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P4</w:t>
            </w:r>
          </w:p>
        </w:tc>
      </w:tr>
      <w:tr w14:paraId="3FADF8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10" w:type="pct"/>
            <w:vAlign w:val="center"/>
          </w:tcPr>
          <w:p w14:paraId="54F46759">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1≤Q＜10</w:t>
            </w:r>
          </w:p>
        </w:tc>
        <w:tc>
          <w:tcPr>
            <w:tcW w:w="914" w:type="pct"/>
            <w:tcBorders>
              <w:top w:val="single" w:color="auto" w:sz="4" w:space="0"/>
              <w:bottom w:val="single" w:color="auto" w:sz="12" w:space="0"/>
            </w:tcBorders>
            <w:shd w:val="clear" w:color="auto" w:fill="auto"/>
            <w:vAlign w:val="center"/>
          </w:tcPr>
          <w:p w14:paraId="1EFB71D4">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P2</w:t>
            </w:r>
          </w:p>
        </w:tc>
        <w:tc>
          <w:tcPr>
            <w:tcW w:w="915" w:type="pct"/>
            <w:vAlign w:val="center"/>
          </w:tcPr>
          <w:p w14:paraId="2C14D255">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P3</w:t>
            </w:r>
          </w:p>
        </w:tc>
        <w:tc>
          <w:tcPr>
            <w:tcW w:w="915" w:type="pct"/>
            <w:shd w:val="clear" w:color="auto" w:fill="auto"/>
            <w:vAlign w:val="center"/>
          </w:tcPr>
          <w:p w14:paraId="05FD43B1">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P4</w:t>
            </w:r>
          </w:p>
        </w:tc>
        <w:tc>
          <w:tcPr>
            <w:tcW w:w="946" w:type="pct"/>
            <w:vAlign w:val="center"/>
          </w:tcPr>
          <w:p w14:paraId="2AF529DB">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lang w:bidi="en-US"/>
              </w:rPr>
              <w:t>P4</w:t>
            </w:r>
          </w:p>
        </w:tc>
      </w:tr>
    </w:tbl>
    <w:p w14:paraId="7F9E590F">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根据表3-5确定本项目危险物质及工艺系统危险性（P）为P</w:t>
      </w: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w:t>
      </w:r>
    </w:p>
    <w:p w14:paraId="54204DAC">
      <w:pPr>
        <w:pStyle w:val="3"/>
        <w:keepNext/>
        <w:keepLines/>
        <w:pageBreakBefore w:val="0"/>
        <w:widowControl w:val="0"/>
        <w:numPr>
          <w:ilvl w:val="1"/>
          <w:numId w:val="0"/>
        </w:numPr>
        <w:kinsoku/>
        <w:wordWrap/>
        <w:overflowPunct/>
        <w:topLinePunct w:val="0"/>
        <w:autoSpaceDE/>
        <w:autoSpaceDN/>
        <w:bidi w:val="0"/>
        <w:adjustRightInd w:val="0"/>
        <w:snapToGrid w:val="0"/>
        <w:spacing w:before="0" w:after="0" w:line="360" w:lineRule="auto"/>
        <w:ind w:left="0" w:leftChars="0" w:right="0" w:rightChars="0"/>
        <w:textAlignment w:val="auto"/>
        <w:rPr>
          <w:rFonts w:hint="default" w:ascii="Times New Roman" w:hAnsi="Times New Roman" w:eastAsia="宋体" w:cs="Times New Roman"/>
          <w:b/>
          <w:bCs/>
          <w:color w:val="auto"/>
          <w:kern w:val="0"/>
          <w:sz w:val="24"/>
          <w:szCs w:val="24"/>
          <w:highlight w:val="none"/>
          <w:lang w:val="en-US" w:eastAsia="zh-CN" w:bidi="ar"/>
        </w:rPr>
      </w:pPr>
      <w:bookmarkStart w:id="83" w:name="_Toc30852"/>
      <w:r>
        <w:rPr>
          <w:rFonts w:hint="default" w:ascii="Times New Roman" w:hAnsi="Times New Roman" w:eastAsia="宋体" w:cs="Times New Roman"/>
          <w:b/>
          <w:bCs/>
          <w:color w:val="auto"/>
          <w:kern w:val="0"/>
          <w:sz w:val="24"/>
          <w:szCs w:val="24"/>
          <w:highlight w:val="none"/>
          <w:lang w:val="en-US" w:eastAsia="zh-CN" w:bidi="ar"/>
        </w:rPr>
        <w:t>3.3 E的分级确定</w:t>
      </w:r>
      <w:bookmarkEnd w:id="83"/>
    </w:p>
    <w:p w14:paraId="79A3342C">
      <w:pPr>
        <w:pStyle w:val="4"/>
        <w:keepNext/>
        <w:keepLines/>
        <w:pageBreakBefore w:val="0"/>
        <w:widowControl w:val="0"/>
        <w:numPr>
          <w:ilvl w:val="2"/>
          <w:numId w:val="0"/>
        </w:numPr>
        <w:kinsoku/>
        <w:wordWrap/>
        <w:overflowPunct/>
        <w:topLinePunct w:val="0"/>
        <w:autoSpaceDE/>
        <w:autoSpaceDN/>
        <w:bidi w:val="0"/>
        <w:adjustRightInd w:val="0"/>
        <w:snapToGrid w:val="0"/>
        <w:spacing w:beforeLines="0" w:afterLines="0"/>
        <w:ind w:left="0" w:leftChars="0" w:right="0" w:rightChars="0"/>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3.3.1大气环境</w:t>
      </w:r>
    </w:p>
    <w:p w14:paraId="4EC8374B">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大气环境敏感程度分级见表3-6。</w:t>
      </w:r>
    </w:p>
    <w:p w14:paraId="633FB78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表3-6 大气环境敏感程度分级</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7853"/>
      </w:tblGrid>
      <w:tr w14:paraId="310B97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96" w:type="pct"/>
            <w:vAlign w:val="center"/>
          </w:tcPr>
          <w:p w14:paraId="57C2240E">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分级</w:t>
            </w:r>
          </w:p>
        </w:tc>
        <w:tc>
          <w:tcPr>
            <w:tcW w:w="4604" w:type="pct"/>
            <w:vAlign w:val="center"/>
          </w:tcPr>
          <w:p w14:paraId="3BC71F79">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大气环境敏感性</w:t>
            </w:r>
          </w:p>
        </w:tc>
      </w:tr>
      <w:tr w14:paraId="60F802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96" w:type="pct"/>
            <w:vAlign w:val="center"/>
          </w:tcPr>
          <w:p w14:paraId="173B099A">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E1</w:t>
            </w:r>
          </w:p>
        </w:tc>
        <w:tc>
          <w:tcPr>
            <w:tcW w:w="4604" w:type="pct"/>
            <w:vAlign w:val="center"/>
          </w:tcPr>
          <w:p w14:paraId="2B628258">
            <w:pPr>
              <w:pageBreakBefore w:val="0"/>
              <w:kinsoku/>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r>
      <w:tr w14:paraId="24C8B6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3" w:hRule="atLeast"/>
          <w:jc w:val="center"/>
        </w:trPr>
        <w:tc>
          <w:tcPr>
            <w:tcW w:w="396" w:type="pct"/>
            <w:vAlign w:val="center"/>
          </w:tcPr>
          <w:p w14:paraId="3DE72F98">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E2</w:t>
            </w:r>
          </w:p>
        </w:tc>
        <w:tc>
          <w:tcPr>
            <w:tcW w:w="4604" w:type="pct"/>
            <w:vAlign w:val="center"/>
          </w:tcPr>
          <w:p w14:paraId="681B6535">
            <w:pPr>
              <w:pageBreakBefore w:val="0"/>
              <w:kinsoku/>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r>
      <w:tr w14:paraId="63C4C4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96" w:type="pct"/>
            <w:vAlign w:val="center"/>
          </w:tcPr>
          <w:p w14:paraId="2A35335F">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E3</w:t>
            </w:r>
          </w:p>
        </w:tc>
        <w:tc>
          <w:tcPr>
            <w:tcW w:w="4604" w:type="pct"/>
            <w:vAlign w:val="center"/>
          </w:tcPr>
          <w:p w14:paraId="00D4E0C0">
            <w:pPr>
              <w:pageBreakBefore w:val="0"/>
              <w:kinsoku/>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周边5km范围内居住区、医疗卫生、文化教育、科研、行政办公等机构人口总数小于1万人；或周边500m范围内人口总数小于500人；油气、化学品输送管线管段周边200m范围内，每千米管段人口数小于100人</w:t>
            </w:r>
          </w:p>
        </w:tc>
      </w:tr>
    </w:tbl>
    <w:p w14:paraId="3ECE612E">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本项目周边5km范围内涵盖了</w:t>
      </w:r>
      <w:r>
        <w:rPr>
          <w:rFonts w:hint="default" w:ascii="Times New Roman" w:hAnsi="Times New Roman" w:eastAsia="宋体" w:cs="Times New Roman"/>
          <w:color w:val="auto"/>
          <w:sz w:val="24"/>
          <w:szCs w:val="24"/>
          <w:highlight w:val="none"/>
          <w:lang w:val="en-US" w:eastAsia="zh-CN"/>
        </w:rPr>
        <w:t>桦川县及桦川县</w:t>
      </w:r>
      <w:r>
        <w:rPr>
          <w:rFonts w:hint="default" w:ascii="Times New Roman" w:hAnsi="Times New Roman" w:eastAsia="宋体" w:cs="Times New Roman"/>
          <w:color w:val="auto"/>
          <w:sz w:val="24"/>
          <w:szCs w:val="24"/>
          <w:highlight w:val="none"/>
        </w:rPr>
        <w:t>下属村屯</w:t>
      </w:r>
      <w:r>
        <w:rPr>
          <w:rFonts w:hint="default" w:ascii="Times New Roman" w:hAnsi="Times New Roman" w:eastAsia="宋体" w:cs="Times New Roman"/>
          <w:color w:val="auto"/>
          <w:sz w:val="24"/>
          <w:szCs w:val="24"/>
          <w:highlight w:val="none"/>
          <w:lang w:val="en-US" w:eastAsia="zh-CN"/>
        </w:rPr>
        <w:t>居民</w:t>
      </w:r>
      <w:r>
        <w:rPr>
          <w:rFonts w:hint="default" w:ascii="Times New Roman" w:hAnsi="Times New Roman" w:eastAsia="宋体" w:cs="Times New Roman"/>
          <w:color w:val="auto"/>
          <w:sz w:val="24"/>
          <w:szCs w:val="24"/>
          <w:highlight w:val="none"/>
        </w:rPr>
        <w:t>，根据现场实地踏查并结合近期卫星遥感图像进行统计，本项目周边5km范围内居住区、医疗卫生、文化教育、科研、行政办公等机构人口总数</w:t>
      </w:r>
      <w:r>
        <w:rPr>
          <w:rFonts w:hint="default" w:ascii="Times New Roman" w:hAnsi="Times New Roman" w:eastAsia="宋体" w:cs="Times New Roman"/>
          <w:color w:val="auto"/>
          <w:sz w:val="24"/>
          <w:szCs w:val="24"/>
          <w:highlight w:val="none"/>
          <w:lang w:val="en-US" w:eastAsia="zh-CN"/>
        </w:rPr>
        <w:t>大于5000</w:t>
      </w:r>
      <w:r>
        <w:rPr>
          <w:rFonts w:hint="default" w:ascii="Times New Roman" w:hAnsi="Times New Roman" w:eastAsia="宋体" w:cs="Times New Roman"/>
          <w:color w:val="auto"/>
          <w:sz w:val="24"/>
          <w:szCs w:val="24"/>
          <w:highlight w:val="none"/>
        </w:rPr>
        <w:t>0人；</w:t>
      </w:r>
    </w:p>
    <w:p w14:paraId="52A1800C">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综上，确定本项目大气环境敏感程度为E</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w:t>
      </w:r>
    </w:p>
    <w:p w14:paraId="1AC7AEDD">
      <w:pPr>
        <w:pStyle w:val="4"/>
        <w:keepNext/>
        <w:keepLines/>
        <w:pageBreakBefore w:val="0"/>
        <w:widowControl w:val="0"/>
        <w:numPr>
          <w:ilvl w:val="2"/>
          <w:numId w:val="0"/>
        </w:numPr>
        <w:kinsoku/>
        <w:wordWrap/>
        <w:overflowPunct/>
        <w:topLinePunct w:val="0"/>
        <w:autoSpaceDE/>
        <w:autoSpaceDN/>
        <w:bidi w:val="0"/>
        <w:adjustRightInd w:val="0"/>
        <w:snapToGrid w:val="0"/>
        <w:spacing w:beforeLines="0" w:afterLines="0" w:line="360" w:lineRule="auto"/>
        <w:ind w:left="0" w:leftChars="0" w:right="0" w:rightChars="0"/>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3.3.2地表水环境</w:t>
      </w:r>
    </w:p>
    <w:p w14:paraId="4F0768C0">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地表水功能敏感性分区</w:t>
      </w:r>
    </w:p>
    <w:p w14:paraId="5B930BAC">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地表水功能敏感性分区见表3-7。</w:t>
      </w:r>
    </w:p>
    <w:p w14:paraId="50F5DDF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表3-7 地表水功能敏感性分区</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7286"/>
      </w:tblGrid>
      <w:tr w14:paraId="1FC7B8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vAlign w:val="center"/>
          </w:tcPr>
          <w:p w14:paraId="43FB8DAF">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敏感性</w:t>
            </w:r>
          </w:p>
        </w:tc>
        <w:tc>
          <w:tcPr>
            <w:tcW w:w="4272" w:type="pct"/>
            <w:vAlign w:val="center"/>
          </w:tcPr>
          <w:p w14:paraId="361AD223">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地表水环境敏感特征</w:t>
            </w:r>
          </w:p>
        </w:tc>
      </w:tr>
      <w:tr w14:paraId="55F8DF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vAlign w:val="center"/>
          </w:tcPr>
          <w:p w14:paraId="35AC3FDF">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敏感F1</w:t>
            </w:r>
          </w:p>
        </w:tc>
        <w:tc>
          <w:tcPr>
            <w:tcW w:w="4272" w:type="pct"/>
            <w:vAlign w:val="center"/>
          </w:tcPr>
          <w:p w14:paraId="12263B8E">
            <w:pPr>
              <w:pageBreakBefore w:val="0"/>
              <w:kinsoku/>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排入点进入地表水水域环境功能为Ⅱ类及以上，或海水水质分类第一类；</w:t>
            </w:r>
          </w:p>
          <w:p w14:paraId="3371A47E">
            <w:pPr>
              <w:pageBreakBefore w:val="0"/>
              <w:kinsoku/>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或以发生事故时，危险物质</w:t>
            </w:r>
            <w:r>
              <w:rPr>
                <w:rFonts w:hint="eastAsia" w:cs="Times New Roman"/>
                <w:color w:val="auto"/>
                <w:sz w:val="21"/>
                <w:szCs w:val="21"/>
                <w:highlight w:val="none"/>
                <w:lang w:eastAsia="zh-CN"/>
              </w:rPr>
              <w:t>泄漏</w:t>
            </w:r>
            <w:r>
              <w:rPr>
                <w:rFonts w:hint="default" w:ascii="Times New Roman" w:hAnsi="Times New Roman" w:eastAsia="宋体" w:cs="Times New Roman"/>
                <w:color w:val="auto"/>
                <w:sz w:val="21"/>
                <w:szCs w:val="21"/>
                <w:highlight w:val="none"/>
              </w:rPr>
              <w:t>到水体的排放点算起，排放进入受纳河流最大流速时，24小时流经范围内涉跨国界的</w:t>
            </w:r>
          </w:p>
        </w:tc>
      </w:tr>
      <w:tr w14:paraId="562319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vAlign w:val="center"/>
          </w:tcPr>
          <w:p w14:paraId="48892146">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较敏感F2</w:t>
            </w:r>
          </w:p>
        </w:tc>
        <w:tc>
          <w:tcPr>
            <w:tcW w:w="4272" w:type="pct"/>
            <w:vAlign w:val="center"/>
          </w:tcPr>
          <w:p w14:paraId="0929E48D">
            <w:pPr>
              <w:pageBreakBefore w:val="0"/>
              <w:kinsoku/>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排入点进入地表水水域环境功能为Ⅲ类，或海水水质分类第二类；</w:t>
            </w:r>
          </w:p>
          <w:p w14:paraId="2C375461">
            <w:pPr>
              <w:pageBreakBefore w:val="0"/>
              <w:kinsoku/>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或以发生事故时，危险物质</w:t>
            </w:r>
            <w:r>
              <w:rPr>
                <w:rFonts w:hint="eastAsia" w:cs="Times New Roman"/>
                <w:color w:val="auto"/>
                <w:sz w:val="21"/>
                <w:szCs w:val="21"/>
                <w:highlight w:val="none"/>
                <w:lang w:eastAsia="zh-CN"/>
              </w:rPr>
              <w:t>泄漏</w:t>
            </w:r>
            <w:r>
              <w:rPr>
                <w:rFonts w:hint="default" w:ascii="Times New Roman" w:hAnsi="Times New Roman" w:eastAsia="宋体" w:cs="Times New Roman"/>
                <w:color w:val="auto"/>
                <w:sz w:val="21"/>
                <w:szCs w:val="21"/>
                <w:highlight w:val="none"/>
              </w:rPr>
              <w:t>到水体的排放点算起，排放进入受纳河流最大流速时，24小时流经范围内涉跨省界的</w:t>
            </w:r>
          </w:p>
        </w:tc>
      </w:tr>
      <w:tr w14:paraId="141AD0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vAlign w:val="center"/>
          </w:tcPr>
          <w:p w14:paraId="6FA2875B">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低敏感F3</w:t>
            </w:r>
          </w:p>
        </w:tc>
        <w:tc>
          <w:tcPr>
            <w:tcW w:w="4272" w:type="pct"/>
            <w:vAlign w:val="center"/>
          </w:tcPr>
          <w:p w14:paraId="1FFF969E">
            <w:pPr>
              <w:pageBreakBefore w:val="0"/>
              <w:kinsoku/>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上述地区之外的其他地区</w:t>
            </w:r>
          </w:p>
        </w:tc>
      </w:tr>
    </w:tbl>
    <w:p w14:paraId="02B1F4EF">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正常工况下，建设项目废水依托</w:t>
      </w:r>
      <w:r>
        <w:rPr>
          <w:rFonts w:hint="default" w:ascii="Times New Roman" w:hAnsi="Times New Roman" w:eastAsia="宋体" w:cs="Times New Roman"/>
          <w:color w:val="auto"/>
          <w:sz w:val="24"/>
          <w:szCs w:val="24"/>
          <w:highlight w:val="none"/>
          <w:lang w:val="en-US" w:eastAsia="zh-CN"/>
        </w:rPr>
        <w:t>桦川县污水处理厂处理</w:t>
      </w:r>
      <w:r>
        <w:rPr>
          <w:rFonts w:hint="default" w:ascii="Times New Roman" w:hAnsi="Times New Roman" w:eastAsia="宋体" w:cs="Times New Roman"/>
          <w:color w:val="auto"/>
          <w:sz w:val="24"/>
          <w:szCs w:val="24"/>
          <w:highlight w:val="none"/>
        </w:rPr>
        <w:t>后外排；评价区域内距建设项目厂区最近的水体</w:t>
      </w:r>
      <w:r>
        <w:rPr>
          <w:rFonts w:hint="eastAsia" w:cs="Times New Roman"/>
          <w:color w:val="auto"/>
          <w:sz w:val="24"/>
          <w:szCs w:val="24"/>
          <w:highlight w:val="none"/>
          <w:lang w:eastAsia="zh-CN"/>
        </w:rPr>
        <w:t>为</w:t>
      </w:r>
      <w:r>
        <w:rPr>
          <w:rFonts w:hint="default" w:ascii="Times New Roman" w:hAnsi="Times New Roman" w:eastAsia="宋体" w:cs="Times New Roman"/>
          <w:color w:val="auto"/>
          <w:sz w:val="24"/>
          <w:szCs w:val="24"/>
          <w:highlight w:val="none"/>
        </w:rPr>
        <w:t>松花江，根据《全国重要江河湖泊水功能区划（2011-2030年）》，本工程所在区域地表水体为松花江（中和村—福合村断面），断面为《地表水环境质量标准》（GB3838-2002）Ⅲ类水体。</w:t>
      </w:r>
    </w:p>
    <w:p w14:paraId="44F1DB44">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综上，确定本项目地表水功能敏感性为F3。</w:t>
      </w:r>
    </w:p>
    <w:p w14:paraId="6AA0CCF2">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地表水环境敏感目标分级</w:t>
      </w:r>
    </w:p>
    <w:p w14:paraId="1DB28307">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地表水环境敏感目标分级见表3-8。</w:t>
      </w:r>
    </w:p>
    <w:p w14:paraId="68C34F5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表3-8 地表水环境敏感目标分级</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2"/>
        <w:gridCol w:w="7726"/>
      </w:tblGrid>
      <w:tr w14:paraId="76FDFB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70" w:type="pct"/>
            <w:vAlign w:val="center"/>
          </w:tcPr>
          <w:p w14:paraId="46FAC06F">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分级</w:t>
            </w:r>
          </w:p>
        </w:tc>
        <w:tc>
          <w:tcPr>
            <w:tcW w:w="4529" w:type="pct"/>
            <w:vAlign w:val="center"/>
          </w:tcPr>
          <w:p w14:paraId="66E7AC36">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地表水环境敏感目标</w:t>
            </w:r>
          </w:p>
        </w:tc>
      </w:tr>
      <w:tr w14:paraId="055C9B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70" w:type="pct"/>
            <w:vAlign w:val="center"/>
          </w:tcPr>
          <w:p w14:paraId="2020A9F7">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S1</w:t>
            </w:r>
          </w:p>
        </w:tc>
        <w:tc>
          <w:tcPr>
            <w:tcW w:w="4529" w:type="pct"/>
            <w:vAlign w:val="center"/>
          </w:tcPr>
          <w:p w14:paraId="17032317">
            <w:pPr>
              <w:pageBreakBefore w:val="0"/>
              <w:kinsoku/>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发生事故时，危险物质</w:t>
            </w:r>
            <w:r>
              <w:rPr>
                <w:rFonts w:hint="eastAsia" w:cs="Times New Roman"/>
                <w:color w:val="auto"/>
                <w:sz w:val="21"/>
                <w:szCs w:val="21"/>
                <w:highlight w:val="none"/>
                <w:lang w:eastAsia="zh-CN"/>
              </w:rPr>
              <w:t>泄漏</w:t>
            </w:r>
            <w:r>
              <w:rPr>
                <w:rFonts w:hint="default" w:ascii="Times New Roman" w:hAnsi="Times New Roman" w:eastAsia="宋体" w:cs="Times New Roman"/>
                <w:color w:val="auto"/>
                <w:sz w:val="21"/>
                <w:szCs w:val="21"/>
                <w:highlight w:val="none"/>
              </w:rPr>
              <w:t>到内陆水体的排放点下游（顺水流向）10km范围内、近岸海域一个潮周期水质点可能到达的最大水凝距离的两倍范围内，有如下一类或多类环境风险受体：集中式地表水饮用水水源保护区（包括一级保护区、二级保护区及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14:paraId="6E5067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70" w:type="pct"/>
            <w:vAlign w:val="center"/>
          </w:tcPr>
          <w:p w14:paraId="15FC3973">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S2</w:t>
            </w:r>
          </w:p>
        </w:tc>
        <w:tc>
          <w:tcPr>
            <w:tcW w:w="4529" w:type="pct"/>
            <w:vAlign w:val="center"/>
          </w:tcPr>
          <w:p w14:paraId="34A76E80">
            <w:pPr>
              <w:pageBreakBefore w:val="0"/>
              <w:kinsoku/>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发生事故时，危险物质</w:t>
            </w:r>
            <w:r>
              <w:rPr>
                <w:rFonts w:hint="eastAsia" w:cs="Times New Roman"/>
                <w:color w:val="auto"/>
                <w:sz w:val="21"/>
                <w:szCs w:val="21"/>
                <w:highlight w:val="none"/>
                <w:lang w:eastAsia="zh-CN"/>
              </w:rPr>
              <w:t>泄漏</w:t>
            </w:r>
            <w:r>
              <w:rPr>
                <w:rFonts w:hint="default" w:ascii="Times New Roman" w:hAnsi="Times New Roman" w:eastAsia="宋体" w:cs="Times New Roman"/>
                <w:color w:val="auto"/>
                <w:sz w:val="21"/>
                <w:szCs w:val="21"/>
                <w:highlight w:val="none"/>
              </w:rPr>
              <w:t>到内陆水体的排放点下游（顺水流向）10km范围内、近岸海域一个潮周期水质点可能到达的最大水凝距离的两倍范围内，有如下一类或多类环境风险受体：水产养殖区；天然渔场；森林公园；地质公园；滨海风景游览区；具有重要经济价值的海洋生物生存区域</w:t>
            </w:r>
          </w:p>
        </w:tc>
      </w:tr>
      <w:tr w14:paraId="531B65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70" w:type="pct"/>
            <w:vAlign w:val="center"/>
          </w:tcPr>
          <w:p w14:paraId="3974D361">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S3</w:t>
            </w:r>
          </w:p>
        </w:tc>
        <w:tc>
          <w:tcPr>
            <w:tcW w:w="4529" w:type="pct"/>
            <w:vAlign w:val="center"/>
          </w:tcPr>
          <w:p w14:paraId="06F7A924">
            <w:pPr>
              <w:pageBreakBefore w:val="0"/>
              <w:kinsoku/>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排放点下游（顺水流向）10km范围内、近岸海域一个潮周期水质点可能到达的最大水凝距离的两倍范围内无上述类型1和类型2包括的敏感保护目标</w:t>
            </w:r>
          </w:p>
        </w:tc>
      </w:tr>
    </w:tbl>
    <w:p w14:paraId="45A98B84">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本项目运营期发生事故时，危险物质泄漏到内陆水体的排放点下游（顺水流向）10km范围内无上述类型1和类型2包括的敏感保护目标。</w:t>
      </w:r>
    </w:p>
    <w:p w14:paraId="0B5835A5">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由此判定，评价区域地表水环境敏感目标分级为S3。</w:t>
      </w:r>
    </w:p>
    <w:p w14:paraId="65C7ED8B">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地表水环境敏感程度分级</w:t>
      </w:r>
    </w:p>
    <w:p w14:paraId="33267723">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本项目地表水环境敏感程度分级见表3-9。</w:t>
      </w:r>
    </w:p>
    <w:p w14:paraId="376CFFD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表3-9 地表水环境敏感程度分级</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34"/>
        <w:gridCol w:w="2552"/>
        <w:gridCol w:w="1985"/>
        <w:gridCol w:w="1757"/>
      </w:tblGrid>
      <w:tr w14:paraId="19A245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10" w:type="pct"/>
            <w:vMerge w:val="restart"/>
            <w:vAlign w:val="center"/>
          </w:tcPr>
          <w:p w14:paraId="73D69046">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环境敏感目标</w:t>
            </w:r>
          </w:p>
        </w:tc>
        <w:tc>
          <w:tcPr>
            <w:tcW w:w="3690" w:type="pct"/>
            <w:gridSpan w:val="3"/>
            <w:vAlign w:val="center"/>
          </w:tcPr>
          <w:p w14:paraId="0FA6FA48">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地表水功能敏感性</w:t>
            </w:r>
          </w:p>
        </w:tc>
      </w:tr>
      <w:tr w14:paraId="4CEAA9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10" w:type="pct"/>
            <w:vMerge w:val="continue"/>
            <w:vAlign w:val="center"/>
          </w:tcPr>
          <w:p w14:paraId="46F698B9">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p>
        </w:tc>
        <w:tc>
          <w:tcPr>
            <w:tcW w:w="1496" w:type="pct"/>
            <w:vAlign w:val="center"/>
          </w:tcPr>
          <w:p w14:paraId="1771E45B">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F1</w:t>
            </w:r>
          </w:p>
        </w:tc>
        <w:tc>
          <w:tcPr>
            <w:tcW w:w="1164" w:type="pct"/>
            <w:vAlign w:val="center"/>
          </w:tcPr>
          <w:p w14:paraId="700454B8">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F2</w:t>
            </w:r>
          </w:p>
        </w:tc>
        <w:tc>
          <w:tcPr>
            <w:tcW w:w="1030" w:type="pct"/>
            <w:vAlign w:val="center"/>
          </w:tcPr>
          <w:p w14:paraId="17D6BF0D">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F3</w:t>
            </w:r>
          </w:p>
        </w:tc>
      </w:tr>
      <w:tr w14:paraId="782DEF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10" w:type="pct"/>
            <w:vAlign w:val="center"/>
          </w:tcPr>
          <w:p w14:paraId="5CA750EA">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S1</w:t>
            </w:r>
          </w:p>
        </w:tc>
        <w:tc>
          <w:tcPr>
            <w:tcW w:w="1496" w:type="pct"/>
            <w:vAlign w:val="center"/>
          </w:tcPr>
          <w:p w14:paraId="61F283B1">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E1</w:t>
            </w:r>
          </w:p>
        </w:tc>
        <w:tc>
          <w:tcPr>
            <w:tcW w:w="1164" w:type="pct"/>
            <w:vAlign w:val="center"/>
          </w:tcPr>
          <w:p w14:paraId="45B03180">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E1</w:t>
            </w:r>
          </w:p>
        </w:tc>
        <w:tc>
          <w:tcPr>
            <w:tcW w:w="1030" w:type="pct"/>
            <w:vAlign w:val="center"/>
          </w:tcPr>
          <w:p w14:paraId="117AD8E8">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E2</w:t>
            </w:r>
          </w:p>
        </w:tc>
      </w:tr>
      <w:tr w14:paraId="5F9D94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10" w:type="pct"/>
            <w:vAlign w:val="center"/>
          </w:tcPr>
          <w:p w14:paraId="2860202E">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S2</w:t>
            </w:r>
          </w:p>
        </w:tc>
        <w:tc>
          <w:tcPr>
            <w:tcW w:w="1496" w:type="pct"/>
            <w:vAlign w:val="center"/>
          </w:tcPr>
          <w:p w14:paraId="08B7BB14">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E1</w:t>
            </w:r>
          </w:p>
        </w:tc>
        <w:tc>
          <w:tcPr>
            <w:tcW w:w="1164" w:type="pct"/>
            <w:vAlign w:val="center"/>
          </w:tcPr>
          <w:p w14:paraId="2F86B542">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E2</w:t>
            </w:r>
          </w:p>
        </w:tc>
        <w:tc>
          <w:tcPr>
            <w:tcW w:w="1030" w:type="pct"/>
            <w:vAlign w:val="center"/>
          </w:tcPr>
          <w:p w14:paraId="4B2CD88E">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E3</w:t>
            </w:r>
          </w:p>
        </w:tc>
      </w:tr>
      <w:tr w14:paraId="0678B1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10" w:type="pct"/>
            <w:vAlign w:val="center"/>
          </w:tcPr>
          <w:p w14:paraId="287B3E86">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S3</w:t>
            </w:r>
          </w:p>
        </w:tc>
        <w:tc>
          <w:tcPr>
            <w:tcW w:w="1496" w:type="pct"/>
            <w:shd w:val="clear" w:color="auto" w:fill="auto"/>
            <w:vAlign w:val="center"/>
          </w:tcPr>
          <w:p w14:paraId="56774978">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E1</w:t>
            </w:r>
          </w:p>
        </w:tc>
        <w:tc>
          <w:tcPr>
            <w:tcW w:w="1164" w:type="pct"/>
            <w:vAlign w:val="center"/>
          </w:tcPr>
          <w:p w14:paraId="70767ABC">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E2</w:t>
            </w:r>
          </w:p>
        </w:tc>
        <w:tc>
          <w:tcPr>
            <w:tcW w:w="1030" w:type="pct"/>
            <w:shd w:val="pct30" w:color="auto" w:fill="auto"/>
            <w:vAlign w:val="center"/>
          </w:tcPr>
          <w:p w14:paraId="379E9E34">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E3</w:t>
            </w:r>
          </w:p>
        </w:tc>
      </w:tr>
    </w:tbl>
    <w:p w14:paraId="2321517D">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综上，确定本项目地表水环境敏感程度为E3。</w:t>
      </w:r>
    </w:p>
    <w:p w14:paraId="6AFFE24E">
      <w:pPr>
        <w:pStyle w:val="4"/>
        <w:keepNext/>
        <w:keepLines/>
        <w:pageBreakBefore w:val="0"/>
        <w:widowControl w:val="0"/>
        <w:numPr>
          <w:ilvl w:val="2"/>
          <w:numId w:val="0"/>
        </w:numPr>
        <w:kinsoku/>
        <w:wordWrap/>
        <w:overflowPunct/>
        <w:topLinePunct w:val="0"/>
        <w:autoSpaceDE/>
        <w:autoSpaceDN/>
        <w:bidi w:val="0"/>
        <w:adjustRightInd w:val="0"/>
        <w:snapToGrid w:val="0"/>
        <w:spacing w:beforeLines="0" w:afterLines="0" w:line="360" w:lineRule="auto"/>
        <w:ind w:left="0" w:leftChars="0" w:right="0" w:rightChars="0"/>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3.3.3地下水环境</w:t>
      </w:r>
    </w:p>
    <w:p w14:paraId="45DB21EB">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地下水功能敏感性分区</w:t>
      </w:r>
    </w:p>
    <w:p w14:paraId="3FCC7DB4">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本项目地下水功能敏感性分区见表3-10。</w:t>
      </w:r>
    </w:p>
    <w:p w14:paraId="1D6F409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2"/>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表3-10 地下水功能敏感性分区</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2"/>
        <w:gridCol w:w="7426"/>
      </w:tblGrid>
      <w:tr w14:paraId="139F3C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6" w:type="pct"/>
            <w:vAlign w:val="center"/>
          </w:tcPr>
          <w:p w14:paraId="6589BE8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敏感性</w:t>
            </w:r>
          </w:p>
        </w:tc>
        <w:tc>
          <w:tcPr>
            <w:tcW w:w="4354" w:type="pct"/>
            <w:vAlign w:val="center"/>
          </w:tcPr>
          <w:p w14:paraId="72BA2F6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地下水环境敏感特征</w:t>
            </w:r>
          </w:p>
        </w:tc>
      </w:tr>
      <w:tr w14:paraId="02F502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6" w:type="pct"/>
            <w:vAlign w:val="center"/>
          </w:tcPr>
          <w:p w14:paraId="6161D9F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敏感G1</w:t>
            </w:r>
          </w:p>
        </w:tc>
        <w:tc>
          <w:tcPr>
            <w:tcW w:w="4354" w:type="pct"/>
            <w:vAlign w:val="center"/>
          </w:tcPr>
          <w:p w14:paraId="2EB2CFD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14:paraId="54A3DD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6" w:type="pct"/>
            <w:vAlign w:val="center"/>
          </w:tcPr>
          <w:p w14:paraId="05CBC35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较敏感G2</w:t>
            </w:r>
          </w:p>
        </w:tc>
        <w:tc>
          <w:tcPr>
            <w:tcW w:w="4354" w:type="pct"/>
            <w:vAlign w:val="center"/>
          </w:tcPr>
          <w:p w14:paraId="4512AA0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集中式饮用水水源（包括已建成的在用、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w:t>
            </w:r>
            <w:r>
              <w:rPr>
                <w:rFonts w:hint="default" w:ascii="Times New Roman" w:hAnsi="Times New Roman" w:eastAsia="宋体" w:cs="Times New Roman"/>
                <w:color w:val="auto"/>
                <w:sz w:val="21"/>
                <w:szCs w:val="21"/>
                <w:highlight w:val="none"/>
                <w:vertAlign w:val="superscript"/>
              </w:rPr>
              <w:t>a</w:t>
            </w:r>
          </w:p>
        </w:tc>
      </w:tr>
      <w:tr w14:paraId="5708C7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6" w:type="pct"/>
            <w:vAlign w:val="center"/>
          </w:tcPr>
          <w:p w14:paraId="278A751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不敏感G3</w:t>
            </w:r>
          </w:p>
        </w:tc>
        <w:tc>
          <w:tcPr>
            <w:tcW w:w="4354" w:type="pct"/>
            <w:vAlign w:val="center"/>
          </w:tcPr>
          <w:p w14:paraId="7B2FF85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上述地区之外的其他地区</w:t>
            </w:r>
          </w:p>
        </w:tc>
      </w:tr>
      <w:tr w14:paraId="45F15F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2"/>
            <w:vAlign w:val="center"/>
          </w:tcPr>
          <w:p w14:paraId="1E66452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vertAlign w:val="superscript"/>
              </w:rPr>
              <w:t>a</w:t>
            </w:r>
            <w:r>
              <w:rPr>
                <w:rFonts w:hint="default" w:ascii="Times New Roman" w:hAnsi="Times New Roman" w:eastAsia="宋体" w:cs="Times New Roman"/>
                <w:color w:val="auto"/>
                <w:sz w:val="21"/>
                <w:szCs w:val="21"/>
                <w:highlight w:val="none"/>
              </w:rPr>
              <w:t>“环境敏感区”是指《建设项目环境影响评价分类管理名录》中所界定的涉及地下水的环境敏感区。</w:t>
            </w:r>
          </w:p>
        </w:tc>
      </w:tr>
    </w:tbl>
    <w:p w14:paraId="6AC7DDA5">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本项目所在区域地下水敏感性属于敏感、较敏感以外的其他地区，为不敏感。由此判定，本项目所在区域地下水功能敏感性分区属于“不敏感G3”区。</w:t>
      </w:r>
    </w:p>
    <w:p w14:paraId="404D2789">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包气带防污性能分级</w:t>
      </w:r>
    </w:p>
    <w:p w14:paraId="3708F38F">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包气带防污性能分级见表3-11。</w:t>
      </w:r>
    </w:p>
    <w:p w14:paraId="74EDB41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表3-11 天包气带防污性能分级</w:t>
      </w:r>
    </w:p>
    <w:tbl>
      <w:tblPr>
        <w:tblStyle w:val="2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7425"/>
      </w:tblGrid>
      <w:tr w14:paraId="2D5025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03" w:type="dxa"/>
            <w:vAlign w:val="center"/>
          </w:tcPr>
          <w:p w14:paraId="540A2A26">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分级</w:t>
            </w:r>
          </w:p>
        </w:tc>
        <w:tc>
          <w:tcPr>
            <w:tcW w:w="7425" w:type="dxa"/>
            <w:vAlign w:val="center"/>
          </w:tcPr>
          <w:p w14:paraId="6EFA20DC">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包气带岩土的渗透性能</w:t>
            </w:r>
          </w:p>
        </w:tc>
      </w:tr>
      <w:tr w14:paraId="0D7646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03" w:type="dxa"/>
            <w:vAlign w:val="center"/>
          </w:tcPr>
          <w:p w14:paraId="52805E44">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D3</w:t>
            </w:r>
          </w:p>
        </w:tc>
        <w:tc>
          <w:tcPr>
            <w:tcW w:w="7425" w:type="dxa"/>
            <w:vAlign w:val="center"/>
          </w:tcPr>
          <w:p w14:paraId="616FB28D">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岩（土）层单层厚度Mb≥1.0m，渗透系数K≤1×10</w:t>
            </w:r>
            <w:r>
              <w:rPr>
                <w:rFonts w:hint="default" w:ascii="Times New Roman" w:hAnsi="Times New Roman" w:eastAsia="宋体" w:cs="Times New Roman"/>
                <w:color w:val="auto"/>
                <w:sz w:val="21"/>
                <w:szCs w:val="21"/>
                <w:highlight w:val="none"/>
                <w:vertAlign w:val="superscript"/>
              </w:rPr>
              <w:t>-6</w:t>
            </w:r>
            <w:r>
              <w:rPr>
                <w:rFonts w:hint="default" w:ascii="Times New Roman" w:hAnsi="Times New Roman" w:eastAsia="宋体" w:cs="Times New Roman"/>
                <w:color w:val="auto"/>
                <w:sz w:val="21"/>
                <w:szCs w:val="21"/>
                <w:highlight w:val="none"/>
              </w:rPr>
              <w:t>cm/s，且分布连续、稳定。</w:t>
            </w:r>
          </w:p>
        </w:tc>
      </w:tr>
      <w:tr w14:paraId="5C62EF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03" w:type="dxa"/>
            <w:vAlign w:val="center"/>
          </w:tcPr>
          <w:p w14:paraId="1726C26E">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D2</w:t>
            </w:r>
          </w:p>
        </w:tc>
        <w:tc>
          <w:tcPr>
            <w:tcW w:w="7425" w:type="dxa"/>
            <w:vAlign w:val="center"/>
          </w:tcPr>
          <w:p w14:paraId="4B8000CB">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岩（土）层单层厚度0.5m≤Mb＜1.0m，渗透系数K≤1×10</w:t>
            </w:r>
            <w:r>
              <w:rPr>
                <w:rFonts w:hint="default" w:ascii="Times New Roman" w:hAnsi="Times New Roman" w:eastAsia="宋体" w:cs="Times New Roman"/>
                <w:color w:val="auto"/>
                <w:sz w:val="21"/>
                <w:szCs w:val="21"/>
                <w:highlight w:val="none"/>
                <w:vertAlign w:val="superscript"/>
              </w:rPr>
              <w:t>-6</w:t>
            </w:r>
            <w:r>
              <w:rPr>
                <w:rFonts w:hint="default" w:ascii="Times New Roman" w:hAnsi="Times New Roman" w:eastAsia="宋体" w:cs="Times New Roman"/>
                <w:color w:val="auto"/>
                <w:sz w:val="21"/>
                <w:szCs w:val="21"/>
                <w:highlight w:val="none"/>
              </w:rPr>
              <w:t>cm/s，且分布连续、稳定。</w:t>
            </w:r>
          </w:p>
          <w:p w14:paraId="3D4CD81F">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岩（土）层单层厚度Mb≥1.0m，渗透系数1×10</w:t>
            </w:r>
            <w:r>
              <w:rPr>
                <w:rFonts w:hint="default" w:ascii="Times New Roman" w:hAnsi="Times New Roman" w:eastAsia="宋体" w:cs="Times New Roman"/>
                <w:color w:val="auto"/>
                <w:sz w:val="21"/>
                <w:szCs w:val="21"/>
                <w:highlight w:val="none"/>
                <w:vertAlign w:val="superscript"/>
              </w:rPr>
              <w:t>-6</w:t>
            </w:r>
            <w:r>
              <w:rPr>
                <w:rFonts w:hint="default" w:ascii="Times New Roman" w:hAnsi="Times New Roman" w:eastAsia="宋体" w:cs="Times New Roman"/>
                <w:color w:val="auto"/>
                <w:sz w:val="21"/>
                <w:szCs w:val="21"/>
                <w:highlight w:val="none"/>
              </w:rPr>
              <w:t>＜K≤1×10</w:t>
            </w:r>
            <w:r>
              <w:rPr>
                <w:rFonts w:hint="default" w:ascii="Times New Roman" w:hAnsi="Times New Roman" w:eastAsia="宋体" w:cs="Times New Roman"/>
                <w:color w:val="auto"/>
                <w:sz w:val="21"/>
                <w:szCs w:val="21"/>
                <w:highlight w:val="none"/>
                <w:vertAlign w:val="superscript"/>
              </w:rPr>
              <w:t>-4</w:t>
            </w:r>
            <w:r>
              <w:rPr>
                <w:rFonts w:hint="default" w:ascii="Times New Roman" w:hAnsi="Times New Roman" w:eastAsia="宋体" w:cs="Times New Roman"/>
                <w:color w:val="auto"/>
                <w:sz w:val="21"/>
                <w:szCs w:val="21"/>
                <w:highlight w:val="none"/>
              </w:rPr>
              <w:t>cm/s，且分布连续、稳定。</w:t>
            </w:r>
          </w:p>
        </w:tc>
      </w:tr>
      <w:tr w14:paraId="18B12D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03" w:type="dxa"/>
            <w:vAlign w:val="center"/>
          </w:tcPr>
          <w:p w14:paraId="13C7FEC8">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D1</w:t>
            </w:r>
          </w:p>
        </w:tc>
        <w:tc>
          <w:tcPr>
            <w:tcW w:w="7425" w:type="dxa"/>
            <w:vAlign w:val="center"/>
          </w:tcPr>
          <w:p w14:paraId="1E98A667">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岩（土）层不满足上述“D2”和“D3”条件。</w:t>
            </w:r>
          </w:p>
        </w:tc>
      </w:tr>
    </w:tbl>
    <w:p w14:paraId="53288C03">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cs="Times New Roman"/>
          <w:color w:val="auto"/>
          <w:sz w:val="24"/>
          <w:szCs w:val="24"/>
          <w:highlight w:val="none"/>
          <w:shd w:val="clear"/>
          <w:lang w:val="en-US" w:eastAsia="zh-CN"/>
        </w:rPr>
      </w:pPr>
      <w:r>
        <w:rPr>
          <w:rFonts w:hint="default" w:ascii="Times New Roman" w:hAnsi="Times New Roman" w:cs="Times New Roman"/>
          <w:color w:val="auto"/>
          <w:sz w:val="24"/>
          <w:szCs w:val="24"/>
          <w:highlight w:val="none"/>
          <w:lang w:val="en-US" w:eastAsia="zh-CN"/>
        </w:rPr>
        <w:t>根据评价区水文地质条件</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本项目位于</w:t>
      </w:r>
      <w:r>
        <w:rPr>
          <w:rFonts w:hint="default" w:ascii="Times New Roman" w:hAnsi="Times New Roman" w:eastAsia="宋体" w:cs="Times New Roman"/>
          <w:color w:val="auto"/>
          <w:sz w:val="24"/>
          <w:szCs w:val="24"/>
          <w:highlight w:val="none"/>
        </w:rPr>
        <w:t>松花江高漫滩第四系全新统细、中、粗砂含砾石层潜水</w:t>
      </w:r>
      <w:r>
        <w:rPr>
          <w:rFonts w:hint="default" w:ascii="Times New Roman" w:hAnsi="Times New Roman" w:cs="Times New Roman"/>
          <w:color w:val="auto"/>
          <w:sz w:val="24"/>
          <w:szCs w:val="24"/>
          <w:highlight w:val="none"/>
          <w:lang w:eastAsia="zh-CN"/>
        </w:rPr>
        <w:t>，含水层上覆2m左右厚的粉质粘土。</w:t>
      </w:r>
      <w:r>
        <w:rPr>
          <w:rFonts w:hint="default" w:ascii="Times New Roman" w:hAnsi="Times New Roman" w:cs="Times New Roman"/>
          <w:color w:val="auto"/>
          <w:sz w:val="24"/>
          <w:szCs w:val="24"/>
          <w:highlight w:val="none"/>
          <w:lang w:val="en-US" w:eastAsia="zh-CN"/>
        </w:rPr>
        <w:t>根据粉质黏土渗透系数的经验值下限，</w:t>
      </w:r>
      <w:r>
        <w:rPr>
          <w:rFonts w:hint="default" w:ascii="Times New Roman" w:hAnsi="Times New Roman" w:cs="Times New Roman"/>
          <w:color w:val="auto"/>
          <w:sz w:val="24"/>
          <w:szCs w:val="24"/>
          <w:highlight w:val="none"/>
          <w:lang w:eastAsia="zh-CN"/>
        </w:rPr>
        <w:t>粉质粘土渗透系数</w:t>
      </w:r>
      <w:r>
        <w:rPr>
          <w:rFonts w:hint="eastAsia" w:cs="Times New Roman"/>
          <w:color w:val="auto"/>
          <w:sz w:val="24"/>
          <w:szCs w:val="24"/>
          <w:highlight w:val="none"/>
          <w:lang w:eastAsia="zh-CN"/>
        </w:rPr>
        <w:t>下限</w:t>
      </w:r>
      <w:r>
        <w:rPr>
          <w:rFonts w:hint="default" w:ascii="Times New Roman" w:hAnsi="Times New Roman" w:cs="Times New Roman"/>
          <w:color w:val="auto"/>
          <w:sz w:val="24"/>
          <w:szCs w:val="24"/>
          <w:highlight w:val="none"/>
          <w:lang w:eastAsia="zh-CN"/>
        </w:rPr>
        <w:t>为1.20×10</w:t>
      </w:r>
      <w:r>
        <w:rPr>
          <w:rFonts w:hint="default" w:ascii="Times New Roman" w:hAnsi="Times New Roman" w:cs="Times New Roman"/>
          <w:color w:val="auto"/>
          <w:sz w:val="24"/>
          <w:szCs w:val="24"/>
          <w:highlight w:val="none"/>
          <w:vertAlign w:val="superscript"/>
          <w:lang w:val="en-US" w:eastAsia="zh-CN"/>
        </w:rPr>
        <w:t>-6</w:t>
      </w:r>
      <w:r>
        <w:rPr>
          <w:rFonts w:hint="default" w:ascii="Times New Roman" w:hAnsi="Times New Roman" w:cs="Times New Roman"/>
          <w:color w:val="auto"/>
          <w:sz w:val="24"/>
          <w:szCs w:val="24"/>
          <w:highlight w:val="none"/>
          <w:lang w:val="en-US" w:eastAsia="zh-CN"/>
        </w:rPr>
        <w:t>cm/s。</w:t>
      </w:r>
      <w:r>
        <w:rPr>
          <w:rFonts w:hint="default" w:ascii="Times New Roman" w:hAnsi="Times New Roman" w:eastAsia="宋体" w:cs="Times New Roman"/>
          <w:color w:val="auto"/>
          <w:sz w:val="24"/>
          <w:szCs w:val="24"/>
          <w:highlight w:val="none"/>
          <w:shd w:val="clear"/>
        </w:rPr>
        <w:t>所以判定本项目天然包气带防污性能为“D2”。</w:t>
      </w:r>
    </w:p>
    <w:p w14:paraId="79313B2F">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地下水环境敏感程度分级</w:t>
      </w:r>
    </w:p>
    <w:p w14:paraId="0AFF0925">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本项目地下水环境敏感程度分级见表3-12。</w:t>
      </w:r>
    </w:p>
    <w:p w14:paraId="05A8759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表3-12 地下水环境敏感程度分级</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34"/>
        <w:gridCol w:w="2552"/>
        <w:gridCol w:w="1985"/>
        <w:gridCol w:w="1757"/>
      </w:tblGrid>
      <w:tr w14:paraId="0E6726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10" w:type="pct"/>
            <w:vMerge w:val="restart"/>
            <w:vAlign w:val="center"/>
          </w:tcPr>
          <w:p w14:paraId="73521088">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包气带防污性能</w:t>
            </w:r>
          </w:p>
        </w:tc>
        <w:tc>
          <w:tcPr>
            <w:tcW w:w="3690" w:type="pct"/>
            <w:gridSpan w:val="3"/>
            <w:vAlign w:val="center"/>
          </w:tcPr>
          <w:p w14:paraId="5BB7D428">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地下水功能敏感性</w:t>
            </w:r>
          </w:p>
        </w:tc>
      </w:tr>
      <w:tr w14:paraId="0D44D9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10" w:type="pct"/>
            <w:vMerge w:val="continue"/>
            <w:vAlign w:val="center"/>
          </w:tcPr>
          <w:p w14:paraId="2B7F80A6">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p>
        </w:tc>
        <w:tc>
          <w:tcPr>
            <w:tcW w:w="1496" w:type="pct"/>
            <w:vAlign w:val="center"/>
          </w:tcPr>
          <w:p w14:paraId="35BEF0DB">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G1</w:t>
            </w:r>
          </w:p>
        </w:tc>
        <w:tc>
          <w:tcPr>
            <w:tcW w:w="1164" w:type="pct"/>
            <w:vAlign w:val="center"/>
          </w:tcPr>
          <w:p w14:paraId="6B9EF71C">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val="0"/>
                <w:bCs/>
                <w:color w:val="auto"/>
                <w:sz w:val="21"/>
                <w:szCs w:val="21"/>
                <w:highlight w:val="none"/>
              </w:rPr>
              <w:t>G2</w:t>
            </w:r>
          </w:p>
        </w:tc>
        <w:tc>
          <w:tcPr>
            <w:tcW w:w="1030" w:type="pct"/>
            <w:tcBorders>
              <w:bottom w:val="single" w:color="auto" w:sz="4" w:space="0"/>
            </w:tcBorders>
            <w:shd w:val="clear" w:color="auto" w:fill="auto"/>
            <w:vAlign w:val="center"/>
          </w:tcPr>
          <w:p w14:paraId="00122728">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G3</w:t>
            </w:r>
          </w:p>
        </w:tc>
      </w:tr>
      <w:tr w14:paraId="0400B5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10" w:type="pct"/>
            <w:vAlign w:val="center"/>
          </w:tcPr>
          <w:p w14:paraId="5A584825">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D1</w:t>
            </w:r>
          </w:p>
        </w:tc>
        <w:tc>
          <w:tcPr>
            <w:tcW w:w="1496" w:type="pct"/>
            <w:vAlign w:val="center"/>
          </w:tcPr>
          <w:p w14:paraId="67B8144E">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E1</w:t>
            </w:r>
          </w:p>
        </w:tc>
        <w:tc>
          <w:tcPr>
            <w:tcW w:w="1164" w:type="pct"/>
            <w:tcBorders>
              <w:bottom w:val="single" w:color="auto" w:sz="4" w:space="0"/>
            </w:tcBorders>
            <w:shd w:val="clear" w:color="auto" w:fill="auto"/>
            <w:vAlign w:val="center"/>
          </w:tcPr>
          <w:p w14:paraId="422EED85">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E1</w:t>
            </w:r>
          </w:p>
        </w:tc>
        <w:tc>
          <w:tcPr>
            <w:tcW w:w="1030" w:type="pct"/>
            <w:tcBorders>
              <w:top w:val="single" w:color="auto" w:sz="4" w:space="0"/>
              <w:bottom w:val="single" w:color="auto" w:sz="4" w:space="0"/>
            </w:tcBorders>
            <w:shd w:val="clear" w:color="auto" w:fill="auto"/>
            <w:vAlign w:val="center"/>
          </w:tcPr>
          <w:p w14:paraId="5C5B872C">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shd w:val="clear"/>
                <w:lang w:bidi="en-US"/>
              </w:rPr>
              <w:t>E2</w:t>
            </w:r>
          </w:p>
        </w:tc>
      </w:tr>
      <w:tr w14:paraId="134186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10" w:type="pct"/>
            <w:vAlign w:val="center"/>
          </w:tcPr>
          <w:p w14:paraId="122E6AAC">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D2</w:t>
            </w:r>
          </w:p>
        </w:tc>
        <w:tc>
          <w:tcPr>
            <w:tcW w:w="1496" w:type="pct"/>
            <w:vAlign w:val="center"/>
          </w:tcPr>
          <w:p w14:paraId="367E50D5">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E1</w:t>
            </w:r>
          </w:p>
        </w:tc>
        <w:tc>
          <w:tcPr>
            <w:tcW w:w="1164" w:type="pct"/>
            <w:tcBorders>
              <w:top w:val="single" w:color="auto" w:sz="4" w:space="0"/>
              <w:bottom w:val="single" w:color="auto" w:sz="4" w:space="0"/>
            </w:tcBorders>
            <w:shd w:val="clear" w:color="auto" w:fill="auto"/>
            <w:vAlign w:val="center"/>
          </w:tcPr>
          <w:p w14:paraId="43571C6F">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E2</w:t>
            </w:r>
          </w:p>
        </w:tc>
        <w:tc>
          <w:tcPr>
            <w:tcW w:w="1030" w:type="pct"/>
            <w:tcBorders>
              <w:top w:val="single" w:color="auto" w:sz="4" w:space="0"/>
              <w:bottom w:val="single" w:color="auto" w:sz="4" w:space="0"/>
            </w:tcBorders>
            <w:shd w:val="clear" w:color="auto" w:fill="BEBEBE" w:themeFill="background1" w:themeFillShade="BF"/>
            <w:vAlign w:val="center"/>
          </w:tcPr>
          <w:p w14:paraId="63E29FC6">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shd w:val="clear" w:fill="BEBEBE" w:themeFill="background1" w:themeFillShade="BF"/>
                <w:lang w:bidi="en-US"/>
              </w:rPr>
              <w:t>E3</w:t>
            </w:r>
          </w:p>
        </w:tc>
      </w:tr>
      <w:tr w14:paraId="0E86DB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10" w:type="pct"/>
            <w:vAlign w:val="center"/>
          </w:tcPr>
          <w:p w14:paraId="3ACC72F3">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D3</w:t>
            </w:r>
          </w:p>
        </w:tc>
        <w:tc>
          <w:tcPr>
            <w:tcW w:w="1496" w:type="pct"/>
            <w:shd w:val="clear" w:color="auto" w:fill="auto"/>
            <w:vAlign w:val="center"/>
          </w:tcPr>
          <w:p w14:paraId="2E0FD662">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E1</w:t>
            </w:r>
          </w:p>
        </w:tc>
        <w:tc>
          <w:tcPr>
            <w:tcW w:w="1164" w:type="pct"/>
            <w:tcBorders>
              <w:top w:val="single" w:color="auto" w:sz="4" w:space="0"/>
            </w:tcBorders>
            <w:vAlign w:val="center"/>
          </w:tcPr>
          <w:p w14:paraId="405A5975">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E2</w:t>
            </w:r>
          </w:p>
        </w:tc>
        <w:tc>
          <w:tcPr>
            <w:tcW w:w="1030" w:type="pct"/>
            <w:tcBorders>
              <w:top w:val="single" w:color="auto" w:sz="4" w:space="0"/>
              <w:bottom w:val="single" w:color="auto" w:sz="12" w:space="0"/>
            </w:tcBorders>
            <w:shd w:val="clear" w:color="auto" w:fill="auto"/>
            <w:vAlign w:val="center"/>
          </w:tcPr>
          <w:p w14:paraId="18B8036F">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en-US"/>
              </w:rPr>
              <w:t>E3</w:t>
            </w:r>
          </w:p>
        </w:tc>
      </w:tr>
    </w:tbl>
    <w:p w14:paraId="161111CD">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综上，确定本项目地下水环境敏感程度分级为E</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w:t>
      </w:r>
    </w:p>
    <w:p w14:paraId="64ADDE02">
      <w:pPr>
        <w:pStyle w:val="4"/>
        <w:keepNext/>
        <w:keepLines/>
        <w:pageBreakBefore w:val="0"/>
        <w:widowControl w:val="0"/>
        <w:numPr>
          <w:ilvl w:val="2"/>
          <w:numId w:val="0"/>
        </w:numPr>
        <w:kinsoku/>
        <w:wordWrap/>
        <w:overflowPunct/>
        <w:topLinePunct w:val="0"/>
        <w:autoSpaceDE/>
        <w:autoSpaceDN/>
        <w:bidi w:val="0"/>
        <w:adjustRightInd w:val="0"/>
        <w:snapToGrid w:val="0"/>
        <w:spacing w:beforeLines="0" w:afterLines="0" w:line="360" w:lineRule="auto"/>
        <w:ind w:left="0" w:leftChars="0" w:right="0" w:rightChars="0"/>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3.3.4本项目E的分级确定结果</w:t>
      </w:r>
    </w:p>
    <w:p w14:paraId="2C24F0AC">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综上，本项目大气环境敏感程度分级为E</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，地表水敏感程度分级为E3，地下水敏感程度分级为E</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w:t>
      </w:r>
    </w:p>
    <w:p w14:paraId="724A7E9A">
      <w:pPr>
        <w:pStyle w:val="3"/>
        <w:keepNext/>
        <w:keepLines/>
        <w:pageBreakBefore w:val="0"/>
        <w:widowControl w:val="0"/>
        <w:numPr>
          <w:ilvl w:val="1"/>
          <w:numId w:val="0"/>
        </w:numPr>
        <w:kinsoku/>
        <w:wordWrap/>
        <w:overflowPunct/>
        <w:topLinePunct w:val="0"/>
        <w:autoSpaceDE/>
        <w:autoSpaceDN/>
        <w:bidi w:val="0"/>
        <w:adjustRightInd w:val="0"/>
        <w:snapToGrid w:val="0"/>
        <w:spacing w:before="0" w:after="0" w:line="360" w:lineRule="auto"/>
        <w:ind w:left="0" w:leftChars="0" w:right="0" w:rightChars="0"/>
        <w:textAlignment w:val="auto"/>
        <w:rPr>
          <w:rFonts w:hint="default" w:ascii="Times New Roman" w:hAnsi="Times New Roman" w:eastAsia="宋体" w:cs="Times New Roman"/>
          <w:b/>
          <w:bCs/>
          <w:color w:val="auto"/>
          <w:kern w:val="0"/>
          <w:sz w:val="24"/>
          <w:szCs w:val="24"/>
          <w:highlight w:val="none"/>
          <w:lang w:val="en-US" w:eastAsia="zh-CN" w:bidi="ar"/>
        </w:rPr>
      </w:pPr>
      <w:bookmarkStart w:id="84" w:name="_Toc17360"/>
      <w:r>
        <w:rPr>
          <w:rFonts w:hint="default" w:ascii="Times New Roman" w:hAnsi="Times New Roman" w:eastAsia="宋体" w:cs="Times New Roman"/>
          <w:b/>
          <w:bCs/>
          <w:color w:val="auto"/>
          <w:kern w:val="0"/>
          <w:sz w:val="24"/>
          <w:szCs w:val="24"/>
          <w:highlight w:val="none"/>
          <w:lang w:val="en-US" w:eastAsia="zh-CN" w:bidi="ar"/>
        </w:rPr>
        <w:t>3.4建设项目环境风险潜势判断</w:t>
      </w:r>
      <w:bookmarkEnd w:id="84"/>
    </w:p>
    <w:p w14:paraId="1FE19200">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上述分析结果，根据《建设项目环境风险评价技术导则》（HJ169-2018）中6.4可知建设项目环境风险潜势综合等级取各要素等级的相对高值，结合建设项目环境风险潜势划分表可知，本项目环境风险潜势综合等级为Ⅲ级。其中大气环境风险潜势判定为Ⅲ级；地表水环境风险潜势判定为I级；地下水环境风险潜势判定为I级。本项目各要素及综合环境风险潜势等级确定表见表3-13。</w:t>
      </w:r>
    </w:p>
    <w:p w14:paraId="785A5E8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表3-13 各要素及综合环境风险潜势等级确定表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3"/>
        <w:gridCol w:w="1134"/>
        <w:gridCol w:w="1984"/>
        <w:gridCol w:w="2412"/>
        <w:gridCol w:w="1615"/>
      </w:tblGrid>
      <w:tr w14:paraId="21776D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1" w:type="pct"/>
            <w:vAlign w:val="center"/>
          </w:tcPr>
          <w:p w14:paraId="29FEBB08">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要素名称</w:t>
            </w:r>
          </w:p>
        </w:tc>
        <w:tc>
          <w:tcPr>
            <w:tcW w:w="665" w:type="pct"/>
            <w:vAlign w:val="center"/>
          </w:tcPr>
          <w:p w14:paraId="60E614B8">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P值</w:t>
            </w:r>
          </w:p>
        </w:tc>
        <w:tc>
          <w:tcPr>
            <w:tcW w:w="1163" w:type="pct"/>
            <w:vAlign w:val="center"/>
          </w:tcPr>
          <w:p w14:paraId="2057D6F2">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E值</w:t>
            </w:r>
          </w:p>
        </w:tc>
        <w:tc>
          <w:tcPr>
            <w:tcW w:w="1414" w:type="pct"/>
            <w:vAlign w:val="center"/>
          </w:tcPr>
          <w:p w14:paraId="49D2C163">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环境风险潜势</w:t>
            </w:r>
          </w:p>
        </w:tc>
        <w:tc>
          <w:tcPr>
            <w:tcW w:w="947" w:type="pct"/>
            <w:vAlign w:val="center"/>
          </w:tcPr>
          <w:p w14:paraId="44EB42B1">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评价等级</w:t>
            </w:r>
          </w:p>
        </w:tc>
      </w:tr>
      <w:tr w14:paraId="17C7CE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1" w:type="pct"/>
            <w:vAlign w:val="center"/>
          </w:tcPr>
          <w:p w14:paraId="113A3534">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大气环境</w:t>
            </w:r>
          </w:p>
        </w:tc>
        <w:tc>
          <w:tcPr>
            <w:tcW w:w="665" w:type="pct"/>
            <w:vMerge w:val="restart"/>
            <w:vAlign w:val="center"/>
          </w:tcPr>
          <w:p w14:paraId="17CD1F24">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rPr>
              <w:t>P</w:t>
            </w:r>
            <w:r>
              <w:rPr>
                <w:rFonts w:hint="default" w:ascii="Times New Roman" w:hAnsi="Times New Roman" w:eastAsia="宋体" w:cs="Times New Roman"/>
                <w:bCs/>
                <w:color w:val="auto"/>
                <w:sz w:val="21"/>
                <w:szCs w:val="21"/>
                <w:highlight w:val="none"/>
                <w:lang w:val="en-US" w:eastAsia="zh-CN"/>
              </w:rPr>
              <w:t>4</w:t>
            </w:r>
          </w:p>
        </w:tc>
        <w:tc>
          <w:tcPr>
            <w:tcW w:w="1163" w:type="pct"/>
            <w:vAlign w:val="center"/>
          </w:tcPr>
          <w:p w14:paraId="784965B6">
            <w:pPr>
              <w:pStyle w:val="120"/>
              <w:pageBreakBefore w:val="0"/>
              <w:kinsoku/>
              <w:bidi w:val="0"/>
              <w:adjustRightInd w:val="0"/>
              <w:snapToGrid w:val="0"/>
              <w:spacing w:line="300" w:lineRule="exact"/>
              <w:ind w:left="0" w:leftChars="0" w:right="0" w:rightChars="0" w:firstLine="0" w:firstLineChars="0"/>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E</w:t>
            </w:r>
            <w:r>
              <w:rPr>
                <w:rFonts w:hint="default" w:ascii="Times New Roman" w:hAnsi="Times New Roman" w:eastAsia="宋体" w:cs="Times New Roman"/>
                <w:color w:val="auto"/>
                <w:kern w:val="0"/>
                <w:sz w:val="21"/>
                <w:szCs w:val="21"/>
                <w:highlight w:val="none"/>
                <w:lang w:val="en-US" w:eastAsia="zh-CN"/>
              </w:rPr>
              <w:t>1</w:t>
            </w:r>
          </w:p>
        </w:tc>
        <w:tc>
          <w:tcPr>
            <w:tcW w:w="1414" w:type="pct"/>
            <w:vAlign w:val="center"/>
          </w:tcPr>
          <w:p w14:paraId="19F26245">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lang w:eastAsia="en-US" w:bidi="en-US"/>
              </w:rPr>
              <w:t>Ⅲ</w:t>
            </w:r>
          </w:p>
        </w:tc>
        <w:tc>
          <w:tcPr>
            <w:tcW w:w="947" w:type="pct"/>
            <w:vAlign w:val="center"/>
          </w:tcPr>
          <w:p w14:paraId="4CA599AF">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二级</w:t>
            </w:r>
          </w:p>
        </w:tc>
      </w:tr>
      <w:tr w14:paraId="05E019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1" w:type="pct"/>
            <w:vAlign w:val="center"/>
          </w:tcPr>
          <w:p w14:paraId="39B1779D">
            <w:pPr>
              <w:pageBreakBefore w:val="0"/>
              <w:kinsoku/>
              <w:autoSpaceDE w:val="0"/>
              <w:autoSpaceDN w:val="0"/>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地表水环境</w:t>
            </w:r>
          </w:p>
        </w:tc>
        <w:tc>
          <w:tcPr>
            <w:tcW w:w="665" w:type="pct"/>
            <w:vMerge w:val="continue"/>
            <w:vAlign w:val="center"/>
          </w:tcPr>
          <w:p w14:paraId="17A7346E">
            <w:pPr>
              <w:pageBreakBefore w:val="0"/>
              <w:kinsoku/>
              <w:autoSpaceDE w:val="0"/>
              <w:autoSpaceDN w:val="0"/>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p>
        </w:tc>
        <w:tc>
          <w:tcPr>
            <w:tcW w:w="1163" w:type="pct"/>
            <w:vAlign w:val="center"/>
          </w:tcPr>
          <w:p w14:paraId="5A981E22">
            <w:pPr>
              <w:pStyle w:val="120"/>
              <w:pageBreakBefore w:val="0"/>
              <w:kinsoku/>
              <w:bidi w:val="0"/>
              <w:adjustRightInd w:val="0"/>
              <w:snapToGrid w:val="0"/>
              <w:spacing w:line="300" w:lineRule="exact"/>
              <w:ind w:left="0" w:leftChars="0" w:right="0" w:rightChars="0" w:firstLine="0" w:firstLineChars="0"/>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E3</w:t>
            </w:r>
          </w:p>
        </w:tc>
        <w:tc>
          <w:tcPr>
            <w:tcW w:w="1414" w:type="pct"/>
            <w:vAlign w:val="center"/>
          </w:tcPr>
          <w:p w14:paraId="5DC5AA66">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lang w:eastAsia="en-US" w:bidi="en-US"/>
              </w:rPr>
              <w:t>I</w:t>
            </w:r>
          </w:p>
        </w:tc>
        <w:tc>
          <w:tcPr>
            <w:tcW w:w="947" w:type="pct"/>
            <w:vAlign w:val="center"/>
          </w:tcPr>
          <w:p w14:paraId="0B575A19">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简单分析</w:t>
            </w:r>
          </w:p>
        </w:tc>
      </w:tr>
      <w:tr w14:paraId="3D4101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1" w:type="pct"/>
            <w:vAlign w:val="center"/>
          </w:tcPr>
          <w:p w14:paraId="49F18515">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地下水环境</w:t>
            </w:r>
          </w:p>
        </w:tc>
        <w:tc>
          <w:tcPr>
            <w:tcW w:w="665" w:type="pct"/>
            <w:vMerge w:val="continue"/>
            <w:vAlign w:val="center"/>
          </w:tcPr>
          <w:p w14:paraId="55832759">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p>
        </w:tc>
        <w:tc>
          <w:tcPr>
            <w:tcW w:w="1163" w:type="pct"/>
            <w:vAlign w:val="center"/>
          </w:tcPr>
          <w:p w14:paraId="71E3124B">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rPr>
              <w:t>E</w:t>
            </w:r>
            <w:r>
              <w:rPr>
                <w:rFonts w:hint="default" w:ascii="Times New Roman" w:hAnsi="Times New Roman" w:eastAsia="宋体" w:cs="Times New Roman"/>
                <w:bCs/>
                <w:color w:val="auto"/>
                <w:sz w:val="21"/>
                <w:szCs w:val="21"/>
                <w:highlight w:val="none"/>
                <w:lang w:val="en-US" w:eastAsia="zh-CN"/>
              </w:rPr>
              <w:t>3</w:t>
            </w:r>
          </w:p>
        </w:tc>
        <w:tc>
          <w:tcPr>
            <w:tcW w:w="1414" w:type="pct"/>
            <w:vAlign w:val="center"/>
          </w:tcPr>
          <w:p w14:paraId="671995EA">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lang w:eastAsia="en-US" w:bidi="en-US"/>
              </w:rPr>
              <w:t>I</w:t>
            </w:r>
          </w:p>
        </w:tc>
        <w:tc>
          <w:tcPr>
            <w:tcW w:w="947" w:type="pct"/>
            <w:vAlign w:val="center"/>
          </w:tcPr>
          <w:p w14:paraId="3A206A8A">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简单分析</w:t>
            </w:r>
          </w:p>
        </w:tc>
      </w:tr>
      <w:tr w14:paraId="1E3DA0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39" w:type="pct"/>
            <w:gridSpan w:val="3"/>
            <w:vAlign w:val="center"/>
          </w:tcPr>
          <w:p w14:paraId="7E94E0BB">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综合</w:t>
            </w:r>
          </w:p>
        </w:tc>
        <w:tc>
          <w:tcPr>
            <w:tcW w:w="1414" w:type="pct"/>
            <w:vAlign w:val="center"/>
          </w:tcPr>
          <w:p w14:paraId="3CA09C3C">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lang w:eastAsia="en-US" w:bidi="en-US"/>
              </w:rPr>
              <w:t>Ⅲ</w:t>
            </w:r>
          </w:p>
        </w:tc>
        <w:tc>
          <w:tcPr>
            <w:tcW w:w="947" w:type="pct"/>
            <w:vAlign w:val="center"/>
          </w:tcPr>
          <w:p w14:paraId="3121CE91">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二级</w:t>
            </w:r>
          </w:p>
        </w:tc>
      </w:tr>
    </w:tbl>
    <w:p w14:paraId="2694646F">
      <w:pPr>
        <w:pStyle w:val="4"/>
        <w:pageBreakBefore w:val="0"/>
        <w:numPr>
          <w:ilvl w:val="2"/>
          <w:numId w:val="0"/>
        </w:numPr>
        <w:kinsoku/>
        <w:bidi w:val="0"/>
        <w:adjustRightInd w:val="0"/>
        <w:snapToGrid w:val="0"/>
        <w:spacing w:beforeLines="0" w:afterLines="0"/>
        <w:ind w:left="0" w:leftChars="0" w:right="0" w:rightChars="0" w:firstLine="480" w:firstLineChars="200"/>
        <w:rPr>
          <w:rFonts w:hint="default" w:ascii="Times New Roman" w:hAnsi="Times New Roman" w:eastAsia="宋体" w:cs="Times New Roman"/>
          <w:b w:val="0"/>
          <w:bCs w:val="0"/>
          <w:color w:val="auto"/>
          <w:kern w:val="2"/>
          <w:sz w:val="24"/>
          <w:szCs w:val="24"/>
          <w:highlight w:val="none"/>
          <w:lang w:val="en-US" w:eastAsia="zh-CN" w:bidi="ar-SA"/>
        </w:rPr>
        <w:sectPr>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type="linesAndChars" w:linePitch="312" w:charSpace="0"/>
        </w:sectPr>
      </w:pPr>
    </w:p>
    <w:p w14:paraId="56408790">
      <w:pPr>
        <w:pStyle w:val="2"/>
        <w:keepNext/>
        <w:keepLines/>
        <w:pageBreakBefore w:val="0"/>
        <w:widowControl w:val="0"/>
        <w:numPr>
          <w:ilvl w:val="0"/>
          <w:numId w:val="0"/>
        </w:numPr>
        <w:kinsoku/>
        <w:wordWrap/>
        <w:overflowPunct/>
        <w:topLinePunct w:val="0"/>
        <w:autoSpaceDE/>
        <w:autoSpaceDN/>
        <w:bidi w:val="0"/>
        <w:adjustRightInd w:val="0"/>
        <w:snapToGrid w:val="0"/>
        <w:spacing w:before="0" w:after="0" w:line="360" w:lineRule="auto"/>
        <w:ind w:left="0" w:leftChars="0" w:right="0" w:rightChars="0"/>
        <w:jc w:val="left"/>
        <w:textAlignment w:val="auto"/>
        <w:rPr>
          <w:rFonts w:hint="default" w:ascii="Times New Roman" w:hAnsi="Times New Roman" w:eastAsia="宋体" w:cs="Times New Roman"/>
          <w:b/>
          <w:bCs w:val="0"/>
          <w:color w:val="auto"/>
          <w:kern w:val="2"/>
          <w:sz w:val="28"/>
          <w:szCs w:val="28"/>
          <w:highlight w:val="none"/>
          <w:lang w:val="en-US" w:eastAsia="zh-CN" w:bidi="ar-SA"/>
        </w:rPr>
      </w:pPr>
      <w:bookmarkStart w:id="85" w:name="_Toc3750"/>
      <w:bookmarkStart w:id="86" w:name="_Toc13617"/>
      <w:r>
        <w:rPr>
          <w:rFonts w:hint="default" w:ascii="Times New Roman" w:hAnsi="Times New Roman" w:eastAsia="宋体" w:cs="Times New Roman"/>
          <w:b/>
          <w:bCs w:val="0"/>
          <w:color w:val="auto"/>
          <w:kern w:val="2"/>
          <w:sz w:val="28"/>
          <w:szCs w:val="28"/>
          <w:highlight w:val="none"/>
          <w:lang w:val="en-US" w:eastAsia="zh-CN" w:bidi="ar-SA"/>
        </w:rPr>
        <w:t>4风险识别</w:t>
      </w:r>
      <w:bookmarkEnd w:id="85"/>
      <w:bookmarkEnd w:id="86"/>
    </w:p>
    <w:p w14:paraId="28B4E6BE">
      <w:pPr>
        <w:pStyle w:val="3"/>
        <w:keepNext/>
        <w:keepLines/>
        <w:pageBreakBefore w:val="0"/>
        <w:widowControl w:val="0"/>
        <w:numPr>
          <w:ilvl w:val="1"/>
          <w:numId w:val="0"/>
        </w:numPr>
        <w:kinsoku/>
        <w:wordWrap/>
        <w:overflowPunct/>
        <w:topLinePunct w:val="0"/>
        <w:autoSpaceDE/>
        <w:autoSpaceDN/>
        <w:bidi w:val="0"/>
        <w:adjustRightInd w:val="0"/>
        <w:snapToGrid w:val="0"/>
        <w:spacing w:before="0" w:after="0" w:line="360" w:lineRule="auto"/>
        <w:ind w:left="0" w:leftChars="0" w:right="0" w:rightChars="0"/>
        <w:textAlignment w:val="auto"/>
        <w:rPr>
          <w:rFonts w:hint="default" w:ascii="Times New Roman" w:hAnsi="Times New Roman" w:eastAsia="宋体" w:cs="Times New Roman"/>
          <w:b/>
          <w:bCs w:val="0"/>
          <w:color w:val="auto"/>
          <w:kern w:val="2"/>
          <w:sz w:val="24"/>
          <w:szCs w:val="24"/>
          <w:highlight w:val="none"/>
          <w:lang w:val="en-US" w:eastAsia="zh-CN" w:bidi="ar-SA"/>
        </w:rPr>
      </w:pPr>
      <w:bookmarkStart w:id="87" w:name="_Toc1443"/>
      <w:r>
        <w:rPr>
          <w:rFonts w:hint="default" w:ascii="Times New Roman" w:hAnsi="Times New Roman" w:eastAsia="宋体" w:cs="Times New Roman"/>
          <w:b/>
          <w:bCs w:val="0"/>
          <w:color w:val="auto"/>
          <w:kern w:val="2"/>
          <w:sz w:val="24"/>
          <w:szCs w:val="24"/>
          <w:highlight w:val="none"/>
          <w:lang w:val="en-US" w:eastAsia="zh-CN" w:bidi="ar-SA"/>
        </w:rPr>
        <w:t>4.1物质危险性识别</w:t>
      </w:r>
      <w:bookmarkEnd w:id="87"/>
    </w:p>
    <w:p w14:paraId="0D859142">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物质危险性识别范围包括：主要原辅材料、燃料、中间产品、副产品、最终产品、污染物、火灾和爆炸伴生/次生物等。按照《建设项目环境风险评价技术导则》（HJ169-2018）附录中附录B和《危险化学品重大危险源辨识》（GB18218-2018），本项目主要风险物质为正己烷、磷酸、氢氧化钠、废机油。</w:t>
      </w:r>
    </w:p>
    <w:p w14:paraId="037E401F">
      <w:pPr>
        <w:pStyle w:val="3"/>
        <w:keepNext/>
        <w:keepLines/>
        <w:pageBreakBefore w:val="0"/>
        <w:widowControl w:val="0"/>
        <w:numPr>
          <w:ilvl w:val="1"/>
          <w:numId w:val="0"/>
        </w:numPr>
        <w:kinsoku/>
        <w:wordWrap/>
        <w:overflowPunct/>
        <w:topLinePunct w:val="0"/>
        <w:autoSpaceDE/>
        <w:autoSpaceDN/>
        <w:bidi w:val="0"/>
        <w:adjustRightInd w:val="0"/>
        <w:snapToGrid w:val="0"/>
        <w:spacing w:before="0" w:after="0" w:line="360" w:lineRule="auto"/>
        <w:ind w:left="0" w:leftChars="0" w:right="0" w:rightChars="0"/>
        <w:textAlignment w:val="auto"/>
        <w:rPr>
          <w:rFonts w:hint="default" w:ascii="Times New Roman" w:hAnsi="Times New Roman" w:eastAsia="宋体" w:cs="Times New Roman"/>
          <w:b/>
          <w:bCs w:val="0"/>
          <w:color w:val="auto"/>
          <w:kern w:val="2"/>
          <w:sz w:val="24"/>
          <w:szCs w:val="24"/>
          <w:highlight w:val="none"/>
          <w:lang w:val="en-US" w:eastAsia="zh-CN" w:bidi="ar-SA"/>
        </w:rPr>
      </w:pPr>
      <w:bookmarkStart w:id="88" w:name="_Toc16677"/>
      <w:r>
        <w:rPr>
          <w:rFonts w:hint="default" w:ascii="Times New Roman" w:hAnsi="Times New Roman" w:eastAsia="宋体" w:cs="Times New Roman"/>
          <w:b/>
          <w:bCs w:val="0"/>
          <w:color w:val="auto"/>
          <w:kern w:val="2"/>
          <w:sz w:val="24"/>
          <w:szCs w:val="24"/>
          <w:highlight w:val="none"/>
          <w:lang w:val="en-US" w:eastAsia="zh-CN" w:bidi="ar-SA"/>
        </w:rPr>
        <w:t>4.2生产系统危险性识别</w:t>
      </w:r>
      <w:bookmarkEnd w:id="88"/>
    </w:p>
    <w:p w14:paraId="50C099F0">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生产系统危险性识别范围包括：主要生产装置、储运设施、公用工程和辅助生产设施，以及环境保护设施等。</w:t>
      </w:r>
    </w:p>
    <w:p w14:paraId="543E41BF">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按工艺流程和平面布置功能区划，结合物质危险性识别，本项目危险单元划分情况见表4-</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。危险单元分布图见图4-1。</w:t>
      </w:r>
    </w:p>
    <w:p w14:paraId="4AA0210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表4-</w:t>
      </w:r>
      <w:r>
        <w:rPr>
          <w:rFonts w:hint="default" w:ascii="Times New Roman" w:hAnsi="Times New Roman" w:eastAsia="宋体" w:cs="Times New Roman"/>
          <w:b/>
          <w:color w:val="auto"/>
          <w:sz w:val="24"/>
          <w:szCs w:val="24"/>
          <w:highlight w:val="none"/>
          <w:lang w:val="en-US" w:eastAsia="zh-CN"/>
        </w:rPr>
        <w:t>1</w:t>
      </w:r>
      <w:r>
        <w:rPr>
          <w:rFonts w:hint="default" w:ascii="Times New Roman" w:hAnsi="Times New Roman" w:eastAsia="宋体" w:cs="Times New Roman"/>
          <w:b/>
          <w:color w:val="auto"/>
          <w:sz w:val="24"/>
          <w:szCs w:val="24"/>
          <w:highlight w:val="none"/>
        </w:rPr>
        <w:t xml:space="preserve"> 本项目危险单元划分情况表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3"/>
        <w:gridCol w:w="733"/>
        <w:gridCol w:w="1274"/>
        <w:gridCol w:w="2542"/>
        <w:gridCol w:w="1455"/>
        <w:gridCol w:w="1871"/>
      </w:tblGrid>
      <w:tr w14:paraId="14B506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382" w:type="pct"/>
            <w:vMerge w:val="restart"/>
            <w:vAlign w:val="center"/>
          </w:tcPr>
          <w:p w14:paraId="1B7DE495">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序号</w:t>
            </w:r>
          </w:p>
        </w:tc>
        <w:tc>
          <w:tcPr>
            <w:tcW w:w="429" w:type="pct"/>
            <w:vMerge w:val="restart"/>
            <w:vAlign w:val="center"/>
          </w:tcPr>
          <w:p w14:paraId="0891DABD">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危险单元</w:t>
            </w:r>
          </w:p>
        </w:tc>
        <w:tc>
          <w:tcPr>
            <w:tcW w:w="2237" w:type="pct"/>
            <w:gridSpan w:val="2"/>
            <w:vAlign w:val="center"/>
          </w:tcPr>
          <w:p w14:paraId="52C2157C">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相关生产系统</w:t>
            </w:r>
          </w:p>
        </w:tc>
        <w:tc>
          <w:tcPr>
            <w:tcW w:w="1950" w:type="pct"/>
            <w:gridSpan w:val="2"/>
            <w:vAlign w:val="center"/>
          </w:tcPr>
          <w:p w14:paraId="0FB49526">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危险物质最大存在量</w:t>
            </w:r>
          </w:p>
        </w:tc>
      </w:tr>
      <w:tr w14:paraId="5211EC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382" w:type="pct"/>
            <w:vMerge w:val="continue"/>
            <w:vAlign w:val="center"/>
          </w:tcPr>
          <w:p w14:paraId="6224590D">
            <w:pPr>
              <w:pageBreakBefore w:val="0"/>
              <w:kinsoku/>
              <w:bidi w:val="0"/>
              <w:adjustRightInd w:val="0"/>
              <w:snapToGrid w:val="0"/>
              <w:ind w:left="0" w:leftChars="0" w:right="0" w:rightChars="0" w:firstLine="420"/>
              <w:jc w:val="center"/>
              <w:rPr>
                <w:rFonts w:hint="default" w:ascii="Times New Roman" w:hAnsi="Times New Roman" w:eastAsia="宋体" w:cs="Times New Roman"/>
                <w:bCs/>
                <w:color w:val="auto"/>
                <w:sz w:val="21"/>
                <w:szCs w:val="21"/>
                <w:highlight w:val="none"/>
              </w:rPr>
            </w:pPr>
          </w:p>
        </w:tc>
        <w:tc>
          <w:tcPr>
            <w:tcW w:w="429" w:type="pct"/>
            <w:vMerge w:val="continue"/>
            <w:vAlign w:val="center"/>
          </w:tcPr>
          <w:p w14:paraId="6C577661">
            <w:pPr>
              <w:pageBreakBefore w:val="0"/>
              <w:kinsoku/>
              <w:bidi w:val="0"/>
              <w:adjustRightInd w:val="0"/>
              <w:snapToGrid w:val="0"/>
              <w:ind w:left="0" w:leftChars="0" w:right="0" w:rightChars="0" w:firstLine="420"/>
              <w:jc w:val="center"/>
              <w:rPr>
                <w:rFonts w:hint="default" w:ascii="Times New Roman" w:hAnsi="Times New Roman" w:eastAsia="宋体" w:cs="Times New Roman"/>
                <w:bCs/>
                <w:color w:val="auto"/>
                <w:sz w:val="21"/>
                <w:szCs w:val="21"/>
                <w:highlight w:val="none"/>
              </w:rPr>
            </w:pPr>
          </w:p>
        </w:tc>
        <w:tc>
          <w:tcPr>
            <w:tcW w:w="746" w:type="pct"/>
            <w:vAlign w:val="center"/>
          </w:tcPr>
          <w:p w14:paraId="3E43EEED">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构筑物名称</w:t>
            </w:r>
          </w:p>
        </w:tc>
        <w:tc>
          <w:tcPr>
            <w:tcW w:w="1490" w:type="pct"/>
            <w:vAlign w:val="center"/>
          </w:tcPr>
          <w:p w14:paraId="69AD3AB2">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涉及的设施</w:t>
            </w:r>
          </w:p>
        </w:tc>
        <w:tc>
          <w:tcPr>
            <w:tcW w:w="853" w:type="pct"/>
            <w:vAlign w:val="center"/>
          </w:tcPr>
          <w:p w14:paraId="39C55C95">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危险物质</w:t>
            </w:r>
          </w:p>
        </w:tc>
        <w:tc>
          <w:tcPr>
            <w:tcW w:w="1096" w:type="pct"/>
            <w:vAlign w:val="center"/>
          </w:tcPr>
          <w:p w14:paraId="0863DB9C">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最大存在量/t</w:t>
            </w:r>
          </w:p>
        </w:tc>
      </w:tr>
      <w:tr w14:paraId="2FB9D3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382" w:type="pct"/>
            <w:vAlign w:val="center"/>
          </w:tcPr>
          <w:p w14:paraId="3EDAF8CD">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w:t>
            </w:r>
          </w:p>
        </w:tc>
        <w:tc>
          <w:tcPr>
            <w:tcW w:w="429" w:type="pct"/>
            <w:vAlign w:val="center"/>
          </w:tcPr>
          <w:p w14:paraId="4312CDD1">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储运设施单元</w:t>
            </w:r>
          </w:p>
        </w:tc>
        <w:tc>
          <w:tcPr>
            <w:tcW w:w="746" w:type="pct"/>
            <w:vAlign w:val="center"/>
          </w:tcPr>
          <w:p w14:paraId="6E013319">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溶剂储罐区</w:t>
            </w:r>
          </w:p>
        </w:tc>
        <w:tc>
          <w:tcPr>
            <w:tcW w:w="1490" w:type="pct"/>
            <w:vAlign w:val="center"/>
          </w:tcPr>
          <w:p w14:paraId="13C539D0">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正己烷储罐</w:t>
            </w:r>
          </w:p>
        </w:tc>
        <w:tc>
          <w:tcPr>
            <w:tcW w:w="853" w:type="pct"/>
            <w:vAlign w:val="center"/>
          </w:tcPr>
          <w:p w14:paraId="5DFFB023">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正己烷</w:t>
            </w:r>
          </w:p>
        </w:tc>
        <w:tc>
          <w:tcPr>
            <w:tcW w:w="1096" w:type="pct"/>
            <w:vAlign w:val="center"/>
          </w:tcPr>
          <w:p w14:paraId="35C14EB6">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32</w:t>
            </w:r>
          </w:p>
        </w:tc>
      </w:tr>
      <w:tr w14:paraId="0B83FB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382" w:type="pct"/>
            <w:vAlign w:val="center"/>
          </w:tcPr>
          <w:p w14:paraId="15C94306">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w:t>
            </w:r>
          </w:p>
        </w:tc>
        <w:tc>
          <w:tcPr>
            <w:tcW w:w="429" w:type="pct"/>
            <w:vAlign w:val="center"/>
          </w:tcPr>
          <w:p w14:paraId="7229FE43">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生产设施单元</w:t>
            </w:r>
          </w:p>
        </w:tc>
        <w:tc>
          <w:tcPr>
            <w:tcW w:w="746" w:type="pct"/>
            <w:vAlign w:val="center"/>
          </w:tcPr>
          <w:p w14:paraId="20EE191D">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浸出车间</w:t>
            </w:r>
          </w:p>
        </w:tc>
        <w:tc>
          <w:tcPr>
            <w:tcW w:w="1490" w:type="pct"/>
            <w:vAlign w:val="center"/>
          </w:tcPr>
          <w:p w14:paraId="662EB7C9">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生产设备和管道</w:t>
            </w:r>
          </w:p>
        </w:tc>
        <w:tc>
          <w:tcPr>
            <w:tcW w:w="853" w:type="pct"/>
            <w:vAlign w:val="center"/>
          </w:tcPr>
          <w:p w14:paraId="7264B981">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正己烷</w:t>
            </w:r>
          </w:p>
        </w:tc>
        <w:tc>
          <w:tcPr>
            <w:tcW w:w="1096" w:type="pct"/>
            <w:vAlign w:val="center"/>
          </w:tcPr>
          <w:p w14:paraId="0A2195D2">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10</w:t>
            </w:r>
          </w:p>
        </w:tc>
      </w:tr>
      <w:tr w14:paraId="1F7BB7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382" w:type="pct"/>
            <w:vMerge w:val="restart"/>
            <w:vAlign w:val="center"/>
          </w:tcPr>
          <w:p w14:paraId="646FE3B5">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3</w:t>
            </w:r>
          </w:p>
        </w:tc>
        <w:tc>
          <w:tcPr>
            <w:tcW w:w="429" w:type="pct"/>
            <w:vMerge w:val="restart"/>
            <w:vAlign w:val="center"/>
          </w:tcPr>
          <w:p w14:paraId="032868FB">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生产设施单元</w:t>
            </w:r>
          </w:p>
        </w:tc>
        <w:tc>
          <w:tcPr>
            <w:tcW w:w="746" w:type="pct"/>
            <w:vMerge w:val="restart"/>
            <w:vAlign w:val="center"/>
          </w:tcPr>
          <w:p w14:paraId="7C23772B">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精炼车间</w:t>
            </w:r>
          </w:p>
        </w:tc>
        <w:tc>
          <w:tcPr>
            <w:tcW w:w="1490" w:type="pct"/>
            <w:vMerge w:val="restart"/>
            <w:vAlign w:val="center"/>
          </w:tcPr>
          <w:p w14:paraId="4BE1EE2F">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药品存储区域</w:t>
            </w:r>
          </w:p>
        </w:tc>
        <w:tc>
          <w:tcPr>
            <w:tcW w:w="853" w:type="pct"/>
            <w:vAlign w:val="center"/>
          </w:tcPr>
          <w:p w14:paraId="160612A4">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磷酸</w:t>
            </w:r>
          </w:p>
        </w:tc>
        <w:tc>
          <w:tcPr>
            <w:tcW w:w="1096" w:type="pct"/>
            <w:vAlign w:val="center"/>
          </w:tcPr>
          <w:p w14:paraId="6FE5DB0E">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1.2</w:t>
            </w:r>
          </w:p>
        </w:tc>
      </w:tr>
      <w:tr w14:paraId="36B61B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382" w:type="pct"/>
            <w:vMerge w:val="continue"/>
            <w:vAlign w:val="center"/>
          </w:tcPr>
          <w:p w14:paraId="6B849A27">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p>
        </w:tc>
        <w:tc>
          <w:tcPr>
            <w:tcW w:w="429" w:type="pct"/>
            <w:vMerge w:val="continue"/>
            <w:vAlign w:val="center"/>
          </w:tcPr>
          <w:p w14:paraId="10B24F98">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p>
        </w:tc>
        <w:tc>
          <w:tcPr>
            <w:tcW w:w="746" w:type="pct"/>
            <w:vMerge w:val="continue"/>
            <w:vAlign w:val="center"/>
          </w:tcPr>
          <w:p w14:paraId="3D4789C6">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p>
        </w:tc>
        <w:tc>
          <w:tcPr>
            <w:tcW w:w="1490" w:type="pct"/>
            <w:vMerge w:val="continue"/>
            <w:vAlign w:val="center"/>
          </w:tcPr>
          <w:p w14:paraId="77C8C9CA">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p>
        </w:tc>
        <w:tc>
          <w:tcPr>
            <w:tcW w:w="853" w:type="pct"/>
            <w:vAlign w:val="center"/>
          </w:tcPr>
          <w:p w14:paraId="08E81EEA">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氢氧化钠</w:t>
            </w:r>
          </w:p>
        </w:tc>
        <w:tc>
          <w:tcPr>
            <w:tcW w:w="1096" w:type="pct"/>
            <w:vAlign w:val="center"/>
          </w:tcPr>
          <w:p w14:paraId="635966D9">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0.9</w:t>
            </w:r>
          </w:p>
        </w:tc>
      </w:tr>
      <w:tr w14:paraId="494131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382" w:type="pct"/>
            <w:vAlign w:val="center"/>
          </w:tcPr>
          <w:p w14:paraId="4FA6B376">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4</w:t>
            </w:r>
          </w:p>
        </w:tc>
        <w:tc>
          <w:tcPr>
            <w:tcW w:w="429" w:type="pct"/>
            <w:vAlign w:val="center"/>
          </w:tcPr>
          <w:p w14:paraId="43A83B46">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储运设施单元</w:t>
            </w:r>
          </w:p>
        </w:tc>
        <w:tc>
          <w:tcPr>
            <w:tcW w:w="746" w:type="pct"/>
            <w:vAlign w:val="center"/>
          </w:tcPr>
          <w:p w14:paraId="437D9137">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危险废物贮存库</w:t>
            </w:r>
          </w:p>
        </w:tc>
        <w:tc>
          <w:tcPr>
            <w:tcW w:w="1490" w:type="pct"/>
            <w:vAlign w:val="center"/>
          </w:tcPr>
          <w:p w14:paraId="1A0DDF00">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危险废物贮存库</w:t>
            </w:r>
          </w:p>
        </w:tc>
        <w:tc>
          <w:tcPr>
            <w:tcW w:w="853" w:type="pct"/>
            <w:vAlign w:val="center"/>
          </w:tcPr>
          <w:p w14:paraId="173F05CD">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废机油</w:t>
            </w:r>
          </w:p>
        </w:tc>
        <w:tc>
          <w:tcPr>
            <w:tcW w:w="1096" w:type="pct"/>
            <w:vAlign w:val="center"/>
          </w:tcPr>
          <w:p w14:paraId="4B4F12C7">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0.1</w:t>
            </w:r>
          </w:p>
        </w:tc>
      </w:tr>
    </w:tbl>
    <w:p w14:paraId="4053452C">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5262880" cy="3553460"/>
            <wp:effectExtent l="0" t="0" r="13970" b="8890"/>
            <wp:docPr id="18" name="图片 18" descr="平面布置图原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平面布置图原件_02"/>
                    <pic:cNvPicPr>
                      <a:picLocks noChangeAspect="1"/>
                    </pic:cNvPicPr>
                  </pic:nvPicPr>
                  <pic:blipFill>
                    <a:blip r:embed="rId77"/>
                    <a:stretch>
                      <a:fillRect/>
                    </a:stretch>
                  </pic:blipFill>
                  <pic:spPr>
                    <a:xfrm>
                      <a:off x="0" y="0"/>
                      <a:ext cx="5262880" cy="3553460"/>
                    </a:xfrm>
                    <a:prstGeom prst="rect">
                      <a:avLst/>
                    </a:prstGeom>
                  </pic:spPr>
                </pic:pic>
              </a:graphicData>
            </a:graphic>
          </wp:inline>
        </w:drawing>
      </w:r>
    </w:p>
    <w:p w14:paraId="3F13026F">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图4-1危险单元分布图</w:t>
      </w:r>
    </w:p>
    <w:p w14:paraId="147E921E">
      <w:pPr>
        <w:pStyle w:val="87"/>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通过对本项目的生产设备和工艺分析，结合国内其他企业发生事故的情况，分析本项目主要的事故风险如下：</w:t>
      </w:r>
    </w:p>
    <w:p w14:paraId="2A2FE2E9">
      <w:pPr>
        <w:pStyle w:val="83"/>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4"/>
          <w:szCs w:val="28"/>
          <w:highlight w:val="none"/>
          <w:lang w:val="en-US" w:eastAsia="zh-CN"/>
        </w:rPr>
      </w:pPr>
      <w:r>
        <w:rPr>
          <w:rFonts w:hint="default" w:ascii="Times New Roman" w:hAnsi="Times New Roman" w:eastAsia="宋体" w:cs="Times New Roman"/>
          <w:color w:val="auto"/>
          <w:sz w:val="24"/>
          <w:szCs w:val="28"/>
          <w:highlight w:val="none"/>
          <w:lang w:val="en-US" w:eastAsia="zh-CN"/>
        </w:rPr>
        <w:t>表4-2 生产装置及环保设施风险识别</w:t>
      </w:r>
    </w:p>
    <w:tbl>
      <w:tblPr>
        <w:tblStyle w:val="29"/>
        <w:tblW w:w="893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8"/>
        <w:gridCol w:w="8161"/>
      </w:tblGrid>
      <w:tr w14:paraId="17B224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8" w:type="dxa"/>
            <w:tcBorders>
              <w:tl2br w:val="nil"/>
              <w:tr2bl w:val="nil"/>
            </w:tcBorders>
            <w:noWrap w:val="0"/>
            <w:vAlign w:val="center"/>
          </w:tcPr>
          <w:p w14:paraId="2D3D4F9E">
            <w:pPr>
              <w:pStyle w:val="86"/>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生产装置</w:t>
            </w:r>
          </w:p>
        </w:tc>
        <w:tc>
          <w:tcPr>
            <w:tcW w:w="8161" w:type="dxa"/>
            <w:tcBorders>
              <w:tl2br w:val="nil"/>
              <w:tr2bl w:val="nil"/>
            </w:tcBorders>
            <w:noWrap w:val="0"/>
            <w:vAlign w:val="center"/>
          </w:tcPr>
          <w:p w14:paraId="5033A1A8">
            <w:pPr>
              <w:pStyle w:val="86"/>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危险性分析</w:t>
            </w:r>
          </w:p>
        </w:tc>
      </w:tr>
      <w:tr w14:paraId="7A201C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778" w:type="dxa"/>
            <w:tcBorders>
              <w:tl2br w:val="nil"/>
              <w:tr2bl w:val="nil"/>
            </w:tcBorders>
            <w:noWrap w:val="0"/>
            <w:vAlign w:val="center"/>
          </w:tcPr>
          <w:p w14:paraId="513103DC">
            <w:pPr>
              <w:pStyle w:val="86"/>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泵类设备</w:t>
            </w:r>
          </w:p>
        </w:tc>
        <w:tc>
          <w:tcPr>
            <w:tcW w:w="8161" w:type="dxa"/>
            <w:tcBorders>
              <w:tl2br w:val="nil"/>
              <w:tr2bl w:val="nil"/>
            </w:tcBorders>
            <w:noWrap w:val="0"/>
            <w:vAlign w:val="center"/>
          </w:tcPr>
          <w:p w14:paraId="0DADBC96">
            <w:pPr>
              <w:pStyle w:val="86"/>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泵选型不当或使用介质不当，或泵的密封不良会导致物料泄漏，会造成火灾、灼烫、中毒等事故的发生。</w:t>
            </w:r>
          </w:p>
        </w:tc>
      </w:tr>
      <w:tr w14:paraId="0CFCD8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78" w:type="dxa"/>
            <w:tcBorders>
              <w:tl2br w:val="nil"/>
              <w:tr2bl w:val="nil"/>
            </w:tcBorders>
            <w:noWrap w:val="0"/>
            <w:vAlign w:val="center"/>
          </w:tcPr>
          <w:p w14:paraId="40D77920">
            <w:pPr>
              <w:pStyle w:val="86"/>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压力管道</w:t>
            </w:r>
          </w:p>
        </w:tc>
        <w:tc>
          <w:tcPr>
            <w:tcW w:w="8161" w:type="dxa"/>
            <w:tcBorders>
              <w:tl2br w:val="nil"/>
              <w:tr2bl w:val="nil"/>
            </w:tcBorders>
            <w:noWrap w:val="0"/>
            <w:vAlign w:val="center"/>
          </w:tcPr>
          <w:p w14:paraId="4F87CDBD">
            <w:pPr>
              <w:pStyle w:val="86"/>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（1）若压力管道选材不当、焊接质量差超温超压运行，可导致管道破裂、高温介质、易燃物料、有毒物料的泄漏导致灼烫、火灾、爆炸等事故的发生。</w:t>
            </w:r>
          </w:p>
          <w:p w14:paraId="6CDA6200">
            <w:pPr>
              <w:pStyle w:val="86"/>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（2）若压力管道的膨胀节、阀门、法兰安装不当、支架不牢靠，受力不均可导致管道破裂而引起事故的发生。</w:t>
            </w:r>
          </w:p>
          <w:p w14:paraId="27A627AD">
            <w:pPr>
              <w:pStyle w:val="86"/>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（3）若压力管道上未安装有效安全阀、温度计、压力表，减压阀等安全附件或安全附件失效会导致管道超温超压运行进而导致事故的发生。</w:t>
            </w:r>
          </w:p>
        </w:tc>
      </w:tr>
      <w:tr w14:paraId="2705B7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778" w:type="dxa"/>
            <w:tcBorders>
              <w:tl2br w:val="nil"/>
              <w:tr2bl w:val="nil"/>
            </w:tcBorders>
            <w:noWrap w:val="0"/>
            <w:vAlign w:val="center"/>
          </w:tcPr>
          <w:p w14:paraId="074CE878">
            <w:pPr>
              <w:pStyle w:val="86"/>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电气设备</w:t>
            </w:r>
          </w:p>
        </w:tc>
        <w:tc>
          <w:tcPr>
            <w:tcW w:w="8161" w:type="dxa"/>
            <w:tcBorders>
              <w:tl2br w:val="nil"/>
              <w:tr2bl w:val="nil"/>
            </w:tcBorders>
            <w:noWrap w:val="0"/>
            <w:vAlign w:val="center"/>
          </w:tcPr>
          <w:p w14:paraId="7C9B38B1">
            <w:pPr>
              <w:pStyle w:val="86"/>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1）生产装置中的电气设备，若触电保护、漏电保护、绝缘、电气隔离、屏保失效会引起触电事故的发生；短路保护、过载保护失效会引起电气火灾事故的发生。变压器部分主要危险是：发生短路时电流可能超过正常时的数十倍，致使电线、电器温度急剧上升，远远超过允许值，而且常伴有短路电弧发生，易造成火灾。线路、变压器超载运行将导致其绝缘材料过热和变压器油起火。</w:t>
            </w:r>
          </w:p>
          <w:p w14:paraId="2FD30A8D">
            <w:pPr>
              <w:pStyle w:val="86"/>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（2）爆炸和火灾危险环境的电气设施未采取防爆措施或不能做到整体防爆，可燃气体与空气形成爆炸性混合物接触电气火花极易发生火灾、爆炸事故。</w:t>
            </w:r>
          </w:p>
          <w:p w14:paraId="26C712A6">
            <w:pPr>
              <w:pStyle w:val="86"/>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（3）本项目生产过程的易燃物料输送管道、泄爆管等若未采取防静电措施或防静电措施不可靠，可能因静电积聚导致火灾、爆炸事故的发生。</w:t>
            </w:r>
          </w:p>
          <w:p w14:paraId="7823412D">
            <w:pPr>
              <w:pStyle w:val="86"/>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（4）本项目若不采取防雷击措施可因雷击导致火灾爆炸事故的发生。</w:t>
            </w:r>
          </w:p>
        </w:tc>
      </w:tr>
      <w:tr w14:paraId="3A35A5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778" w:type="dxa"/>
            <w:tcBorders>
              <w:tl2br w:val="nil"/>
              <w:tr2bl w:val="nil"/>
            </w:tcBorders>
            <w:noWrap w:val="0"/>
            <w:vAlign w:val="center"/>
          </w:tcPr>
          <w:p w14:paraId="3ABB0EF3">
            <w:pPr>
              <w:pStyle w:val="86"/>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工艺管道</w:t>
            </w:r>
          </w:p>
        </w:tc>
        <w:tc>
          <w:tcPr>
            <w:tcW w:w="8161" w:type="dxa"/>
            <w:tcBorders>
              <w:tl2br w:val="nil"/>
              <w:tr2bl w:val="nil"/>
            </w:tcBorders>
            <w:noWrap w:val="0"/>
            <w:vAlign w:val="center"/>
          </w:tcPr>
          <w:p w14:paraId="73AE4BA2">
            <w:pPr>
              <w:pStyle w:val="86"/>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（1）生产装置的管道及其相应的连接件法兰、阀门、垫片等会因泄漏导致火灾、爆炸、中毒、灼烫、腐蚀等事故的发生。</w:t>
            </w:r>
          </w:p>
          <w:p w14:paraId="534D5EDB">
            <w:pPr>
              <w:pStyle w:val="86"/>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（2）输送易燃物料的管道未采取防静电措施，会因静电导致火灾、爆炸事故的发生。</w:t>
            </w:r>
          </w:p>
        </w:tc>
      </w:tr>
      <w:tr w14:paraId="6E46C6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20" w:hRule="atLeast"/>
          <w:jc w:val="center"/>
        </w:trPr>
        <w:tc>
          <w:tcPr>
            <w:tcW w:w="778" w:type="dxa"/>
            <w:tcBorders>
              <w:tl2br w:val="nil"/>
              <w:tr2bl w:val="nil"/>
            </w:tcBorders>
            <w:noWrap w:val="0"/>
            <w:vAlign w:val="center"/>
          </w:tcPr>
          <w:p w14:paraId="12D050FA">
            <w:pPr>
              <w:pStyle w:val="86"/>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自动控制</w:t>
            </w:r>
          </w:p>
        </w:tc>
        <w:tc>
          <w:tcPr>
            <w:tcW w:w="8161" w:type="dxa"/>
            <w:tcBorders>
              <w:tl2br w:val="nil"/>
              <w:tr2bl w:val="nil"/>
            </w:tcBorders>
            <w:noWrap w:val="0"/>
            <w:vAlign w:val="center"/>
          </w:tcPr>
          <w:p w14:paraId="28806D80">
            <w:pPr>
              <w:pStyle w:val="86"/>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1）自动控制系统的传感器、执行元件选型不当或不符合环境要求，如腐蚀、潮湿、高温、粉尘等，可能影响传感器、执行元件等的敏感度及精确度，在控制工艺参数的过程中就会出现偏差。自动控制系统设备安装不按照说明书有序进行，可能造成部件安装错误，使自动控制系统无法运行，严重影响生产过程安全。自动控制参数设置如果不根据实际工艺过程、不跟有经验的工程师研究沟通，那么设定的参数可能不能真实反映工艺过程控制点情况，轻则产品质量不合格，重则发生火灾、爆炸事故，甚至人员伤亡。自控系统若不设置安全联锁或设置的温度、压力等安全联锁无效，当发生超温、超压或可燃、有毒气体泄漏时，自动控制系统虽能检测但无法在第一时间通过报警方式通知现场作业人员，时间延误可能造成火灾、爆炸事故甚至人员伤亡事故。</w:t>
            </w:r>
          </w:p>
          <w:p w14:paraId="65AF4342">
            <w:pPr>
              <w:pStyle w:val="86"/>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2）自动控制系统操作人员有章不循、责任心不强、安全意识淡薄、业务素质不高，容易引起误操作，产生火灾、爆炸、中毒等事故。操作人员若不熟悉工艺，对工艺涉及的物料特性不了解，则对突发状况无法应对，对工艺参数的调节不能使工艺状况恢复正常，若工艺参数调节有误，甚至引起火灾、爆炸等重大事故。若自动控制系统操作人员不熟知异常状态下应急响应程序、未积极参与应急救援演练、不及时总结演练中出现的问题等情况，在车间出现异常情况时便不知如何处理现场，不会使用报警体系及灭火设施，进而发生火灾、爆炸等事故，甚至出现人员伤亡。</w:t>
            </w:r>
          </w:p>
          <w:p w14:paraId="2D1DF2F8">
            <w:pPr>
              <w:pStyle w:val="86"/>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3）电源不稳定，或突然中断，引起系统故障。统更换配件，因配件厂家的不同，其工作原理有可能不一致，更换后如不重新检测，有可能使检测数据飘移，可造成系统失误。供电线缆处于振动、高温，低温环境中，传感数据可能会发生波动。因紧急停车或突然信号中断，可能会发生死机，而引发事故。系统编程人员或工艺技术人员，对接误差，使系统运行程序不能完全符合工艺要求。</w:t>
            </w:r>
          </w:p>
          <w:p w14:paraId="0699DA35">
            <w:pPr>
              <w:pStyle w:val="86"/>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4）系统对控制点所采数据，设定值范围不当或偏差大，而使控制失误。系统某个传感器或显示仪表故障，数据不准确，由人工经验配合维护，系统继续运行，这种现象必须尽快处理，否则操作人员极易发生错误判断，而引发事故。</w:t>
            </w:r>
          </w:p>
          <w:p w14:paraId="54524343">
            <w:pPr>
              <w:pStyle w:val="86"/>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（5）控制系统用气短缺导致自动控制失败；控制系统用气未净化使仪器仪表积垢，造成系统数据漂移，发生危险</w:t>
            </w:r>
          </w:p>
        </w:tc>
      </w:tr>
    </w:tbl>
    <w:p w14:paraId="6079039D">
      <w:pPr>
        <w:pStyle w:val="83"/>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4"/>
          <w:szCs w:val="28"/>
          <w:highlight w:val="none"/>
          <w:lang w:val="en-US" w:eastAsia="zh-CN"/>
        </w:rPr>
      </w:pPr>
      <w:r>
        <w:rPr>
          <w:rFonts w:hint="default" w:ascii="Times New Roman" w:hAnsi="Times New Roman" w:eastAsia="宋体" w:cs="Times New Roman"/>
          <w:color w:val="auto"/>
          <w:sz w:val="24"/>
          <w:szCs w:val="28"/>
          <w:highlight w:val="none"/>
          <w:lang w:val="en-US" w:eastAsia="zh-CN"/>
        </w:rPr>
        <w:t>表4-3 储运系统风险识别</w:t>
      </w:r>
    </w:p>
    <w:tbl>
      <w:tblPr>
        <w:tblStyle w:val="29"/>
        <w:tblW w:w="889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8"/>
        <w:gridCol w:w="653"/>
        <w:gridCol w:w="1462"/>
        <w:gridCol w:w="6346"/>
      </w:tblGrid>
      <w:tr w14:paraId="53A423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53" w:type="dxa"/>
            <w:gridSpan w:val="3"/>
            <w:tcBorders>
              <w:tl2br w:val="nil"/>
              <w:tr2bl w:val="nil"/>
            </w:tcBorders>
            <w:noWrap w:val="0"/>
            <w:vAlign w:val="center"/>
          </w:tcPr>
          <w:p w14:paraId="1FCF6ACF">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类别</w:t>
            </w:r>
          </w:p>
        </w:tc>
        <w:tc>
          <w:tcPr>
            <w:tcW w:w="6346" w:type="dxa"/>
            <w:tcBorders>
              <w:tl2br w:val="nil"/>
              <w:tr2bl w:val="nil"/>
            </w:tcBorders>
            <w:noWrap w:val="0"/>
            <w:vAlign w:val="center"/>
          </w:tcPr>
          <w:p w14:paraId="0BB9FF4A">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危险性分析</w:t>
            </w:r>
          </w:p>
        </w:tc>
      </w:tr>
      <w:tr w14:paraId="3C7DD2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8" w:type="dxa"/>
            <w:vMerge w:val="restart"/>
            <w:tcBorders>
              <w:tl2br w:val="nil"/>
              <w:tr2bl w:val="nil"/>
            </w:tcBorders>
            <w:noWrap w:val="0"/>
            <w:vAlign w:val="center"/>
          </w:tcPr>
          <w:p w14:paraId="7B604913">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rPr>
              <w:t>储运系统</w:t>
            </w:r>
          </w:p>
        </w:tc>
        <w:tc>
          <w:tcPr>
            <w:tcW w:w="653" w:type="dxa"/>
            <w:tcBorders>
              <w:tl2br w:val="nil"/>
              <w:tr2bl w:val="nil"/>
            </w:tcBorders>
            <w:noWrap w:val="0"/>
            <w:vAlign w:val="center"/>
          </w:tcPr>
          <w:p w14:paraId="4DC18E4A">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正己烷</w:t>
            </w:r>
            <w:r>
              <w:rPr>
                <w:rFonts w:hint="default" w:ascii="Times New Roman" w:hAnsi="Times New Roman" w:eastAsia="宋体" w:cs="Times New Roman"/>
                <w:color w:val="auto"/>
                <w:highlight w:val="none"/>
                <w:lang w:val="zh-CN"/>
              </w:rPr>
              <w:t>储罐</w:t>
            </w:r>
            <w:r>
              <w:rPr>
                <w:rFonts w:hint="default" w:ascii="Times New Roman" w:hAnsi="Times New Roman" w:eastAsia="宋体" w:cs="Times New Roman"/>
                <w:color w:val="auto"/>
                <w:highlight w:val="none"/>
                <w:lang w:val="en-US" w:eastAsia="zh-CN"/>
              </w:rPr>
              <w:t>区</w:t>
            </w:r>
          </w:p>
        </w:tc>
        <w:tc>
          <w:tcPr>
            <w:tcW w:w="1462" w:type="dxa"/>
            <w:tcBorders>
              <w:tl2br w:val="nil"/>
              <w:tr2bl w:val="nil"/>
            </w:tcBorders>
            <w:noWrap w:val="0"/>
            <w:vAlign w:val="center"/>
          </w:tcPr>
          <w:p w14:paraId="7364966B">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正己烷</w:t>
            </w:r>
            <w:r>
              <w:rPr>
                <w:rFonts w:hint="default" w:ascii="Times New Roman" w:hAnsi="Times New Roman" w:eastAsia="宋体" w:cs="Times New Roman"/>
                <w:color w:val="auto"/>
                <w:highlight w:val="none"/>
              </w:rPr>
              <w:t>储罐</w:t>
            </w:r>
          </w:p>
        </w:tc>
        <w:tc>
          <w:tcPr>
            <w:tcW w:w="6346" w:type="dxa"/>
            <w:tcBorders>
              <w:tl2br w:val="nil"/>
              <w:tr2bl w:val="nil"/>
            </w:tcBorders>
            <w:noWrap w:val="0"/>
            <w:vAlign w:val="top"/>
          </w:tcPr>
          <w:p w14:paraId="6593E72D">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val="zh-CN"/>
              </w:rPr>
              <w:t>）由于储罐的焊缝经风、雨的长期侵蚀、锈蚀、腐蚀等原因造成罐体焊缝泄漏，产生大量有毒气体对作业人员和环境带来危害。</w:t>
            </w:r>
          </w:p>
          <w:p w14:paraId="00856BA2">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val="zh-CN"/>
              </w:rPr>
              <w:t>）输送易燃液体管道连接法兰、阀门等由于焊接缺陷或安装质量不符合规范要求，而造成泄漏。</w:t>
            </w:r>
          </w:p>
          <w:p w14:paraId="726A281F">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val="zh-CN"/>
              </w:rPr>
              <w:t>）由于灌装时接头脱落，管道连接处及垫片破损而造成物料泄漏。</w:t>
            </w:r>
          </w:p>
          <w:p w14:paraId="3A0993A2">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val="zh-CN"/>
              </w:rPr>
              <w:t>）由于输送泵轴封磨损而造成易燃物体泄漏。</w:t>
            </w:r>
          </w:p>
          <w:p w14:paraId="4442B537">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lang w:val="zh-CN"/>
              </w:rPr>
              <w:t>）罐区管理不善，未经常检查、巡查，未及时发现隐患有引发事故的危险。</w:t>
            </w:r>
          </w:p>
          <w:p w14:paraId="4A5BFD29">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lang w:val="zh-CN"/>
              </w:rPr>
              <w:t>）暴雨等自然危害不仅对储罐区的设备、设施会造成破坏，还会引起二次事故。</w:t>
            </w:r>
          </w:p>
        </w:tc>
      </w:tr>
      <w:tr w14:paraId="7A198B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8" w:type="dxa"/>
            <w:vMerge w:val="continue"/>
            <w:tcBorders>
              <w:tl2br w:val="nil"/>
              <w:tr2bl w:val="nil"/>
            </w:tcBorders>
            <w:noWrap w:val="0"/>
            <w:vAlign w:val="center"/>
          </w:tcPr>
          <w:p w14:paraId="3C522232">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p>
        </w:tc>
        <w:tc>
          <w:tcPr>
            <w:tcW w:w="653" w:type="dxa"/>
            <w:tcBorders>
              <w:tl2br w:val="nil"/>
              <w:tr2bl w:val="nil"/>
            </w:tcBorders>
            <w:noWrap w:val="0"/>
            <w:vAlign w:val="center"/>
          </w:tcPr>
          <w:p w14:paraId="718FEE30">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物料</w:t>
            </w:r>
          </w:p>
          <w:p w14:paraId="58D1870C">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输送</w:t>
            </w:r>
          </w:p>
          <w:p w14:paraId="01D5B132">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8"/>
                <w:highlight w:val="none"/>
                <w:lang w:val="zh-CN" w:eastAsia="zh-CN" w:bidi="ar-SA"/>
              </w:rPr>
            </w:pPr>
            <w:r>
              <w:rPr>
                <w:rFonts w:hint="default" w:ascii="Times New Roman" w:hAnsi="Times New Roman" w:eastAsia="宋体" w:cs="Times New Roman"/>
                <w:color w:val="auto"/>
                <w:highlight w:val="none"/>
                <w:lang w:val="zh-CN"/>
              </w:rPr>
              <w:t>设施</w:t>
            </w:r>
          </w:p>
        </w:tc>
        <w:tc>
          <w:tcPr>
            <w:tcW w:w="1462" w:type="dxa"/>
            <w:tcBorders>
              <w:tl2br w:val="nil"/>
              <w:tr2bl w:val="nil"/>
            </w:tcBorders>
            <w:noWrap w:val="0"/>
            <w:vAlign w:val="center"/>
          </w:tcPr>
          <w:p w14:paraId="42014622">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8"/>
                <w:highlight w:val="none"/>
                <w:lang w:val="zh-CN" w:eastAsia="zh-CN" w:bidi="ar-SA"/>
              </w:rPr>
            </w:pPr>
            <w:r>
              <w:rPr>
                <w:rFonts w:hint="default" w:ascii="Times New Roman" w:hAnsi="Times New Roman" w:eastAsia="宋体" w:cs="Times New Roman"/>
                <w:color w:val="auto"/>
                <w:highlight w:val="none"/>
                <w:lang w:val="zh-CN"/>
              </w:rPr>
              <w:t>本项目中的危险化学品在管道输送过程中有泄漏甚至发生火灾、爆炸事故的危险性</w:t>
            </w:r>
          </w:p>
        </w:tc>
        <w:tc>
          <w:tcPr>
            <w:tcW w:w="6346" w:type="dxa"/>
            <w:tcBorders>
              <w:tl2br w:val="nil"/>
              <w:tr2bl w:val="nil"/>
            </w:tcBorders>
            <w:noWrap w:val="0"/>
            <w:vAlign w:val="center"/>
          </w:tcPr>
          <w:p w14:paraId="4B8D7D4D">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（1）泵或管道系统由于超压运转、泵体、轴封不好、旁通阀、安全阀、润滑系统缺陷、操作失误，会造成危险化学品泄漏。</w:t>
            </w:r>
          </w:p>
          <w:p w14:paraId="1023A079">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（2）管道破裂、法兰、阀门密封不好、焊接缺陷，会造成危险化学品的泄漏。</w:t>
            </w:r>
          </w:p>
          <w:p w14:paraId="2BDCA614">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（3）管道、管件、阀门和紧固件严重腐蚀、变形、移位和破裂均可发生危险化学品的泄漏。</w:t>
            </w:r>
          </w:p>
          <w:p w14:paraId="6A598FE3">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8"/>
                <w:highlight w:val="none"/>
                <w:lang w:val="zh-CN" w:eastAsia="zh-CN" w:bidi="ar-SA"/>
              </w:rPr>
            </w:pPr>
            <w:r>
              <w:rPr>
                <w:rFonts w:hint="default" w:ascii="Times New Roman" w:hAnsi="Times New Roman" w:eastAsia="宋体" w:cs="Times New Roman"/>
                <w:color w:val="auto"/>
                <w:highlight w:val="none"/>
                <w:lang w:val="zh-CN"/>
              </w:rPr>
              <w:t>（4）物体打击、重物碰撞、车辆撞击也可能导致管道、阀门、法兰损坏造成泄漏被引燃。</w:t>
            </w:r>
          </w:p>
        </w:tc>
      </w:tr>
    </w:tbl>
    <w:p w14:paraId="6199D6E9">
      <w:pPr>
        <w:pStyle w:val="83"/>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4"/>
          <w:szCs w:val="28"/>
          <w:highlight w:val="none"/>
          <w:lang w:val="en-US" w:eastAsia="zh-CN"/>
        </w:rPr>
      </w:pPr>
      <w:r>
        <w:rPr>
          <w:rFonts w:hint="default" w:ascii="Times New Roman" w:hAnsi="Times New Roman" w:eastAsia="宋体" w:cs="Times New Roman"/>
          <w:color w:val="auto"/>
          <w:sz w:val="24"/>
          <w:szCs w:val="28"/>
          <w:highlight w:val="none"/>
          <w:lang w:val="en-US" w:eastAsia="zh-CN"/>
        </w:rPr>
        <w:t>表4-4 建设项目环境风险识别表</w:t>
      </w:r>
    </w:p>
    <w:tbl>
      <w:tblPr>
        <w:tblStyle w:val="29"/>
        <w:tblW w:w="88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6"/>
        <w:gridCol w:w="1013"/>
        <w:gridCol w:w="1112"/>
        <w:gridCol w:w="1204"/>
        <w:gridCol w:w="1560"/>
        <w:gridCol w:w="979"/>
        <w:gridCol w:w="2423"/>
      </w:tblGrid>
      <w:tr w14:paraId="4C748F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4" w:hRule="atLeast"/>
          <w:jc w:val="center"/>
        </w:trPr>
        <w:tc>
          <w:tcPr>
            <w:tcW w:w="586" w:type="dxa"/>
            <w:noWrap w:val="0"/>
            <w:vAlign w:val="center"/>
          </w:tcPr>
          <w:p w14:paraId="15BCD15A">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1013" w:type="dxa"/>
            <w:noWrap w:val="0"/>
            <w:vAlign w:val="center"/>
          </w:tcPr>
          <w:p w14:paraId="5064A64C">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危险单元</w:t>
            </w:r>
          </w:p>
        </w:tc>
        <w:tc>
          <w:tcPr>
            <w:tcW w:w="1112" w:type="dxa"/>
            <w:noWrap w:val="0"/>
            <w:vAlign w:val="center"/>
          </w:tcPr>
          <w:p w14:paraId="374FF658">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风险源</w:t>
            </w:r>
          </w:p>
        </w:tc>
        <w:tc>
          <w:tcPr>
            <w:tcW w:w="1204" w:type="dxa"/>
            <w:noWrap w:val="0"/>
            <w:vAlign w:val="center"/>
          </w:tcPr>
          <w:p w14:paraId="1B1C3A11">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存在危险物质</w:t>
            </w:r>
          </w:p>
        </w:tc>
        <w:tc>
          <w:tcPr>
            <w:tcW w:w="1560" w:type="dxa"/>
            <w:noWrap w:val="0"/>
            <w:vAlign w:val="center"/>
          </w:tcPr>
          <w:p w14:paraId="1C367DA3">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环境风险类型</w:t>
            </w:r>
          </w:p>
        </w:tc>
        <w:tc>
          <w:tcPr>
            <w:tcW w:w="979" w:type="dxa"/>
            <w:noWrap w:val="0"/>
            <w:vAlign w:val="center"/>
          </w:tcPr>
          <w:p w14:paraId="0C681A52">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环境影响途径</w:t>
            </w:r>
          </w:p>
        </w:tc>
        <w:tc>
          <w:tcPr>
            <w:tcW w:w="2423" w:type="dxa"/>
            <w:noWrap w:val="0"/>
            <w:vAlign w:val="center"/>
          </w:tcPr>
          <w:p w14:paraId="14E4237A">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可能受影响的环境敏感目标</w:t>
            </w:r>
          </w:p>
        </w:tc>
      </w:tr>
      <w:tr w14:paraId="5F6C27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8" w:hRule="atLeast"/>
          <w:jc w:val="center"/>
        </w:trPr>
        <w:tc>
          <w:tcPr>
            <w:tcW w:w="586" w:type="dxa"/>
            <w:noWrap w:val="0"/>
            <w:vAlign w:val="center"/>
          </w:tcPr>
          <w:p w14:paraId="48812880">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013" w:type="dxa"/>
            <w:noWrap w:val="0"/>
            <w:vAlign w:val="center"/>
          </w:tcPr>
          <w:p w14:paraId="6A5622C8">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罐区</w:t>
            </w:r>
          </w:p>
        </w:tc>
        <w:tc>
          <w:tcPr>
            <w:tcW w:w="1112" w:type="dxa"/>
            <w:noWrap w:val="0"/>
            <w:vAlign w:val="center"/>
          </w:tcPr>
          <w:p w14:paraId="6323B209">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储罐</w:t>
            </w:r>
          </w:p>
        </w:tc>
        <w:tc>
          <w:tcPr>
            <w:tcW w:w="1204" w:type="dxa"/>
            <w:noWrap w:val="0"/>
            <w:vAlign w:val="center"/>
          </w:tcPr>
          <w:p w14:paraId="0F1075D4">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正己烷</w:t>
            </w:r>
          </w:p>
        </w:tc>
        <w:tc>
          <w:tcPr>
            <w:tcW w:w="1560" w:type="dxa"/>
            <w:noWrap w:val="0"/>
            <w:vAlign w:val="center"/>
          </w:tcPr>
          <w:p w14:paraId="08BC77F0">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泄漏</w:t>
            </w:r>
          </w:p>
        </w:tc>
        <w:tc>
          <w:tcPr>
            <w:tcW w:w="979" w:type="dxa"/>
            <w:noWrap w:val="0"/>
            <w:vAlign w:val="center"/>
          </w:tcPr>
          <w:p w14:paraId="4660D48B">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大气</w:t>
            </w:r>
          </w:p>
        </w:tc>
        <w:tc>
          <w:tcPr>
            <w:tcW w:w="2423" w:type="dxa"/>
            <w:noWrap w:val="0"/>
            <w:vAlign w:val="center"/>
          </w:tcPr>
          <w:p w14:paraId="3E9240BD">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周围企业办公生活区</w:t>
            </w:r>
          </w:p>
        </w:tc>
      </w:tr>
      <w:tr w14:paraId="0F617C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327" w:hRule="atLeast"/>
          <w:jc w:val="center"/>
        </w:trPr>
        <w:tc>
          <w:tcPr>
            <w:tcW w:w="586" w:type="dxa"/>
            <w:noWrap w:val="0"/>
            <w:vAlign w:val="center"/>
          </w:tcPr>
          <w:p w14:paraId="720658E1">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2</w:t>
            </w:r>
          </w:p>
        </w:tc>
        <w:tc>
          <w:tcPr>
            <w:tcW w:w="1013" w:type="dxa"/>
            <w:noWrap w:val="0"/>
            <w:vAlign w:val="center"/>
          </w:tcPr>
          <w:p w14:paraId="0EDEA4EE">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装置区</w:t>
            </w:r>
          </w:p>
        </w:tc>
        <w:tc>
          <w:tcPr>
            <w:tcW w:w="1112" w:type="dxa"/>
            <w:noWrap w:val="0"/>
            <w:vAlign w:val="center"/>
          </w:tcPr>
          <w:p w14:paraId="759EB5CA">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输送管道、反应装置、计量槽和中间贮槽等</w:t>
            </w:r>
          </w:p>
        </w:tc>
        <w:tc>
          <w:tcPr>
            <w:tcW w:w="1204" w:type="dxa"/>
            <w:noWrap w:val="0"/>
            <w:vAlign w:val="center"/>
          </w:tcPr>
          <w:p w14:paraId="55A27B1A">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正己烷</w:t>
            </w:r>
          </w:p>
        </w:tc>
        <w:tc>
          <w:tcPr>
            <w:tcW w:w="1560" w:type="dxa"/>
            <w:noWrap w:val="0"/>
            <w:vAlign w:val="center"/>
          </w:tcPr>
          <w:p w14:paraId="4C560668">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泄漏</w:t>
            </w:r>
          </w:p>
        </w:tc>
        <w:tc>
          <w:tcPr>
            <w:tcW w:w="979" w:type="dxa"/>
            <w:noWrap w:val="0"/>
            <w:vAlign w:val="center"/>
          </w:tcPr>
          <w:p w14:paraId="7149E562">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大气</w:t>
            </w:r>
          </w:p>
        </w:tc>
        <w:tc>
          <w:tcPr>
            <w:tcW w:w="2423" w:type="dxa"/>
            <w:noWrap w:val="0"/>
            <w:vAlign w:val="center"/>
          </w:tcPr>
          <w:p w14:paraId="56853B4F">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周围企业办公生活区</w:t>
            </w:r>
          </w:p>
        </w:tc>
      </w:tr>
    </w:tbl>
    <w:p w14:paraId="7E9FEA7B">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综上，本项目重点风险源为储运设施单元</w:t>
      </w:r>
      <w:r>
        <w:rPr>
          <w:rFonts w:hint="default" w:ascii="Times New Roman" w:hAnsi="Times New Roman"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储罐</w:t>
      </w:r>
      <w:r>
        <w:rPr>
          <w:rFonts w:hint="eastAsia" w:cs="Times New Roman"/>
          <w:color w:val="auto"/>
          <w:sz w:val="24"/>
          <w:szCs w:val="24"/>
          <w:highlight w:val="none"/>
          <w:lang w:eastAsia="zh-CN"/>
        </w:rPr>
        <w:t>泄漏</w:t>
      </w:r>
      <w:r>
        <w:rPr>
          <w:rFonts w:hint="default" w:ascii="Times New Roman" w:hAnsi="Times New Roman" w:eastAsia="宋体" w:cs="Times New Roman"/>
          <w:color w:val="auto"/>
          <w:sz w:val="24"/>
          <w:szCs w:val="24"/>
          <w:highlight w:val="none"/>
        </w:rPr>
        <w:t>，以及火灾、爆炸等引发的伴生/次生污染物排放。</w:t>
      </w:r>
    </w:p>
    <w:p w14:paraId="413B5FFF">
      <w:pPr>
        <w:pStyle w:val="3"/>
        <w:keepNext/>
        <w:keepLines/>
        <w:pageBreakBefore w:val="0"/>
        <w:widowControl w:val="0"/>
        <w:numPr>
          <w:ilvl w:val="1"/>
          <w:numId w:val="0"/>
        </w:numPr>
        <w:kinsoku/>
        <w:wordWrap/>
        <w:overflowPunct/>
        <w:topLinePunct w:val="0"/>
        <w:autoSpaceDE/>
        <w:autoSpaceDN/>
        <w:bidi w:val="0"/>
        <w:adjustRightInd w:val="0"/>
        <w:snapToGrid w:val="0"/>
        <w:spacing w:before="0" w:after="0" w:line="360" w:lineRule="auto"/>
        <w:ind w:left="0" w:leftChars="0" w:right="0" w:rightChars="0"/>
        <w:textAlignment w:val="auto"/>
        <w:rPr>
          <w:rFonts w:hint="default" w:ascii="Times New Roman" w:hAnsi="Times New Roman" w:eastAsia="宋体" w:cs="Times New Roman"/>
          <w:b/>
          <w:bCs w:val="0"/>
          <w:color w:val="auto"/>
          <w:kern w:val="2"/>
          <w:sz w:val="24"/>
          <w:szCs w:val="24"/>
          <w:highlight w:val="none"/>
          <w:lang w:val="en-US" w:eastAsia="zh-CN" w:bidi="ar-SA"/>
        </w:rPr>
      </w:pPr>
      <w:bookmarkStart w:id="89" w:name="_Toc30818"/>
      <w:r>
        <w:rPr>
          <w:rFonts w:hint="default" w:ascii="Times New Roman" w:hAnsi="Times New Roman" w:eastAsia="宋体" w:cs="Times New Roman"/>
          <w:b/>
          <w:bCs w:val="0"/>
          <w:color w:val="auto"/>
          <w:kern w:val="2"/>
          <w:sz w:val="24"/>
          <w:szCs w:val="24"/>
          <w:highlight w:val="none"/>
          <w:lang w:val="en-US" w:eastAsia="zh-CN" w:bidi="ar-SA"/>
        </w:rPr>
        <w:t>4.3释放环境风险物质的扩散途径分析</w:t>
      </w:r>
      <w:bookmarkEnd w:id="89"/>
    </w:p>
    <w:p w14:paraId="499C044C">
      <w:pPr>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.3.1物料泄漏事故环境影响分析</w:t>
      </w:r>
    </w:p>
    <w:p w14:paraId="467B3492">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本项目正己烷储罐泄漏，导致有害气体扩散至大气环境。若物料不慎进入水体会造成水环境污染。本项目在物料存储区均进行重点防渗，本项目距离地表水体较远，发生泄漏基本不会影响地表水及地下水。</w:t>
      </w:r>
    </w:p>
    <w:p w14:paraId="2A30C51A">
      <w:pPr>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.3.2火灾爆炸事故次生的大气污染扩散影响</w:t>
      </w:r>
    </w:p>
    <w:p w14:paraId="13329717">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火灾爆炸事故中热辐射、冲击波和抛射物等直接危害属于安全事故范畴，其对环境的影响范围一般不超出厂界；而未燃烧的危险物质在高温下迅速挥发释放至大气及燃烧物质燃烧过程中产生的伴生/次生物质属于环境风险分析对象，其污染属于环境事故范畴，往往会造成厂界外的环境影响。</w:t>
      </w:r>
    </w:p>
    <w:p w14:paraId="7E907D5E">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危险化学品火灾爆炸事故中产生的烟气是物质在燃烧过程分解产生的气态、液态、固态物质与空气的混合物，烟气对人体的危害主要是燃烧产生的有毒有害气体所引起的窒息和对人体器官造成的毒害作用，可见火灾爆炸事故不可避免地造成大气污染。</w:t>
      </w:r>
    </w:p>
    <w:p w14:paraId="299532F7">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在发生火灾爆炸事故情况下，各装置及储运系统主要气态伴生/次生危害物质为物质燃烧、不完全燃烧所产生的CO、SO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及黑烟、飞灰等颗粒物。</w:t>
      </w:r>
    </w:p>
    <w:p w14:paraId="44ED6AC6">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CO危险特性：一种易燃易爆气体。与空气混合能形成爆炸性混合物，遇明火、高热能引起燃烧爆炸。健康危害：一氧化碳在血中与血红蛋白结合而造成组织缺氧。急性中毒：轻度中毒者出现头痛、耳鸣、心悸、呕吐、无力，血液碳氧血红蛋白浓度可高于10</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；中度中毒者除上述症状外，还有皮肤粘膜呈樱红色、脉快、烦躁、步态不稳、浅至中度昏迷，血液碳氧血红蛋白浓度可高于30</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；重度患者深度昏迷、瞳孔缩小、肌张力增强、频繁抽搐、大小便失禁、休克、严重心肌损害等，血液碳氧血红蛋白可高于50</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。慢性影响：能否造成慢性中毒及对心血管影响无定论。环境危害：对大气可造成污染。</w:t>
      </w:r>
    </w:p>
    <w:p w14:paraId="1DBA28C6">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事故主要液态伴生/次生危害物质为泄漏的物料及火灾爆炸事故扑救中产生的消防废水。</w:t>
      </w:r>
    </w:p>
    <w:p w14:paraId="6E4D83C1">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根据原料与产品的识别，本项目原料及产品均不是易燃易爆化学品。</w:t>
      </w:r>
    </w:p>
    <w:p w14:paraId="7D9875C2">
      <w:pPr>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.3.3 火灾爆炸事故、物料泄漏事故衍生水环境影响分析</w:t>
      </w:r>
    </w:p>
    <w:p w14:paraId="7C3F3878">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火灾爆炸事故除产生大气污染外，还会伴生液体的废物料、消防废水，消防废水会携带一定量的有害物质，若随污水管网进入附近地表水体或渗入地下水，可能会造成地表水和地下水的污染。本项目在物料存储区均进行重点防渗，本项目距离地表水体较远，发生泄漏基本不会影响地表水及地下水。</w:t>
      </w:r>
    </w:p>
    <w:p w14:paraId="27925B41">
      <w:pPr>
        <w:pStyle w:val="4"/>
        <w:pageBreakBefore w:val="0"/>
        <w:kinsoku/>
        <w:bidi w:val="0"/>
        <w:adjustRightInd w:val="0"/>
        <w:snapToGrid w:val="0"/>
        <w:spacing w:beforeLines="0" w:afterLines="0"/>
        <w:ind w:left="0" w:leftChars="0" w:right="0" w:rightChars="0"/>
        <w:rPr>
          <w:rFonts w:hint="default" w:ascii="Times New Roman" w:hAnsi="Times New Roman" w:eastAsia="宋体" w:cs="Times New Roman"/>
          <w:color w:val="auto"/>
          <w:sz w:val="24"/>
          <w:szCs w:val="24"/>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type="linesAndChars" w:linePitch="312" w:charSpace="0"/>
        </w:sectPr>
      </w:pPr>
    </w:p>
    <w:p w14:paraId="0BA19CB0">
      <w:pPr>
        <w:pStyle w:val="2"/>
        <w:keepNext/>
        <w:keepLines/>
        <w:pageBreakBefore w:val="0"/>
        <w:widowControl w:val="0"/>
        <w:numPr>
          <w:ilvl w:val="0"/>
          <w:numId w:val="0"/>
        </w:numPr>
        <w:kinsoku/>
        <w:wordWrap/>
        <w:overflowPunct/>
        <w:topLinePunct w:val="0"/>
        <w:autoSpaceDE/>
        <w:autoSpaceDN/>
        <w:bidi w:val="0"/>
        <w:adjustRightInd w:val="0"/>
        <w:snapToGrid w:val="0"/>
        <w:spacing w:before="0" w:after="0" w:line="360" w:lineRule="auto"/>
        <w:ind w:left="0" w:leftChars="0" w:right="0" w:rightChars="0"/>
        <w:jc w:val="left"/>
        <w:textAlignment w:val="auto"/>
        <w:rPr>
          <w:rFonts w:hint="default" w:ascii="Times New Roman" w:hAnsi="Times New Roman" w:eastAsia="宋体" w:cs="Times New Roman"/>
          <w:b/>
          <w:bCs w:val="0"/>
          <w:color w:val="auto"/>
          <w:kern w:val="2"/>
          <w:sz w:val="28"/>
          <w:szCs w:val="28"/>
          <w:highlight w:val="none"/>
          <w:lang w:val="en-US" w:eastAsia="zh-CN" w:bidi="ar-SA"/>
        </w:rPr>
      </w:pPr>
      <w:bookmarkStart w:id="90" w:name="_Toc12246"/>
      <w:bookmarkStart w:id="91" w:name="_Toc29644"/>
      <w:r>
        <w:rPr>
          <w:rFonts w:hint="default" w:ascii="Times New Roman" w:hAnsi="Times New Roman" w:eastAsia="宋体" w:cs="Times New Roman"/>
          <w:b/>
          <w:bCs w:val="0"/>
          <w:color w:val="auto"/>
          <w:kern w:val="2"/>
          <w:sz w:val="28"/>
          <w:szCs w:val="28"/>
          <w:highlight w:val="none"/>
          <w:lang w:val="en-US" w:eastAsia="zh-CN" w:bidi="ar-SA"/>
        </w:rPr>
        <w:t>5风险事故情形分析</w:t>
      </w:r>
      <w:bookmarkEnd w:id="90"/>
      <w:bookmarkEnd w:id="91"/>
    </w:p>
    <w:p w14:paraId="73AAD05B">
      <w:pPr>
        <w:pStyle w:val="3"/>
        <w:keepNext/>
        <w:keepLines/>
        <w:pageBreakBefore w:val="0"/>
        <w:widowControl w:val="0"/>
        <w:numPr>
          <w:ilvl w:val="1"/>
          <w:numId w:val="0"/>
        </w:numPr>
        <w:kinsoku/>
        <w:wordWrap/>
        <w:overflowPunct/>
        <w:topLinePunct w:val="0"/>
        <w:autoSpaceDE/>
        <w:autoSpaceDN/>
        <w:bidi w:val="0"/>
        <w:adjustRightInd w:val="0"/>
        <w:snapToGrid w:val="0"/>
        <w:spacing w:before="0" w:after="0" w:line="360" w:lineRule="auto"/>
        <w:ind w:left="0" w:leftChars="0" w:right="0" w:rightChars="0"/>
        <w:textAlignment w:val="auto"/>
        <w:rPr>
          <w:rFonts w:hint="default" w:ascii="Times New Roman" w:hAnsi="Times New Roman" w:eastAsia="宋体" w:cs="Times New Roman"/>
          <w:b/>
          <w:bCs w:val="0"/>
          <w:color w:val="auto"/>
          <w:kern w:val="2"/>
          <w:sz w:val="24"/>
          <w:szCs w:val="24"/>
          <w:highlight w:val="none"/>
          <w:lang w:val="en-US" w:eastAsia="zh-CN" w:bidi="ar-SA"/>
        </w:rPr>
      </w:pPr>
      <w:bookmarkStart w:id="92" w:name="_Toc17114"/>
      <w:r>
        <w:rPr>
          <w:rFonts w:hint="default" w:ascii="Times New Roman" w:hAnsi="Times New Roman" w:eastAsia="宋体" w:cs="Times New Roman"/>
          <w:b/>
          <w:bCs w:val="0"/>
          <w:color w:val="auto"/>
          <w:kern w:val="2"/>
          <w:sz w:val="24"/>
          <w:szCs w:val="24"/>
          <w:highlight w:val="none"/>
          <w:lang w:val="en-US" w:eastAsia="zh-CN" w:bidi="ar-SA"/>
        </w:rPr>
        <w:t>5.1风险事故情形设定</w:t>
      </w:r>
      <w:bookmarkEnd w:id="92"/>
    </w:p>
    <w:p w14:paraId="308CCB29">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本项目主要环境风险潜在事故</w:t>
      </w:r>
    </w:p>
    <w:p w14:paraId="22C6CB1B">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各装置组成主要由储罐、反应罐、管道、管件、输送设备等组成，物料输送均采用泵输送，因此，生产设备、管道、设施、装置的缺陷，设计失误，自动控制失效，工艺参数失控，操作失误，安全设施缺少、腐蚀等，有可能发生泄漏事故。</w:t>
      </w:r>
    </w:p>
    <w:p w14:paraId="3B208631">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因此，本次环境风险评价和管理的主要研究对象是：有毒物泄漏，如有毒气体、液体的释放等，以及可以产生多米诺效应的重大事件产生的环境影响。</w:t>
      </w:r>
    </w:p>
    <w:p w14:paraId="0362E484">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事故连锁效应和重叠继发事故</w:t>
      </w:r>
    </w:p>
    <w:p w14:paraId="015E9120">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事故连锁效应是指一个设备或储罐发生火灾、爆炸等事故，因火灾热辐射、爆炸冲击波以及管道连接等因素，导致邻近的或上下游的设备、储罐发生火灾、爆炸等事故的效应。</w:t>
      </w:r>
    </w:p>
    <w:p w14:paraId="772BCD80">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事故重叠是指某一设备或仓储设备火灾、爆炸和泄漏事故同时发生或相继发生。根据统计资料表明，石化行业的重大安全事故多为事故重叠，究其原因主要为管线或设备破损导致易燃易爆危险性物质大量泄漏，或自燃、或遇明火点燃而形成火灾爆炸事故，而火灾爆炸本身又可能造成更多危险性物质的泄漏。火灾爆炸的最大可信事故即属于事故重叠。</w:t>
      </w:r>
    </w:p>
    <w:p w14:paraId="14AF1899">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本项目应高度重视的危险区域为储罐区，其次为生产区。</w:t>
      </w:r>
    </w:p>
    <w:p w14:paraId="7E72C6D6">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本项目风险事故情形设定情况见表5-1。</w:t>
      </w:r>
    </w:p>
    <w:p w14:paraId="6D62CA0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表5-1 本项目风险事故情形设定情况一览表</w:t>
      </w:r>
    </w:p>
    <w:tbl>
      <w:tblPr>
        <w:tblStyle w:val="2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73"/>
        <w:gridCol w:w="1025"/>
        <w:gridCol w:w="1247"/>
        <w:gridCol w:w="1066"/>
        <w:gridCol w:w="1066"/>
        <w:gridCol w:w="3548"/>
      </w:tblGrid>
      <w:tr w14:paraId="3E0A5F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6" w:type="pct"/>
            <w:vAlign w:val="center"/>
          </w:tcPr>
          <w:p w14:paraId="5A58390C">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序号</w:t>
            </w:r>
          </w:p>
        </w:tc>
        <w:tc>
          <w:tcPr>
            <w:tcW w:w="601" w:type="pct"/>
            <w:vAlign w:val="center"/>
          </w:tcPr>
          <w:p w14:paraId="2DA7773F">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环境风险类型</w:t>
            </w:r>
          </w:p>
        </w:tc>
        <w:tc>
          <w:tcPr>
            <w:tcW w:w="731" w:type="pct"/>
            <w:vAlign w:val="center"/>
          </w:tcPr>
          <w:p w14:paraId="4DF525E4">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风险源</w:t>
            </w:r>
          </w:p>
        </w:tc>
        <w:tc>
          <w:tcPr>
            <w:tcW w:w="625" w:type="pct"/>
            <w:vAlign w:val="center"/>
          </w:tcPr>
          <w:p w14:paraId="63EEFAFC">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危险单元</w:t>
            </w:r>
          </w:p>
        </w:tc>
        <w:tc>
          <w:tcPr>
            <w:tcW w:w="625" w:type="pct"/>
            <w:vAlign w:val="center"/>
          </w:tcPr>
          <w:p w14:paraId="775805EF">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危险物质</w:t>
            </w:r>
          </w:p>
        </w:tc>
        <w:tc>
          <w:tcPr>
            <w:tcW w:w="2080" w:type="pct"/>
            <w:vAlign w:val="center"/>
          </w:tcPr>
          <w:p w14:paraId="057A1C8C">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环境影响途径</w:t>
            </w:r>
          </w:p>
        </w:tc>
      </w:tr>
      <w:tr w14:paraId="427404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2" w:hRule="atLeast"/>
        </w:trPr>
        <w:tc>
          <w:tcPr>
            <w:tcW w:w="336" w:type="pct"/>
            <w:vAlign w:val="center"/>
          </w:tcPr>
          <w:p w14:paraId="674D9178">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w:t>
            </w:r>
          </w:p>
        </w:tc>
        <w:tc>
          <w:tcPr>
            <w:tcW w:w="601" w:type="pct"/>
            <w:vAlign w:val="center"/>
          </w:tcPr>
          <w:p w14:paraId="176F6007">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泄露</w:t>
            </w:r>
          </w:p>
        </w:tc>
        <w:tc>
          <w:tcPr>
            <w:tcW w:w="731" w:type="pct"/>
            <w:vAlign w:val="center"/>
          </w:tcPr>
          <w:p w14:paraId="2AB7CF4C">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正己烷</w:t>
            </w:r>
            <w:r>
              <w:rPr>
                <w:rFonts w:hint="default" w:ascii="Times New Roman" w:hAnsi="Times New Roman" w:eastAsia="宋体" w:cs="Times New Roman"/>
                <w:color w:val="auto"/>
                <w:sz w:val="21"/>
                <w:szCs w:val="21"/>
                <w:highlight w:val="none"/>
              </w:rPr>
              <w:t>储罐</w:t>
            </w:r>
          </w:p>
        </w:tc>
        <w:tc>
          <w:tcPr>
            <w:tcW w:w="625" w:type="pct"/>
            <w:vAlign w:val="center"/>
          </w:tcPr>
          <w:p w14:paraId="7BCADCB1">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储运设施单元</w:t>
            </w:r>
          </w:p>
        </w:tc>
        <w:tc>
          <w:tcPr>
            <w:tcW w:w="625" w:type="pct"/>
            <w:vAlign w:val="center"/>
          </w:tcPr>
          <w:p w14:paraId="7D5DDEC6">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正己烷</w:t>
            </w:r>
          </w:p>
        </w:tc>
        <w:tc>
          <w:tcPr>
            <w:tcW w:w="2080" w:type="pct"/>
            <w:vAlign w:val="center"/>
          </w:tcPr>
          <w:p w14:paraId="2EB03770">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蒸发进入环境空气；与消防水混合后渗入地表水、地下水</w:t>
            </w:r>
          </w:p>
        </w:tc>
      </w:tr>
      <w:tr w14:paraId="561616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6" w:type="pct"/>
            <w:vAlign w:val="center"/>
          </w:tcPr>
          <w:p w14:paraId="50163A60">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2</w:t>
            </w:r>
          </w:p>
        </w:tc>
        <w:tc>
          <w:tcPr>
            <w:tcW w:w="601" w:type="pct"/>
            <w:vAlign w:val="center"/>
          </w:tcPr>
          <w:p w14:paraId="59063E95">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火灾、爆炸</w:t>
            </w:r>
          </w:p>
        </w:tc>
        <w:tc>
          <w:tcPr>
            <w:tcW w:w="731" w:type="pct"/>
            <w:vAlign w:val="center"/>
          </w:tcPr>
          <w:p w14:paraId="417972C9">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正己烷</w:t>
            </w:r>
            <w:r>
              <w:rPr>
                <w:rFonts w:hint="default" w:ascii="Times New Roman" w:hAnsi="Times New Roman" w:eastAsia="宋体" w:cs="Times New Roman"/>
                <w:color w:val="auto"/>
                <w:sz w:val="21"/>
                <w:szCs w:val="21"/>
                <w:highlight w:val="none"/>
              </w:rPr>
              <w:t>储罐</w:t>
            </w:r>
          </w:p>
        </w:tc>
        <w:tc>
          <w:tcPr>
            <w:tcW w:w="625" w:type="pct"/>
            <w:vAlign w:val="center"/>
          </w:tcPr>
          <w:p w14:paraId="70A49226">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储运设施单元</w:t>
            </w:r>
          </w:p>
        </w:tc>
        <w:tc>
          <w:tcPr>
            <w:tcW w:w="625" w:type="pct"/>
            <w:vAlign w:val="center"/>
          </w:tcPr>
          <w:p w14:paraId="6A5482C9">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正己烷</w:t>
            </w:r>
          </w:p>
        </w:tc>
        <w:tc>
          <w:tcPr>
            <w:tcW w:w="2080" w:type="pct"/>
            <w:vAlign w:val="center"/>
          </w:tcPr>
          <w:p w14:paraId="711DFD38">
            <w:pPr>
              <w:pageBreakBefore w:val="0"/>
              <w:kinsoku/>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在燃烧过程中产生的伴生/次生污染物进入环境空气；与消防水混合后渗入地表水、地下水</w:t>
            </w:r>
          </w:p>
        </w:tc>
      </w:tr>
    </w:tbl>
    <w:p w14:paraId="195EA4F0">
      <w:pPr>
        <w:pStyle w:val="3"/>
        <w:keepNext/>
        <w:keepLines/>
        <w:pageBreakBefore w:val="0"/>
        <w:widowControl w:val="0"/>
        <w:numPr>
          <w:ilvl w:val="1"/>
          <w:numId w:val="0"/>
        </w:numPr>
        <w:kinsoku/>
        <w:wordWrap/>
        <w:overflowPunct/>
        <w:topLinePunct w:val="0"/>
        <w:autoSpaceDE/>
        <w:autoSpaceDN/>
        <w:bidi w:val="0"/>
        <w:adjustRightInd w:val="0"/>
        <w:snapToGrid w:val="0"/>
        <w:spacing w:before="0" w:after="0" w:line="360" w:lineRule="auto"/>
        <w:ind w:left="0" w:leftChars="0" w:right="0" w:rightChars="0"/>
        <w:textAlignment w:val="auto"/>
        <w:rPr>
          <w:rFonts w:hint="default" w:ascii="Times New Roman" w:hAnsi="Times New Roman" w:eastAsia="宋体" w:cs="Times New Roman"/>
          <w:b/>
          <w:bCs w:val="0"/>
          <w:color w:val="auto"/>
          <w:kern w:val="2"/>
          <w:sz w:val="24"/>
          <w:szCs w:val="24"/>
          <w:highlight w:val="none"/>
          <w:lang w:val="en-US" w:eastAsia="zh-CN" w:bidi="ar-SA"/>
        </w:rPr>
      </w:pPr>
      <w:bookmarkStart w:id="93" w:name="_Toc25534"/>
      <w:r>
        <w:rPr>
          <w:rFonts w:hint="default" w:ascii="Times New Roman" w:hAnsi="Times New Roman" w:eastAsia="宋体" w:cs="Times New Roman"/>
          <w:b/>
          <w:bCs w:val="0"/>
          <w:color w:val="auto"/>
          <w:kern w:val="2"/>
          <w:sz w:val="24"/>
          <w:szCs w:val="24"/>
          <w:highlight w:val="none"/>
          <w:lang w:val="en-US" w:eastAsia="zh-CN" w:bidi="ar-SA"/>
        </w:rPr>
        <w:t>5.2源项分析</w:t>
      </w:r>
      <w:bookmarkEnd w:id="93"/>
    </w:p>
    <w:p w14:paraId="099F535B">
      <w:pPr>
        <w:pStyle w:val="4"/>
        <w:keepNext/>
        <w:keepLines/>
        <w:pageBreakBefore w:val="0"/>
        <w:widowControl w:val="0"/>
        <w:numPr>
          <w:ilvl w:val="2"/>
          <w:numId w:val="0"/>
        </w:numPr>
        <w:kinsoku/>
        <w:wordWrap/>
        <w:overflowPunct/>
        <w:topLinePunct w:val="0"/>
        <w:autoSpaceDE/>
        <w:autoSpaceDN/>
        <w:bidi w:val="0"/>
        <w:adjustRightInd w:val="0"/>
        <w:snapToGrid w:val="0"/>
        <w:spacing w:beforeLines="0" w:afterLines="0" w:line="360" w:lineRule="auto"/>
        <w:ind w:left="0" w:leftChars="0" w:right="0" w:rightChars="0"/>
        <w:textAlignment w:val="auto"/>
        <w:rPr>
          <w:rFonts w:hint="default" w:ascii="Times New Roman" w:hAnsi="Times New Roman" w:eastAsia="宋体" w:cs="Times New Roman"/>
          <w:b/>
          <w:bCs w:val="0"/>
          <w:color w:val="auto"/>
          <w:kern w:val="2"/>
          <w:sz w:val="24"/>
          <w:szCs w:val="24"/>
          <w:highlight w:val="none"/>
          <w:lang w:val="en-US" w:eastAsia="zh-CN" w:bidi="ar-SA"/>
        </w:rPr>
      </w:pPr>
      <w:r>
        <w:rPr>
          <w:rFonts w:hint="default" w:ascii="Times New Roman" w:hAnsi="Times New Roman" w:eastAsia="宋体" w:cs="Times New Roman"/>
          <w:b/>
          <w:bCs w:val="0"/>
          <w:color w:val="auto"/>
          <w:kern w:val="2"/>
          <w:sz w:val="24"/>
          <w:szCs w:val="24"/>
          <w:highlight w:val="none"/>
          <w:lang w:val="en-US" w:eastAsia="zh-CN" w:bidi="ar-SA"/>
        </w:rPr>
        <w:t>5.2.1事故源项的确定</w:t>
      </w:r>
    </w:p>
    <w:p w14:paraId="7DA6B9A8">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最大可信事故所造成的危害在所有预测的事故中最严重，并且发生该事故的概率不为零。在上述风险识别、分析和事故预测的基础上，项目的最大可信事故设定为：①设备故障、操作不当，生产过程中参数控制不当化学品物质向外泄漏；②废气处理设施发生故障。</w:t>
      </w:r>
    </w:p>
    <w:p w14:paraId="258D1791">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根据近年工业事故统计，</w:t>
      </w:r>
      <w:r>
        <w:rPr>
          <w:rFonts w:hint="default" w:ascii="Times New Roman" w:hAnsi="Times New Roman" w:cs="Times New Roman"/>
          <w:color w:val="auto"/>
          <w:sz w:val="24"/>
          <w:highlight w:val="none"/>
          <w:lang w:val="en-US" w:eastAsia="zh-CN"/>
        </w:rPr>
        <w:t>死亡</w:t>
      </w:r>
      <w:r>
        <w:rPr>
          <w:rFonts w:hint="default" w:ascii="Times New Roman" w:hAnsi="Times New Roman" w:eastAsia="宋体" w:cs="Times New Roman"/>
          <w:color w:val="auto"/>
          <w:sz w:val="24"/>
          <w:highlight w:val="none"/>
          <w:lang w:val="en-US" w:eastAsia="zh-CN"/>
        </w:rPr>
        <w:t>人数占较大比例的前两位事故依次是火灾爆炸和中毒窒息，表明火灾爆炸和中毒事故是工业中出现</w:t>
      </w:r>
      <w:r>
        <w:rPr>
          <w:rFonts w:hint="eastAsia" w:cs="Times New Roman"/>
          <w:color w:val="auto"/>
          <w:sz w:val="24"/>
          <w:highlight w:val="none"/>
          <w:lang w:val="en-US" w:eastAsia="zh-CN"/>
        </w:rPr>
        <w:t>概率</w:t>
      </w:r>
      <w:r>
        <w:rPr>
          <w:rFonts w:hint="default" w:ascii="Times New Roman" w:hAnsi="Times New Roman" w:eastAsia="宋体" w:cs="Times New Roman"/>
          <w:color w:val="auto"/>
          <w:sz w:val="24"/>
          <w:highlight w:val="none"/>
          <w:lang w:val="en-US" w:eastAsia="zh-CN"/>
        </w:rPr>
        <w:t>较高的严重事故。按照《建设项目环境风险评价技术导则》中的定义，最大可信事故指：在所有预测的概率不为零的事故中，对环境（或健康）危害最严重的重大事故。</w:t>
      </w:r>
    </w:p>
    <w:p w14:paraId="54C481C0">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本项目反应容器泄漏、阀门泄漏及管道破裂等事故的发生概率均不为零。当贮存单元储罐发生泄漏事故时，物料直接以气态进入大气，对环境影响较大。</w:t>
      </w:r>
    </w:p>
    <w:p w14:paraId="69650B2B">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项目导致环境风险的主要危险物质包括正己烷等。易发生泄漏的设备主要有管道、接头、阀门、各类储罐等。本项目涉及的危险化学品中，储存量与临界量比值之和大于1，构成重大危险源。</w:t>
      </w:r>
    </w:p>
    <w:p w14:paraId="443D19CD">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本项目最大可信事故的设定如下：</w:t>
      </w:r>
    </w:p>
    <w:p w14:paraId="78CD48FE">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正己烷储罐、阀门、管线发生泄漏，泄漏有害气体污染大气环境。</w:t>
      </w:r>
    </w:p>
    <w:p w14:paraId="3E8F0B95">
      <w:pPr>
        <w:pageBreakBefore w:val="0"/>
        <w:widowControl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经过上述分析，并</w:t>
      </w:r>
      <w:r>
        <w:rPr>
          <w:rFonts w:hint="eastAsia" w:cs="Times New Roman"/>
          <w:color w:val="auto"/>
          <w:sz w:val="24"/>
          <w:highlight w:val="none"/>
          <w:lang w:val="en-US" w:eastAsia="zh-CN"/>
        </w:rPr>
        <w:t>结合</w:t>
      </w:r>
      <w:r>
        <w:rPr>
          <w:rFonts w:hint="default" w:ascii="Times New Roman" w:hAnsi="Times New Roman" w:eastAsia="宋体" w:cs="Times New Roman"/>
          <w:color w:val="auto"/>
          <w:sz w:val="24"/>
          <w:highlight w:val="none"/>
          <w:lang w:val="en-US" w:eastAsia="zh-CN"/>
        </w:rPr>
        <w:t>相应物料的毒理特性可知，储罐区及工艺装置泄漏事故等都将对周围环境产生较大影响。因此，结合事故发生概率，将本项目最大可信事故汇总于下表。</w:t>
      </w:r>
    </w:p>
    <w:p w14:paraId="37130AE9">
      <w:pPr>
        <w:pStyle w:val="8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表</w:t>
      </w:r>
      <w:r>
        <w:rPr>
          <w:rFonts w:hint="default" w:ascii="Times New Roman" w:hAnsi="Times New Roman" w:eastAsia="宋体" w:cs="Times New Roman"/>
          <w:color w:val="auto"/>
          <w:sz w:val="24"/>
          <w:szCs w:val="28"/>
          <w:highlight w:val="none"/>
          <w:lang w:val="en-US" w:eastAsia="zh-CN"/>
        </w:rPr>
        <w:t>5-2</w:t>
      </w:r>
      <w:r>
        <w:rPr>
          <w:rFonts w:hint="default" w:ascii="Times New Roman" w:hAnsi="Times New Roman" w:eastAsia="宋体" w:cs="Times New Roman"/>
          <w:color w:val="auto"/>
          <w:sz w:val="24"/>
          <w:szCs w:val="28"/>
          <w:highlight w:val="none"/>
        </w:rPr>
        <w:t xml:space="preserve"> 最大可信事故设定</w:t>
      </w:r>
    </w:p>
    <w:tbl>
      <w:tblPr>
        <w:tblStyle w:val="29"/>
        <w:tblW w:w="888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5" w:type="dxa"/>
          <w:bottom w:w="0" w:type="dxa"/>
          <w:right w:w="15" w:type="dxa"/>
        </w:tblCellMar>
      </w:tblPr>
      <w:tblGrid>
        <w:gridCol w:w="683"/>
        <w:gridCol w:w="1245"/>
        <w:gridCol w:w="1680"/>
        <w:gridCol w:w="1605"/>
        <w:gridCol w:w="1965"/>
        <w:gridCol w:w="1702"/>
      </w:tblGrid>
      <w:tr w14:paraId="54687F0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5" w:type="dxa"/>
            <w:bottom w:w="0" w:type="dxa"/>
            <w:right w:w="15" w:type="dxa"/>
          </w:tblCellMar>
        </w:tblPrEx>
        <w:trPr>
          <w:trHeight w:val="23" w:hRule="atLeast"/>
          <w:jc w:val="center"/>
        </w:trPr>
        <w:tc>
          <w:tcPr>
            <w:tcW w:w="683" w:type="dxa"/>
            <w:noWrap w:val="0"/>
            <w:vAlign w:val="center"/>
          </w:tcPr>
          <w:p w14:paraId="014A683F">
            <w:pPr>
              <w:pStyle w:val="8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1245" w:type="dxa"/>
            <w:noWrap w:val="0"/>
            <w:vAlign w:val="center"/>
          </w:tcPr>
          <w:p w14:paraId="4E0700DF">
            <w:pPr>
              <w:pStyle w:val="8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风险类型</w:t>
            </w:r>
          </w:p>
        </w:tc>
        <w:tc>
          <w:tcPr>
            <w:tcW w:w="1680" w:type="dxa"/>
            <w:noWrap w:val="0"/>
            <w:vAlign w:val="center"/>
          </w:tcPr>
          <w:p w14:paraId="15AA8266">
            <w:pPr>
              <w:pStyle w:val="8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风险部位</w:t>
            </w:r>
          </w:p>
        </w:tc>
        <w:tc>
          <w:tcPr>
            <w:tcW w:w="1605" w:type="dxa"/>
            <w:noWrap w:val="0"/>
            <w:vAlign w:val="center"/>
          </w:tcPr>
          <w:p w14:paraId="6AD2D2B0">
            <w:pPr>
              <w:pStyle w:val="8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主要风险物质</w:t>
            </w:r>
          </w:p>
        </w:tc>
        <w:tc>
          <w:tcPr>
            <w:tcW w:w="1965" w:type="dxa"/>
            <w:noWrap w:val="0"/>
            <w:vAlign w:val="center"/>
          </w:tcPr>
          <w:p w14:paraId="14B6206D">
            <w:pPr>
              <w:pStyle w:val="8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事故成因</w:t>
            </w:r>
          </w:p>
        </w:tc>
        <w:tc>
          <w:tcPr>
            <w:tcW w:w="1702" w:type="dxa"/>
            <w:noWrap w:val="0"/>
            <w:vAlign w:val="center"/>
          </w:tcPr>
          <w:p w14:paraId="6274B65E">
            <w:pPr>
              <w:pStyle w:val="8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事故统计概率</w:t>
            </w:r>
          </w:p>
        </w:tc>
      </w:tr>
      <w:tr w14:paraId="47FF50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5" w:type="dxa"/>
            <w:bottom w:w="0" w:type="dxa"/>
            <w:right w:w="15" w:type="dxa"/>
          </w:tblCellMar>
        </w:tblPrEx>
        <w:trPr>
          <w:cantSplit/>
          <w:trHeight w:val="23" w:hRule="atLeast"/>
          <w:jc w:val="center"/>
        </w:trPr>
        <w:tc>
          <w:tcPr>
            <w:tcW w:w="683" w:type="dxa"/>
            <w:vMerge w:val="restart"/>
            <w:noWrap w:val="0"/>
            <w:vAlign w:val="center"/>
          </w:tcPr>
          <w:p w14:paraId="63F6EF2B">
            <w:pPr>
              <w:pStyle w:val="8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245" w:type="dxa"/>
            <w:vMerge w:val="restart"/>
            <w:noWrap w:val="0"/>
            <w:vAlign w:val="center"/>
          </w:tcPr>
          <w:p w14:paraId="5D10F5CA">
            <w:pPr>
              <w:pStyle w:val="8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泄漏</w:t>
            </w:r>
          </w:p>
        </w:tc>
        <w:tc>
          <w:tcPr>
            <w:tcW w:w="1680" w:type="dxa"/>
            <w:tcBorders>
              <w:bottom w:val="single" w:color="000000" w:sz="4" w:space="0"/>
            </w:tcBorders>
            <w:noWrap w:val="0"/>
            <w:vAlign w:val="center"/>
          </w:tcPr>
          <w:p w14:paraId="0EF5AEE5">
            <w:pPr>
              <w:pStyle w:val="8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正己烷储罐</w:t>
            </w:r>
          </w:p>
        </w:tc>
        <w:tc>
          <w:tcPr>
            <w:tcW w:w="1605" w:type="dxa"/>
            <w:tcBorders>
              <w:bottom w:val="single" w:color="000000" w:sz="4" w:space="0"/>
            </w:tcBorders>
            <w:noWrap w:val="0"/>
            <w:vAlign w:val="center"/>
          </w:tcPr>
          <w:p w14:paraId="688340D0">
            <w:pPr>
              <w:pStyle w:val="86"/>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正己烷</w:t>
            </w:r>
          </w:p>
        </w:tc>
        <w:tc>
          <w:tcPr>
            <w:tcW w:w="1965" w:type="dxa"/>
            <w:tcBorders>
              <w:bottom w:val="single" w:color="000000" w:sz="4" w:space="0"/>
            </w:tcBorders>
            <w:noWrap w:val="0"/>
            <w:vAlign w:val="center"/>
          </w:tcPr>
          <w:p w14:paraId="703D890A">
            <w:pPr>
              <w:pStyle w:val="8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腐蚀、人为因素</w:t>
            </w:r>
          </w:p>
        </w:tc>
        <w:tc>
          <w:tcPr>
            <w:tcW w:w="1702" w:type="dxa"/>
            <w:tcBorders>
              <w:bottom w:val="single" w:color="000000" w:sz="4" w:space="0"/>
            </w:tcBorders>
            <w:noWrap w:val="0"/>
            <w:vAlign w:val="center"/>
          </w:tcPr>
          <w:p w14:paraId="1D1A9C26">
            <w:pPr>
              <w:pStyle w:val="8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w:t>
            </w:r>
            <w:r>
              <w:rPr>
                <w:rFonts w:hint="default"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rPr>
              <w:t>×10</w:t>
            </w:r>
            <w:r>
              <w:rPr>
                <w:rFonts w:hint="default" w:ascii="Times New Roman" w:hAnsi="Times New Roman" w:eastAsia="宋体" w:cs="Times New Roman"/>
                <w:color w:val="auto"/>
                <w:highlight w:val="none"/>
                <w:vertAlign w:val="superscript"/>
              </w:rPr>
              <w:t>-6</w:t>
            </w:r>
          </w:p>
        </w:tc>
      </w:tr>
      <w:tr w14:paraId="7B4083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5" w:type="dxa"/>
            <w:bottom w:w="0" w:type="dxa"/>
            <w:right w:w="15" w:type="dxa"/>
          </w:tblCellMar>
        </w:tblPrEx>
        <w:trPr>
          <w:cantSplit/>
          <w:trHeight w:val="23" w:hRule="atLeast"/>
          <w:jc w:val="center"/>
        </w:trPr>
        <w:tc>
          <w:tcPr>
            <w:tcW w:w="683" w:type="dxa"/>
            <w:vMerge w:val="continue"/>
            <w:noWrap w:val="0"/>
            <w:vAlign w:val="center"/>
          </w:tcPr>
          <w:p w14:paraId="377CAE87">
            <w:pPr>
              <w:pStyle w:val="86"/>
              <w:bidi w:val="0"/>
              <w:rPr>
                <w:rFonts w:hint="default" w:ascii="Times New Roman" w:hAnsi="Times New Roman" w:eastAsia="宋体" w:cs="Times New Roman"/>
                <w:color w:val="auto"/>
                <w:highlight w:val="none"/>
              </w:rPr>
            </w:pPr>
          </w:p>
        </w:tc>
        <w:tc>
          <w:tcPr>
            <w:tcW w:w="1245" w:type="dxa"/>
            <w:vMerge w:val="continue"/>
            <w:noWrap w:val="0"/>
            <w:vAlign w:val="center"/>
          </w:tcPr>
          <w:p w14:paraId="6B72FCDB">
            <w:pPr>
              <w:pStyle w:val="86"/>
              <w:bidi w:val="0"/>
              <w:rPr>
                <w:rFonts w:hint="default" w:ascii="Times New Roman" w:hAnsi="Times New Roman" w:eastAsia="宋体" w:cs="Times New Roman"/>
                <w:color w:val="auto"/>
                <w:highlight w:val="none"/>
              </w:rPr>
            </w:pPr>
          </w:p>
        </w:tc>
        <w:tc>
          <w:tcPr>
            <w:tcW w:w="1680" w:type="dxa"/>
            <w:tcBorders>
              <w:top w:val="single" w:color="000000" w:sz="4" w:space="0"/>
            </w:tcBorders>
            <w:noWrap w:val="0"/>
            <w:vAlign w:val="center"/>
          </w:tcPr>
          <w:p w14:paraId="3A0CD68F">
            <w:pPr>
              <w:pStyle w:val="8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阀门</w:t>
            </w:r>
          </w:p>
        </w:tc>
        <w:tc>
          <w:tcPr>
            <w:tcW w:w="1605" w:type="dxa"/>
            <w:tcBorders>
              <w:top w:val="single" w:color="000000" w:sz="4" w:space="0"/>
            </w:tcBorders>
            <w:noWrap w:val="0"/>
            <w:vAlign w:val="center"/>
          </w:tcPr>
          <w:p w14:paraId="4438744C">
            <w:pPr>
              <w:pStyle w:val="8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正己烷</w:t>
            </w:r>
          </w:p>
        </w:tc>
        <w:tc>
          <w:tcPr>
            <w:tcW w:w="1965" w:type="dxa"/>
            <w:tcBorders>
              <w:top w:val="single" w:color="000000" w:sz="4" w:space="0"/>
            </w:tcBorders>
            <w:noWrap w:val="0"/>
            <w:vAlign w:val="center"/>
          </w:tcPr>
          <w:p w14:paraId="454625E1">
            <w:pPr>
              <w:pStyle w:val="8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操作不当、腐蚀</w:t>
            </w:r>
          </w:p>
        </w:tc>
        <w:tc>
          <w:tcPr>
            <w:tcW w:w="1702" w:type="dxa"/>
            <w:tcBorders>
              <w:top w:val="single" w:color="000000" w:sz="4" w:space="0"/>
            </w:tcBorders>
            <w:noWrap w:val="0"/>
            <w:vAlign w:val="center"/>
          </w:tcPr>
          <w:p w14:paraId="758CEABB">
            <w:pPr>
              <w:pStyle w:val="8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w:t>
            </w:r>
            <w:r>
              <w:rPr>
                <w:rFonts w:hint="default" w:ascii="Times New Roman" w:hAnsi="Times New Roman" w:eastAsia="宋体" w:cs="Times New Roman"/>
                <w:color w:val="auto"/>
                <w:highlight w:val="none"/>
                <w:lang w:val="zh-CN"/>
              </w:rPr>
              <w:t>×</w:t>
            </w:r>
            <w:r>
              <w:rPr>
                <w:rFonts w:hint="default" w:ascii="Times New Roman" w:hAnsi="Times New Roman" w:eastAsia="宋体" w:cs="Times New Roman"/>
                <w:color w:val="auto"/>
                <w:highlight w:val="none"/>
              </w:rPr>
              <w:t>10</w:t>
            </w:r>
            <w:r>
              <w:rPr>
                <w:rFonts w:hint="default" w:ascii="Times New Roman" w:hAnsi="Times New Roman" w:eastAsia="宋体" w:cs="Times New Roman"/>
                <w:color w:val="auto"/>
                <w:highlight w:val="none"/>
                <w:vertAlign w:val="superscript"/>
              </w:rPr>
              <w:t>-4</w:t>
            </w:r>
          </w:p>
        </w:tc>
      </w:tr>
      <w:tr w14:paraId="2DB3762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5" w:type="dxa"/>
            <w:bottom w:w="0" w:type="dxa"/>
            <w:right w:w="15" w:type="dxa"/>
          </w:tblCellMar>
        </w:tblPrEx>
        <w:trPr>
          <w:cantSplit/>
          <w:trHeight w:val="23" w:hRule="atLeast"/>
          <w:jc w:val="center"/>
        </w:trPr>
        <w:tc>
          <w:tcPr>
            <w:tcW w:w="683" w:type="dxa"/>
            <w:vMerge w:val="continue"/>
            <w:noWrap w:val="0"/>
            <w:vAlign w:val="center"/>
          </w:tcPr>
          <w:p w14:paraId="011EED00">
            <w:pPr>
              <w:pStyle w:val="86"/>
              <w:bidi w:val="0"/>
              <w:rPr>
                <w:rFonts w:hint="default" w:ascii="Times New Roman" w:hAnsi="Times New Roman" w:eastAsia="宋体" w:cs="Times New Roman"/>
                <w:color w:val="auto"/>
                <w:highlight w:val="none"/>
              </w:rPr>
            </w:pPr>
          </w:p>
        </w:tc>
        <w:tc>
          <w:tcPr>
            <w:tcW w:w="1245" w:type="dxa"/>
            <w:vMerge w:val="continue"/>
            <w:noWrap w:val="0"/>
            <w:vAlign w:val="center"/>
          </w:tcPr>
          <w:p w14:paraId="5AD61325">
            <w:pPr>
              <w:pStyle w:val="86"/>
              <w:bidi w:val="0"/>
              <w:rPr>
                <w:rFonts w:hint="default" w:ascii="Times New Roman" w:hAnsi="Times New Roman" w:eastAsia="宋体" w:cs="Times New Roman"/>
                <w:color w:val="auto"/>
                <w:highlight w:val="none"/>
              </w:rPr>
            </w:pPr>
          </w:p>
        </w:tc>
        <w:tc>
          <w:tcPr>
            <w:tcW w:w="1680" w:type="dxa"/>
            <w:tcBorders>
              <w:top w:val="single" w:color="000000" w:sz="4" w:space="0"/>
              <w:bottom w:val="single" w:color="000000" w:sz="4" w:space="0"/>
            </w:tcBorders>
            <w:noWrap w:val="0"/>
            <w:vAlign w:val="center"/>
          </w:tcPr>
          <w:p w14:paraId="401EDFC0">
            <w:pPr>
              <w:pStyle w:val="8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管线</w:t>
            </w:r>
          </w:p>
        </w:tc>
        <w:tc>
          <w:tcPr>
            <w:tcW w:w="1605" w:type="dxa"/>
            <w:tcBorders>
              <w:top w:val="single" w:color="000000" w:sz="4" w:space="0"/>
              <w:bottom w:val="single" w:color="000000" w:sz="4" w:space="0"/>
            </w:tcBorders>
            <w:noWrap w:val="0"/>
            <w:vAlign w:val="center"/>
          </w:tcPr>
          <w:p w14:paraId="6491CDE0">
            <w:pPr>
              <w:pStyle w:val="8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正己烷</w:t>
            </w:r>
          </w:p>
        </w:tc>
        <w:tc>
          <w:tcPr>
            <w:tcW w:w="1965" w:type="dxa"/>
            <w:tcBorders>
              <w:top w:val="single" w:color="000000" w:sz="4" w:space="0"/>
              <w:bottom w:val="single" w:color="000000" w:sz="4" w:space="0"/>
            </w:tcBorders>
            <w:noWrap w:val="0"/>
            <w:vAlign w:val="center"/>
          </w:tcPr>
          <w:p w14:paraId="0C34DC49">
            <w:pPr>
              <w:pStyle w:val="8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操作不当、腐蚀</w:t>
            </w:r>
          </w:p>
        </w:tc>
        <w:tc>
          <w:tcPr>
            <w:tcW w:w="1702" w:type="dxa"/>
            <w:tcBorders>
              <w:top w:val="single" w:color="000000" w:sz="4" w:space="0"/>
              <w:bottom w:val="single" w:color="000000" w:sz="4" w:space="0"/>
            </w:tcBorders>
            <w:noWrap w:val="0"/>
            <w:vAlign w:val="center"/>
          </w:tcPr>
          <w:p w14:paraId="33C398DD">
            <w:pPr>
              <w:pStyle w:val="8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w:t>
            </w:r>
            <w:r>
              <w:rPr>
                <w:rFonts w:hint="default" w:ascii="Times New Roman" w:hAnsi="Times New Roman" w:eastAsia="宋体" w:cs="Times New Roman"/>
                <w:color w:val="auto"/>
                <w:highlight w:val="none"/>
                <w:lang w:val="zh-CN"/>
              </w:rPr>
              <w:t>×</w:t>
            </w:r>
            <w:r>
              <w:rPr>
                <w:rFonts w:hint="default" w:ascii="Times New Roman" w:hAnsi="Times New Roman" w:eastAsia="宋体" w:cs="Times New Roman"/>
                <w:color w:val="auto"/>
                <w:highlight w:val="none"/>
              </w:rPr>
              <w:t>10</w:t>
            </w:r>
            <w:r>
              <w:rPr>
                <w:rFonts w:hint="default" w:ascii="Times New Roman" w:hAnsi="Times New Roman" w:eastAsia="宋体" w:cs="Times New Roman"/>
                <w:color w:val="auto"/>
                <w:highlight w:val="none"/>
                <w:vertAlign w:val="superscript"/>
              </w:rPr>
              <w:t>-6</w:t>
            </w:r>
          </w:p>
        </w:tc>
      </w:tr>
      <w:tr w14:paraId="65667F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5" w:type="dxa"/>
            <w:bottom w:w="0" w:type="dxa"/>
            <w:right w:w="15" w:type="dxa"/>
          </w:tblCellMar>
        </w:tblPrEx>
        <w:trPr>
          <w:cantSplit/>
          <w:trHeight w:val="23" w:hRule="atLeast"/>
          <w:jc w:val="center"/>
        </w:trPr>
        <w:tc>
          <w:tcPr>
            <w:tcW w:w="683" w:type="dxa"/>
            <w:vMerge w:val="continue"/>
            <w:noWrap w:val="0"/>
            <w:vAlign w:val="center"/>
          </w:tcPr>
          <w:p w14:paraId="59BA6343">
            <w:pPr>
              <w:pStyle w:val="86"/>
              <w:bidi w:val="0"/>
              <w:rPr>
                <w:rFonts w:hint="default" w:ascii="Times New Roman" w:hAnsi="Times New Roman" w:eastAsia="宋体" w:cs="Times New Roman"/>
                <w:color w:val="auto"/>
                <w:highlight w:val="none"/>
              </w:rPr>
            </w:pPr>
          </w:p>
        </w:tc>
        <w:tc>
          <w:tcPr>
            <w:tcW w:w="1245" w:type="dxa"/>
            <w:vMerge w:val="continue"/>
            <w:noWrap w:val="0"/>
            <w:vAlign w:val="center"/>
          </w:tcPr>
          <w:p w14:paraId="6D1037E2">
            <w:pPr>
              <w:pStyle w:val="86"/>
              <w:bidi w:val="0"/>
              <w:rPr>
                <w:rFonts w:hint="default" w:ascii="Times New Roman" w:hAnsi="Times New Roman" w:eastAsia="宋体" w:cs="Times New Roman"/>
                <w:color w:val="auto"/>
                <w:highlight w:val="none"/>
              </w:rPr>
            </w:pPr>
          </w:p>
        </w:tc>
        <w:tc>
          <w:tcPr>
            <w:tcW w:w="1680" w:type="dxa"/>
            <w:tcBorders>
              <w:top w:val="single" w:color="000000" w:sz="4" w:space="0"/>
            </w:tcBorders>
            <w:noWrap w:val="0"/>
            <w:vAlign w:val="center"/>
          </w:tcPr>
          <w:p w14:paraId="30B8D08D">
            <w:pPr>
              <w:pStyle w:val="8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泵连接管泄漏</w:t>
            </w:r>
          </w:p>
        </w:tc>
        <w:tc>
          <w:tcPr>
            <w:tcW w:w="1605" w:type="dxa"/>
            <w:tcBorders>
              <w:top w:val="single" w:color="000000" w:sz="4" w:space="0"/>
            </w:tcBorders>
            <w:noWrap w:val="0"/>
            <w:vAlign w:val="center"/>
          </w:tcPr>
          <w:p w14:paraId="25E5F9F1">
            <w:pPr>
              <w:pStyle w:val="86"/>
              <w:bidi w:val="0"/>
              <w:ind w:firstLine="0" w:firstLineChars="0"/>
              <w:rPr>
                <w:rFonts w:hint="default" w:ascii="Times New Roman" w:hAnsi="Times New Roman" w:eastAsia="宋体" w:cs="Times New Roman"/>
                <w:color w:val="auto"/>
                <w:kern w:val="2"/>
                <w:sz w:val="21"/>
                <w:szCs w:val="28"/>
                <w:highlight w:val="none"/>
                <w:lang w:val="en-US" w:eastAsia="zh-CN" w:bidi="ar-SA"/>
              </w:rPr>
            </w:pPr>
            <w:r>
              <w:rPr>
                <w:rFonts w:hint="default" w:ascii="Times New Roman" w:hAnsi="Times New Roman" w:eastAsia="宋体" w:cs="Times New Roman"/>
                <w:color w:val="auto"/>
                <w:highlight w:val="none"/>
                <w:lang w:val="en-US" w:eastAsia="zh-CN"/>
              </w:rPr>
              <w:t>正己烷</w:t>
            </w:r>
          </w:p>
        </w:tc>
        <w:tc>
          <w:tcPr>
            <w:tcW w:w="1965" w:type="dxa"/>
            <w:tcBorders>
              <w:top w:val="single" w:color="000000" w:sz="4" w:space="0"/>
            </w:tcBorders>
            <w:noWrap w:val="0"/>
            <w:vAlign w:val="center"/>
          </w:tcPr>
          <w:p w14:paraId="743C4C96">
            <w:pPr>
              <w:pStyle w:val="86"/>
              <w:bidi w:val="0"/>
              <w:ind w:firstLine="0" w:firstLineChars="0"/>
              <w:rPr>
                <w:rFonts w:hint="default" w:ascii="Times New Roman" w:hAnsi="Times New Roman" w:eastAsia="宋体" w:cs="Times New Roman"/>
                <w:color w:val="auto"/>
                <w:kern w:val="2"/>
                <w:sz w:val="21"/>
                <w:szCs w:val="28"/>
                <w:highlight w:val="none"/>
                <w:lang w:val="en-US" w:eastAsia="zh-CN" w:bidi="ar-SA"/>
              </w:rPr>
            </w:pPr>
            <w:r>
              <w:rPr>
                <w:rFonts w:hint="default" w:ascii="Times New Roman" w:hAnsi="Times New Roman" w:eastAsia="宋体" w:cs="Times New Roman"/>
                <w:color w:val="auto"/>
                <w:highlight w:val="none"/>
              </w:rPr>
              <w:t>操作不当、腐蚀</w:t>
            </w:r>
          </w:p>
        </w:tc>
        <w:tc>
          <w:tcPr>
            <w:tcW w:w="1702" w:type="dxa"/>
            <w:tcBorders>
              <w:top w:val="single" w:color="000000" w:sz="4" w:space="0"/>
            </w:tcBorders>
            <w:noWrap w:val="0"/>
            <w:vAlign w:val="center"/>
          </w:tcPr>
          <w:p w14:paraId="176167B8">
            <w:pPr>
              <w:pStyle w:val="8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.00×10</w:t>
            </w:r>
            <w:r>
              <w:rPr>
                <w:rFonts w:hint="default" w:ascii="Times New Roman" w:hAnsi="Times New Roman" w:eastAsia="宋体" w:cs="Times New Roman"/>
                <w:color w:val="auto"/>
                <w:highlight w:val="none"/>
                <w:vertAlign w:val="superscript"/>
              </w:rPr>
              <w:t>-4</w:t>
            </w:r>
          </w:p>
        </w:tc>
      </w:tr>
    </w:tbl>
    <w:p w14:paraId="551B5424">
      <w:pPr>
        <w:pageBreakBefore w:val="0"/>
        <w:widowControl w:val="0"/>
        <w:shd w:val="clear"/>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事故源项设定原则如下：</w:t>
      </w:r>
    </w:p>
    <w:p w14:paraId="285EAC1F">
      <w:pPr>
        <w:pageBreakBefore w:val="0"/>
        <w:widowControl w:val="0"/>
        <w:shd w:val="clear"/>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（1）由于项目优化调整初步设计资料已提供了装置中各类物料的流量、压力、温度等具体数据，因此本次风险评价事故源项分析中，装置各类管线有毒有害物质泄漏量首先依据初步设计中相关参数确定；</w:t>
      </w:r>
    </w:p>
    <w:p w14:paraId="372899B4">
      <w:pPr>
        <w:pageBreakBefore w:val="0"/>
        <w:widowControl w:val="0"/>
        <w:shd w:val="clear"/>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（2）储运系统罐区物料泄漏，则采用风险导推荐方法计算其液体泄漏速率和泄漏液体蒸发量等参数；</w:t>
      </w:r>
    </w:p>
    <w:p w14:paraId="3BAC9278">
      <w:pPr>
        <w:pageBreakBefore w:val="0"/>
        <w:widowControl w:val="0"/>
        <w:shd w:val="clear"/>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（3）物质泄漏时间考虑，在有正常控制措施条件下，设置紧急隔离系统单元，泄漏时间可设定为10min；</w:t>
      </w:r>
    </w:p>
    <w:p w14:paraId="71D0402E">
      <w:pPr>
        <w:pageBreakBefore w:val="0"/>
        <w:widowControl w:val="0"/>
        <w:shd w:val="clear"/>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（4）泄漏物质形成的液池面积以不超过泄漏单元的围堰（堤）内面积计。</w:t>
      </w:r>
    </w:p>
    <w:p w14:paraId="36516BFE">
      <w:pPr>
        <w:pageBreakBefore w:val="0"/>
        <w:widowControl w:val="0"/>
        <w:shd w:val="clear"/>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本次评价对正己烷泄漏事故对地表水影响等进行分析；对以下最大可信事故进行风险预测。</w:t>
      </w:r>
    </w:p>
    <w:p w14:paraId="7C7098B1">
      <w:pPr>
        <w:pageBreakBefore w:val="0"/>
        <w:widowControl w:val="0"/>
        <w:shd w:val="clear"/>
        <w:kinsoku/>
        <w:wordWrap/>
        <w:overflowPunct/>
        <w:topLinePunct w:val="0"/>
        <w:autoSpaceDE/>
        <w:autoSpaceDN/>
        <w:bidi w:val="0"/>
        <w:adjustRightInd w:val="0"/>
        <w:snapToGrid w:val="0"/>
        <w:spacing w:line="360" w:lineRule="auto"/>
        <w:ind w:left="0" w:leftChars="0" w:right="0" w:rightChars="0" w:firstLine="0" w:firstLineChars="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5.2.2正己烷泄漏源项分析</w:t>
      </w:r>
    </w:p>
    <w:p w14:paraId="107AED5D">
      <w:pPr>
        <w:pageBreakBefore w:val="0"/>
        <w:widowControl w:val="0"/>
        <w:shd w:val="clear"/>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（1）储罐泄漏</w:t>
      </w:r>
    </w:p>
    <w:p w14:paraId="172F847A">
      <w:pPr>
        <w:pageBreakBefore w:val="0"/>
        <w:widowControl w:val="0"/>
        <w:shd w:val="clear"/>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项目厂区设2个60m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正己烷储存罐、发生泄漏后的液体将在围堰内形成液池，并向空气中蒸发。假定最大可信事故为正己烷储存罐发生破裂造成液体泄漏，破裂孔径为10mm，罐内正己烷泄漏后，安全系统报警。根据《建设项目环境风险评价技术导则》（HJ 169-2018）中8.2.2.1 物质泄漏量的计算“泄漏时间应结合建设项目探测和隔离系统的设计原则确定。一般情况下，设置紧急隔离系统的单元，泄漏时间可设定为 10 min；未设置紧急隔离系统的单元，泄漏时间可设定为 30 min。”本项目正己烷储罐区设置紧急隔离系统，操作人员在10min内使正己烷泄漏得到制止，并采取有效的收集措施，将围堰内正己烷泵入正己烷储罐内。</w:t>
      </w:r>
    </w:p>
    <w:p w14:paraId="6468077A">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①泄漏速率</w:t>
      </w:r>
    </w:p>
    <w:p w14:paraId="3AB1DE41">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泄漏为液体泄漏，泄漏量按照《建设项目环境风险评价技术导则》</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HJ169-2018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推荐的公式进行，</w:t>
      </w:r>
      <w:r>
        <w:rPr>
          <w:rFonts w:hint="default" w:ascii="Times New Roman" w:hAnsi="Times New Roman" w:cs="Times New Roman"/>
          <w:color w:val="auto"/>
          <w:sz w:val="24"/>
          <w:szCs w:val="24"/>
          <w:highlight w:val="none"/>
          <w:lang w:eastAsia="zh-CN"/>
        </w:rPr>
        <w:t>计算公式</w:t>
      </w:r>
      <w:r>
        <w:rPr>
          <w:rFonts w:hint="default" w:ascii="Times New Roman" w:hAnsi="Times New Roman" w:eastAsia="宋体" w:cs="Times New Roman"/>
          <w:color w:val="auto"/>
          <w:sz w:val="24"/>
          <w:szCs w:val="24"/>
          <w:highlight w:val="none"/>
        </w:rPr>
        <w:t>如下：</w:t>
      </w:r>
    </w:p>
    <w:p w14:paraId="4CF987A4">
      <w:pPr>
        <w:pStyle w:val="87"/>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object>
          <v:shape id="_x0000_i1032" o:spt="75" type="#_x0000_t75" style="height:36.75pt;width:143.25pt;" o:ole="t" filled="f" o:preferrelative="t" stroked="f" coordsize="21600,21600">
            <v:path/>
            <v:fill on="f" focussize="0,0"/>
            <v:stroke on="f"/>
            <v:imagedata r:id="rId79" o:title=""/>
            <o:lock v:ext="edit" aspectratio="t"/>
            <w10:wrap type="none"/>
            <w10:anchorlock/>
          </v:shape>
          <o:OLEObject Type="Embed" ProgID="" ShapeID="_x0000_i1032" DrawAspect="Content" ObjectID="_1468075731" r:id="rId78">
            <o:LockedField>false</o:LockedField>
          </o:OLEObject>
        </w:object>
      </w:r>
    </w:p>
    <w:p w14:paraId="60C03218">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式中：QL——液体泄漏速度，kg/s；</w:t>
      </w:r>
    </w:p>
    <w:p w14:paraId="3E788AE6">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Cd——液体泄漏系数，取0.65；</w:t>
      </w:r>
    </w:p>
    <w:p w14:paraId="143FA528">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A——裂口面积，m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取7.85×10</w:t>
      </w:r>
      <w:r>
        <w:rPr>
          <w:rFonts w:hint="default" w:ascii="Times New Roman" w:hAnsi="Times New Roman" w:eastAsia="宋体" w:cs="Times New Roman"/>
          <w:color w:val="auto"/>
          <w:sz w:val="24"/>
          <w:szCs w:val="24"/>
          <w:highlight w:val="none"/>
          <w:vertAlign w:val="superscript"/>
        </w:rPr>
        <w:t>-5</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p>
    <w:p w14:paraId="39DE4428">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P——容器内介质压力，取环境压力P</w:t>
      </w:r>
      <w:r>
        <w:rPr>
          <w:rFonts w:hint="default" w:ascii="Times New Roman" w:hAnsi="Times New Roman" w:eastAsia="宋体" w:cs="Times New Roman"/>
          <w:color w:val="auto"/>
          <w:sz w:val="24"/>
          <w:szCs w:val="24"/>
          <w:highlight w:val="none"/>
          <w:vertAlign w:val="subscript"/>
          <w:lang w:val="en-US" w:eastAsia="zh-CN"/>
        </w:rPr>
        <w:t>0</w:t>
      </w:r>
      <w:r>
        <w:rPr>
          <w:rFonts w:hint="default" w:ascii="Times New Roman" w:hAnsi="Times New Roman" w:eastAsia="宋体" w:cs="Times New Roman"/>
          <w:color w:val="auto"/>
          <w:sz w:val="24"/>
          <w:szCs w:val="24"/>
          <w:highlight w:val="none"/>
        </w:rPr>
        <w:t>；</w:t>
      </w:r>
    </w:p>
    <w:p w14:paraId="782A7E66">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P0——环境压力，Pa；</w:t>
      </w:r>
    </w:p>
    <w:p w14:paraId="744F876B">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g——重力加速度，9.81m/s</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w:t>
      </w:r>
    </w:p>
    <w:p w14:paraId="3C906B10">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h——裂口之上液位高度，m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储存槽取</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p>
    <w:p w14:paraId="234BE69B">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ρ——泄漏液体密度，kg/m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取</w:t>
      </w:r>
      <w:r>
        <w:rPr>
          <w:rFonts w:hint="default" w:ascii="Times New Roman" w:hAnsi="Times New Roman" w:eastAsia="宋体" w:cs="Times New Roman"/>
          <w:color w:val="auto"/>
          <w:sz w:val="24"/>
          <w:szCs w:val="24"/>
          <w:highlight w:val="none"/>
          <w:lang w:val="en-US" w:eastAsia="zh-CN"/>
        </w:rPr>
        <w:t>6</w:t>
      </w:r>
      <w:r>
        <w:rPr>
          <w:rFonts w:hint="default" w:ascii="Times New Roman" w:hAnsi="Times New Roman" w:cs="Times New Roman"/>
          <w:color w:val="auto"/>
          <w:sz w:val="24"/>
          <w:szCs w:val="24"/>
          <w:highlight w:val="none"/>
          <w:lang w:val="en-US" w:eastAsia="zh-CN"/>
        </w:rPr>
        <w:t>60</w:t>
      </w:r>
      <w:r>
        <w:rPr>
          <w:rFonts w:hint="default" w:ascii="Times New Roman" w:hAnsi="Times New Roman" w:eastAsia="宋体" w:cs="Times New Roman"/>
          <w:color w:val="auto"/>
          <w:sz w:val="24"/>
          <w:szCs w:val="24"/>
          <w:highlight w:val="none"/>
        </w:rPr>
        <w:t>kg/m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p>
    <w:p w14:paraId="16EFCF60">
      <w:pPr>
        <w:pStyle w:val="83"/>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表</w:t>
      </w:r>
      <w:r>
        <w:rPr>
          <w:rFonts w:hint="default" w:ascii="Times New Roman" w:hAnsi="Times New Roman" w:eastAsia="宋体" w:cs="Times New Roman"/>
          <w:color w:val="auto"/>
          <w:sz w:val="24"/>
          <w:szCs w:val="28"/>
          <w:highlight w:val="none"/>
          <w:lang w:val="en-US" w:eastAsia="zh-CN"/>
        </w:rPr>
        <w:t>5-3</w:t>
      </w:r>
      <w:r>
        <w:rPr>
          <w:rFonts w:hint="default" w:ascii="Times New Roman" w:hAnsi="Times New Roman" w:eastAsia="宋体" w:cs="Times New Roman"/>
          <w:color w:val="auto"/>
          <w:sz w:val="24"/>
          <w:szCs w:val="28"/>
          <w:highlight w:val="none"/>
        </w:rPr>
        <w:t xml:space="preserve"> 液体泄漏系数（Cd）</w:t>
      </w:r>
    </w:p>
    <w:tbl>
      <w:tblPr>
        <w:tblStyle w:val="29"/>
        <w:tblW w:w="905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48"/>
        <w:gridCol w:w="2299"/>
        <w:gridCol w:w="2248"/>
        <w:gridCol w:w="2364"/>
      </w:tblGrid>
      <w:tr w14:paraId="1F227B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48" w:type="dxa"/>
            <w:vMerge w:val="restart"/>
            <w:tcBorders>
              <w:tl2br w:val="nil"/>
              <w:tr2bl w:val="nil"/>
            </w:tcBorders>
            <w:noWrap w:val="0"/>
            <w:vAlign w:val="center"/>
          </w:tcPr>
          <w:p w14:paraId="2AE1B24E">
            <w:pPr>
              <w:pStyle w:val="86"/>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雷诺数 Re</w:t>
            </w:r>
          </w:p>
        </w:tc>
        <w:tc>
          <w:tcPr>
            <w:tcW w:w="6911" w:type="dxa"/>
            <w:gridSpan w:val="3"/>
            <w:tcBorders>
              <w:tl2br w:val="nil"/>
              <w:tr2bl w:val="nil"/>
            </w:tcBorders>
            <w:noWrap w:val="0"/>
            <w:vAlign w:val="center"/>
          </w:tcPr>
          <w:p w14:paraId="77C4C8DA">
            <w:pPr>
              <w:pStyle w:val="86"/>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裂口形状</w:t>
            </w:r>
          </w:p>
        </w:tc>
      </w:tr>
      <w:tr w14:paraId="4F3856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48" w:type="dxa"/>
            <w:vMerge w:val="continue"/>
            <w:tcBorders>
              <w:tl2br w:val="nil"/>
              <w:tr2bl w:val="nil"/>
            </w:tcBorders>
            <w:noWrap w:val="0"/>
            <w:vAlign w:val="center"/>
          </w:tcPr>
          <w:p w14:paraId="520BAEB0">
            <w:pPr>
              <w:pStyle w:val="86"/>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p>
        </w:tc>
        <w:tc>
          <w:tcPr>
            <w:tcW w:w="2299" w:type="dxa"/>
            <w:tcBorders>
              <w:tl2br w:val="nil"/>
              <w:tr2bl w:val="nil"/>
            </w:tcBorders>
            <w:noWrap w:val="0"/>
            <w:vAlign w:val="center"/>
          </w:tcPr>
          <w:p w14:paraId="2E6D324E">
            <w:pPr>
              <w:pStyle w:val="86"/>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圆形（多边形）</w:t>
            </w:r>
          </w:p>
        </w:tc>
        <w:tc>
          <w:tcPr>
            <w:tcW w:w="2248" w:type="dxa"/>
            <w:tcBorders>
              <w:tl2br w:val="nil"/>
              <w:tr2bl w:val="nil"/>
            </w:tcBorders>
            <w:noWrap w:val="0"/>
            <w:vAlign w:val="center"/>
          </w:tcPr>
          <w:p w14:paraId="6663731C">
            <w:pPr>
              <w:pStyle w:val="86"/>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三角形</w:t>
            </w:r>
          </w:p>
        </w:tc>
        <w:tc>
          <w:tcPr>
            <w:tcW w:w="2364" w:type="dxa"/>
            <w:tcBorders>
              <w:tl2br w:val="nil"/>
              <w:tr2bl w:val="nil"/>
            </w:tcBorders>
            <w:noWrap w:val="0"/>
            <w:vAlign w:val="center"/>
          </w:tcPr>
          <w:p w14:paraId="0F3E87AC">
            <w:pPr>
              <w:pStyle w:val="86"/>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长方形</w:t>
            </w:r>
          </w:p>
        </w:tc>
      </w:tr>
      <w:tr w14:paraId="6CF975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48" w:type="dxa"/>
            <w:tcBorders>
              <w:tl2br w:val="nil"/>
              <w:tr2bl w:val="nil"/>
            </w:tcBorders>
            <w:noWrap w:val="0"/>
            <w:vAlign w:val="center"/>
          </w:tcPr>
          <w:p w14:paraId="6E56E092">
            <w:pPr>
              <w:pStyle w:val="86"/>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&gt;</w:t>
            </w:r>
            <w:r>
              <w:rPr>
                <w:rFonts w:hint="default" w:ascii="Times New Roman" w:hAnsi="Times New Roman" w:eastAsia="宋体" w:cs="Times New Roman"/>
                <w:color w:val="auto"/>
                <w:highlight w:val="none"/>
              </w:rPr>
              <w:t>100</w:t>
            </w:r>
          </w:p>
        </w:tc>
        <w:tc>
          <w:tcPr>
            <w:tcW w:w="2299" w:type="dxa"/>
            <w:tcBorders>
              <w:tl2br w:val="nil"/>
              <w:tr2bl w:val="nil"/>
            </w:tcBorders>
            <w:noWrap w:val="0"/>
            <w:vAlign w:val="center"/>
          </w:tcPr>
          <w:p w14:paraId="5FE4A458">
            <w:pPr>
              <w:pStyle w:val="86"/>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0.65</w:t>
            </w:r>
          </w:p>
        </w:tc>
        <w:tc>
          <w:tcPr>
            <w:tcW w:w="2248" w:type="dxa"/>
            <w:tcBorders>
              <w:tl2br w:val="nil"/>
              <w:tr2bl w:val="nil"/>
            </w:tcBorders>
            <w:noWrap w:val="0"/>
            <w:vAlign w:val="center"/>
          </w:tcPr>
          <w:p w14:paraId="28877937">
            <w:pPr>
              <w:pStyle w:val="86"/>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0.60</w:t>
            </w:r>
          </w:p>
        </w:tc>
        <w:tc>
          <w:tcPr>
            <w:tcW w:w="2364" w:type="dxa"/>
            <w:tcBorders>
              <w:tl2br w:val="nil"/>
              <w:tr2bl w:val="nil"/>
            </w:tcBorders>
            <w:noWrap w:val="0"/>
            <w:vAlign w:val="center"/>
          </w:tcPr>
          <w:p w14:paraId="7799C8FB">
            <w:pPr>
              <w:pStyle w:val="86"/>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0.55</w:t>
            </w:r>
          </w:p>
        </w:tc>
      </w:tr>
      <w:tr w14:paraId="5DD7FD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48" w:type="dxa"/>
            <w:tcBorders>
              <w:tl2br w:val="nil"/>
              <w:tr2bl w:val="nil"/>
            </w:tcBorders>
            <w:noWrap w:val="0"/>
            <w:vAlign w:val="center"/>
          </w:tcPr>
          <w:p w14:paraId="5BBA0F5B">
            <w:pPr>
              <w:pStyle w:val="86"/>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w:t>
            </w:r>
          </w:p>
        </w:tc>
        <w:tc>
          <w:tcPr>
            <w:tcW w:w="2299" w:type="dxa"/>
            <w:tcBorders>
              <w:tl2br w:val="nil"/>
              <w:tr2bl w:val="nil"/>
            </w:tcBorders>
            <w:noWrap w:val="0"/>
            <w:vAlign w:val="center"/>
          </w:tcPr>
          <w:p w14:paraId="398FCB1E">
            <w:pPr>
              <w:pStyle w:val="86"/>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0.50</w:t>
            </w:r>
          </w:p>
        </w:tc>
        <w:tc>
          <w:tcPr>
            <w:tcW w:w="2248" w:type="dxa"/>
            <w:tcBorders>
              <w:tl2br w:val="nil"/>
              <w:tr2bl w:val="nil"/>
            </w:tcBorders>
            <w:noWrap w:val="0"/>
            <w:vAlign w:val="center"/>
          </w:tcPr>
          <w:p w14:paraId="641B0456">
            <w:pPr>
              <w:pStyle w:val="86"/>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0.45</w:t>
            </w:r>
          </w:p>
        </w:tc>
        <w:tc>
          <w:tcPr>
            <w:tcW w:w="2364" w:type="dxa"/>
            <w:tcBorders>
              <w:tl2br w:val="nil"/>
              <w:tr2bl w:val="nil"/>
            </w:tcBorders>
            <w:noWrap w:val="0"/>
            <w:vAlign w:val="center"/>
          </w:tcPr>
          <w:p w14:paraId="3261301A">
            <w:pPr>
              <w:pStyle w:val="86"/>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0.40</w:t>
            </w:r>
          </w:p>
        </w:tc>
      </w:tr>
    </w:tbl>
    <w:p w14:paraId="5BF4D9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b/>
          <w:color w:val="auto"/>
          <w:sz w:val="24"/>
          <w:szCs w:val="24"/>
          <w:highlight w:val="none"/>
          <w:lang w:val="en-US" w:eastAsia="zh-CN"/>
        </w:rPr>
        <w:t>表5-4 正己烷发生泄漏事故时泄漏物源强</w:t>
      </w:r>
    </w:p>
    <w:tbl>
      <w:tblPr>
        <w:tblStyle w:val="3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22"/>
        <w:gridCol w:w="1382"/>
        <w:gridCol w:w="1504"/>
        <w:gridCol w:w="1504"/>
        <w:gridCol w:w="1505"/>
        <w:gridCol w:w="1504"/>
      </w:tblGrid>
      <w:tr w14:paraId="157D55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22" w:type="dxa"/>
            <w:tcBorders>
              <w:tl2br w:val="nil"/>
              <w:tr2bl w:val="nil"/>
            </w:tcBorders>
            <w:noWrap w:val="0"/>
            <w:vAlign w:val="top"/>
          </w:tcPr>
          <w:p w14:paraId="5A25EF76">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发生事故装置</w:t>
            </w:r>
          </w:p>
        </w:tc>
        <w:tc>
          <w:tcPr>
            <w:tcW w:w="1382" w:type="dxa"/>
            <w:tcBorders>
              <w:tl2br w:val="nil"/>
              <w:tr2bl w:val="nil"/>
            </w:tcBorders>
            <w:noWrap w:val="0"/>
            <w:vAlign w:val="top"/>
          </w:tcPr>
          <w:p w14:paraId="56B50B07">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事故类型</w:t>
            </w:r>
          </w:p>
        </w:tc>
        <w:tc>
          <w:tcPr>
            <w:tcW w:w="1504" w:type="dxa"/>
            <w:tcBorders>
              <w:tl2br w:val="nil"/>
              <w:tr2bl w:val="nil"/>
            </w:tcBorders>
            <w:noWrap w:val="0"/>
            <w:vAlign w:val="top"/>
          </w:tcPr>
          <w:p w14:paraId="206326D7">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泄漏速率</w:t>
            </w:r>
          </w:p>
        </w:tc>
        <w:tc>
          <w:tcPr>
            <w:tcW w:w="1504" w:type="dxa"/>
            <w:tcBorders>
              <w:tl2br w:val="nil"/>
              <w:tr2bl w:val="nil"/>
            </w:tcBorders>
            <w:noWrap w:val="0"/>
            <w:vAlign w:val="top"/>
          </w:tcPr>
          <w:p w14:paraId="6FE083D7">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持续时间</w:t>
            </w:r>
          </w:p>
        </w:tc>
        <w:tc>
          <w:tcPr>
            <w:tcW w:w="1505" w:type="dxa"/>
            <w:tcBorders>
              <w:tl2br w:val="nil"/>
              <w:tr2bl w:val="nil"/>
            </w:tcBorders>
            <w:noWrap w:val="0"/>
            <w:vAlign w:val="top"/>
          </w:tcPr>
          <w:p w14:paraId="361701CB">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泄漏总量</w:t>
            </w:r>
          </w:p>
        </w:tc>
        <w:tc>
          <w:tcPr>
            <w:tcW w:w="1504" w:type="dxa"/>
            <w:tcBorders>
              <w:tl2br w:val="nil"/>
              <w:tr2bl w:val="nil"/>
            </w:tcBorders>
            <w:noWrap w:val="0"/>
            <w:vAlign w:val="top"/>
          </w:tcPr>
          <w:p w14:paraId="5171A93E">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泄漏高度</w:t>
            </w:r>
          </w:p>
        </w:tc>
      </w:tr>
      <w:tr w14:paraId="5841D4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22" w:type="dxa"/>
            <w:tcBorders>
              <w:tl2br w:val="nil"/>
              <w:tr2bl w:val="nil"/>
            </w:tcBorders>
            <w:noWrap w:val="0"/>
            <w:vAlign w:val="top"/>
          </w:tcPr>
          <w:p w14:paraId="43E18640">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正己烷</w:t>
            </w:r>
          </w:p>
        </w:tc>
        <w:tc>
          <w:tcPr>
            <w:tcW w:w="1382" w:type="dxa"/>
            <w:tcBorders>
              <w:tl2br w:val="nil"/>
              <w:tr2bl w:val="nil"/>
            </w:tcBorders>
            <w:noWrap w:val="0"/>
            <w:vAlign w:val="top"/>
          </w:tcPr>
          <w:p w14:paraId="00791956">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泄漏</w:t>
            </w:r>
          </w:p>
        </w:tc>
        <w:tc>
          <w:tcPr>
            <w:tcW w:w="1504" w:type="dxa"/>
            <w:tcBorders>
              <w:tl2br w:val="nil"/>
              <w:tr2bl w:val="nil"/>
            </w:tcBorders>
            <w:noWrap w:val="0"/>
            <w:vAlign w:val="top"/>
          </w:tcPr>
          <w:p w14:paraId="2193DD26">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0.150</w:t>
            </w:r>
            <w:r>
              <w:rPr>
                <w:rFonts w:hint="default" w:ascii="Times New Roman" w:hAnsi="Times New Roman" w:eastAsia="宋体" w:cs="Times New Roman"/>
                <w:color w:val="auto"/>
                <w:sz w:val="21"/>
                <w:szCs w:val="21"/>
                <w:highlight w:val="none"/>
                <w:lang w:val="en-US" w:eastAsia="zh-CN"/>
              </w:rPr>
              <w:t>kg/s</w:t>
            </w:r>
          </w:p>
        </w:tc>
        <w:tc>
          <w:tcPr>
            <w:tcW w:w="1504" w:type="dxa"/>
            <w:tcBorders>
              <w:tl2br w:val="nil"/>
              <w:tr2bl w:val="nil"/>
            </w:tcBorders>
            <w:noWrap w:val="0"/>
            <w:vAlign w:val="top"/>
          </w:tcPr>
          <w:p w14:paraId="7A459399">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10min</w:t>
            </w:r>
          </w:p>
        </w:tc>
        <w:tc>
          <w:tcPr>
            <w:tcW w:w="1505" w:type="dxa"/>
            <w:tcBorders>
              <w:tl2br w:val="nil"/>
              <w:tr2bl w:val="nil"/>
            </w:tcBorders>
            <w:noWrap w:val="0"/>
            <w:vAlign w:val="top"/>
          </w:tcPr>
          <w:p w14:paraId="25FE7BFA">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90kg</w:t>
            </w:r>
          </w:p>
        </w:tc>
        <w:tc>
          <w:tcPr>
            <w:tcW w:w="1504" w:type="dxa"/>
            <w:tcBorders>
              <w:tl2br w:val="nil"/>
              <w:tr2bl w:val="nil"/>
            </w:tcBorders>
            <w:noWrap w:val="0"/>
            <w:vAlign w:val="top"/>
          </w:tcPr>
          <w:p w14:paraId="49C30B46">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1m</w:t>
            </w:r>
          </w:p>
        </w:tc>
      </w:tr>
    </w:tbl>
    <w:p w14:paraId="0071A5BD">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根据计算，</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泄漏速率为</w:t>
      </w:r>
      <w:r>
        <w:rPr>
          <w:rFonts w:hint="default" w:ascii="Times New Roman" w:hAnsi="Times New Roman" w:eastAsia="宋体" w:cs="Times New Roman"/>
          <w:color w:val="auto"/>
          <w:sz w:val="24"/>
          <w:szCs w:val="24"/>
          <w:highlight w:val="none"/>
          <w:lang w:val="en-US" w:eastAsia="zh-CN"/>
        </w:rPr>
        <w:t>0.150kg/s</w:t>
      </w:r>
      <w:r>
        <w:rPr>
          <w:rFonts w:hint="default" w:ascii="Times New Roman" w:hAnsi="Times New Roman" w:eastAsia="宋体" w:cs="Times New Roman"/>
          <w:color w:val="auto"/>
          <w:sz w:val="24"/>
          <w:szCs w:val="24"/>
          <w:highlight w:val="none"/>
        </w:rPr>
        <w:t>。</w:t>
      </w:r>
    </w:p>
    <w:p w14:paraId="4EF40E97">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②泄漏液体蒸发量</w:t>
      </w:r>
    </w:p>
    <w:p w14:paraId="6A7067E3">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泄漏液体的蒸发分为闪蒸蒸发、热量蒸发和质量蒸发三种，其蒸发总量为这三种蒸发之和。由于</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常压下沸点为</w:t>
      </w:r>
      <w:r>
        <w:rPr>
          <w:rFonts w:hint="default" w:ascii="Times New Roman" w:hAnsi="Times New Roman" w:eastAsia="宋体" w:cs="Times New Roman"/>
          <w:color w:val="auto"/>
          <w:sz w:val="24"/>
          <w:szCs w:val="24"/>
          <w:highlight w:val="none"/>
          <w:lang w:val="en-US" w:eastAsia="zh-CN"/>
        </w:rPr>
        <w:t>69</w:t>
      </w:r>
      <w:r>
        <w:rPr>
          <w:rFonts w:hint="default" w:ascii="Times New Roman" w:hAnsi="Times New Roman" w:eastAsia="宋体" w:cs="Times New Roman"/>
          <w:color w:val="auto"/>
          <w:sz w:val="24"/>
          <w:szCs w:val="24"/>
          <w:highlight w:val="none"/>
        </w:rPr>
        <w:t>℃，而本项目</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贮存罐储存温度和环境温度均不高于40℃，当液体泄漏时不发生闪蒸和热量蒸发，因此本次环境风险仅考虑质量蒸发量。</w:t>
      </w:r>
    </w:p>
    <w:p w14:paraId="57528A25">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采用以下公式计算</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的挥发量：</w:t>
      </w:r>
    </w:p>
    <w:p w14:paraId="105146B4">
      <w:pPr>
        <w:pStyle w:val="87"/>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2114550" cy="600075"/>
            <wp:effectExtent l="0" t="0" r="0" b="9525"/>
            <wp:docPr id="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5"/>
                    <pic:cNvPicPr>
                      <a:picLocks noChangeAspect="1"/>
                    </pic:cNvPicPr>
                  </pic:nvPicPr>
                  <pic:blipFill>
                    <a:blip r:embed="rId80"/>
                    <a:srcRect t="25882"/>
                    <a:stretch>
                      <a:fillRect/>
                    </a:stretch>
                  </pic:blipFill>
                  <pic:spPr>
                    <a:xfrm>
                      <a:off x="0" y="0"/>
                      <a:ext cx="2114550" cy="600075"/>
                    </a:xfrm>
                    <a:prstGeom prst="rect">
                      <a:avLst/>
                    </a:prstGeom>
                    <a:noFill/>
                    <a:ln>
                      <a:noFill/>
                    </a:ln>
                  </pic:spPr>
                </pic:pic>
              </a:graphicData>
            </a:graphic>
          </wp:inline>
        </w:drawing>
      </w:r>
    </w:p>
    <w:p w14:paraId="26EBAFE9">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lang w:val="nl-BE"/>
        </w:rPr>
      </w:pPr>
      <w:r>
        <w:rPr>
          <w:rFonts w:hint="default" w:ascii="Times New Roman" w:hAnsi="Times New Roman" w:eastAsia="宋体" w:cs="Times New Roman"/>
          <w:color w:val="auto"/>
          <w:sz w:val="24"/>
          <w:szCs w:val="24"/>
          <w:highlight w:val="none"/>
          <w:lang w:val="nl-BE"/>
        </w:rPr>
        <w:t>式中：Q</w:t>
      </w:r>
      <w:r>
        <w:rPr>
          <w:rFonts w:hint="default" w:ascii="Times New Roman" w:hAnsi="Times New Roman" w:eastAsia="宋体" w:cs="Times New Roman"/>
          <w:color w:val="auto"/>
          <w:sz w:val="24"/>
          <w:szCs w:val="24"/>
          <w:highlight w:val="none"/>
          <w:vertAlign w:val="subscript"/>
          <w:lang w:val="nl-BE"/>
        </w:rPr>
        <w:t>3</w:t>
      </w:r>
      <w:r>
        <w:rPr>
          <w:rFonts w:hint="default" w:ascii="Times New Roman" w:hAnsi="Times New Roman" w:eastAsia="宋体" w:cs="Times New Roman"/>
          <w:color w:val="auto"/>
          <w:sz w:val="24"/>
          <w:szCs w:val="24"/>
          <w:highlight w:val="none"/>
          <w:lang w:val="nl-BE"/>
        </w:rPr>
        <w:t>——质量蒸发速度，kg/s；</w:t>
      </w:r>
    </w:p>
    <w:p w14:paraId="3F9CC180">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lang w:val="nl-BE"/>
        </w:rPr>
      </w:pPr>
      <w:r>
        <w:rPr>
          <w:rFonts w:hint="default" w:ascii="Times New Roman" w:hAnsi="Times New Roman" w:eastAsia="宋体" w:cs="Times New Roman"/>
          <w:color w:val="auto"/>
          <w:sz w:val="24"/>
          <w:szCs w:val="24"/>
          <w:highlight w:val="none"/>
          <w:lang w:val="nl-BE"/>
        </w:rPr>
        <w:t xml:space="preserve">   </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color w:val="auto"/>
          <w:sz w:val="24"/>
          <w:szCs w:val="24"/>
          <w:highlight w:val="none"/>
          <w:lang w:val="nl-BE"/>
        </w:rPr>
        <w:t xml:space="preserve">  a，n——大气稳定度系数（按</w:t>
      </w:r>
      <w:r>
        <w:rPr>
          <w:rFonts w:hint="default" w:ascii="Times New Roman" w:hAnsi="Times New Roman" w:eastAsia="宋体" w:cs="Times New Roman"/>
          <w:color w:val="auto"/>
          <w:sz w:val="24"/>
          <w:szCs w:val="24"/>
          <w:highlight w:val="none"/>
          <w:lang w:val="en-US" w:eastAsia="zh-CN"/>
        </w:rPr>
        <w:t>F稳定度</w:t>
      </w:r>
      <w:r>
        <w:rPr>
          <w:rFonts w:hint="default" w:ascii="Times New Roman" w:hAnsi="Times New Roman" w:eastAsia="宋体" w:cs="Times New Roman"/>
          <w:color w:val="auto"/>
          <w:sz w:val="24"/>
          <w:szCs w:val="24"/>
          <w:highlight w:val="none"/>
          <w:lang w:val="nl-BE"/>
        </w:rPr>
        <w:t>计算，稳定时a＝5.285×10</w:t>
      </w:r>
      <w:r>
        <w:rPr>
          <w:rFonts w:hint="default" w:ascii="Times New Roman" w:hAnsi="Times New Roman" w:eastAsia="宋体" w:cs="Times New Roman"/>
          <w:color w:val="auto"/>
          <w:sz w:val="24"/>
          <w:szCs w:val="24"/>
          <w:highlight w:val="none"/>
          <w:vertAlign w:val="superscript"/>
          <w:lang w:val="nl-BE"/>
        </w:rPr>
        <w:t>-3</w:t>
      </w:r>
      <w:r>
        <w:rPr>
          <w:rFonts w:hint="default" w:ascii="Times New Roman" w:hAnsi="Times New Roman" w:eastAsia="宋体" w:cs="Times New Roman"/>
          <w:color w:val="auto"/>
          <w:sz w:val="24"/>
          <w:szCs w:val="24"/>
          <w:highlight w:val="none"/>
          <w:lang w:val="nl-BE"/>
        </w:rPr>
        <w:t>，n＝0.3）；</w:t>
      </w:r>
    </w:p>
    <w:p w14:paraId="5319159B">
      <w:pPr>
        <w:pStyle w:val="87"/>
        <w:pageBreakBefore w:val="0"/>
        <w:kinsoku/>
        <w:wordWrap/>
        <w:overflowPunct/>
        <w:topLinePunct w:val="0"/>
        <w:autoSpaceDE/>
        <w:autoSpaceDN/>
        <w:bidi w:val="0"/>
        <w:adjustRightInd w:val="0"/>
        <w:snapToGrid w:val="0"/>
        <w:spacing w:line="360" w:lineRule="auto"/>
        <w:ind w:firstLine="1200" w:firstLineChars="500"/>
        <w:textAlignment w:val="auto"/>
        <w:rPr>
          <w:rFonts w:hint="default" w:ascii="Times New Roman" w:hAnsi="Times New Roman" w:eastAsia="宋体" w:cs="Times New Roman"/>
          <w:color w:val="auto"/>
          <w:sz w:val="24"/>
          <w:szCs w:val="24"/>
          <w:highlight w:val="none"/>
          <w:lang w:val="nl-BE"/>
        </w:rPr>
      </w:pPr>
      <w:r>
        <w:rPr>
          <w:rFonts w:hint="default" w:ascii="Times New Roman" w:hAnsi="Times New Roman" w:eastAsia="宋体" w:cs="Times New Roman"/>
          <w:color w:val="auto"/>
          <w:sz w:val="24"/>
          <w:szCs w:val="24"/>
          <w:highlight w:val="none"/>
          <w:lang w:val="nl-BE"/>
        </w:rPr>
        <w:t>p——液体表面蒸气压，Pa；</w:t>
      </w:r>
      <w:r>
        <w:rPr>
          <w:rFonts w:hint="default" w:ascii="Times New Roman" w:hAnsi="Times New Roman" w:eastAsia="宋体" w:cs="Times New Roman"/>
          <w:color w:val="auto"/>
          <w:sz w:val="24"/>
          <w:szCs w:val="24"/>
          <w:highlight w:val="none"/>
          <w:lang w:val="nl-BE" w:eastAsia="zh-CN"/>
        </w:rPr>
        <w:t>（</w:t>
      </w:r>
      <w:r>
        <w:rPr>
          <w:rFonts w:hint="default" w:ascii="Times New Roman" w:hAnsi="Times New Roman" w:eastAsia="宋体" w:cs="Times New Roman"/>
          <w:color w:val="auto"/>
          <w:sz w:val="24"/>
          <w:szCs w:val="24"/>
          <w:highlight w:val="none"/>
          <w:lang w:val="nl-BE"/>
        </w:rPr>
        <w:t>25℃时，p＝12.6kpa</w:t>
      </w:r>
      <w:r>
        <w:rPr>
          <w:rFonts w:hint="default" w:ascii="Times New Roman" w:hAnsi="Times New Roman" w:eastAsia="宋体" w:cs="Times New Roman"/>
          <w:color w:val="auto"/>
          <w:sz w:val="24"/>
          <w:szCs w:val="24"/>
          <w:highlight w:val="none"/>
          <w:lang w:val="nl-BE" w:eastAsia="zh-CN"/>
        </w:rPr>
        <w:t>）</w:t>
      </w:r>
    </w:p>
    <w:p w14:paraId="26AEE9B4">
      <w:pPr>
        <w:pStyle w:val="87"/>
        <w:pageBreakBefore w:val="0"/>
        <w:kinsoku/>
        <w:wordWrap/>
        <w:overflowPunct/>
        <w:topLinePunct w:val="0"/>
        <w:autoSpaceDE/>
        <w:autoSpaceDN/>
        <w:bidi w:val="0"/>
        <w:adjustRightInd w:val="0"/>
        <w:snapToGrid w:val="0"/>
        <w:spacing w:line="360" w:lineRule="auto"/>
        <w:ind w:firstLine="1200" w:firstLineChars="500"/>
        <w:textAlignment w:val="auto"/>
        <w:rPr>
          <w:rFonts w:hint="default" w:ascii="Times New Roman" w:hAnsi="Times New Roman" w:eastAsia="宋体" w:cs="Times New Roman"/>
          <w:color w:val="auto"/>
          <w:sz w:val="24"/>
          <w:szCs w:val="24"/>
          <w:highlight w:val="none"/>
          <w:lang w:val="nl-BE"/>
        </w:rPr>
      </w:pPr>
      <w:r>
        <w:rPr>
          <w:rFonts w:hint="default" w:ascii="Times New Roman" w:hAnsi="Times New Roman" w:eastAsia="宋体" w:cs="Times New Roman"/>
          <w:color w:val="auto"/>
          <w:sz w:val="24"/>
          <w:szCs w:val="24"/>
          <w:highlight w:val="none"/>
          <w:lang w:val="nl-BE"/>
        </w:rPr>
        <w:t>R——气体常数，J/mol.K；</w:t>
      </w:r>
      <w:r>
        <w:rPr>
          <w:rFonts w:hint="default" w:ascii="Times New Roman" w:hAnsi="Times New Roman" w:eastAsia="宋体" w:cs="Times New Roman"/>
          <w:color w:val="auto"/>
          <w:sz w:val="24"/>
          <w:szCs w:val="24"/>
          <w:highlight w:val="none"/>
          <w:lang w:val="nl-BE" w:eastAsia="zh-CN"/>
        </w:rPr>
        <w:t>（</w:t>
      </w:r>
      <w:r>
        <w:rPr>
          <w:rFonts w:hint="default" w:ascii="Times New Roman" w:hAnsi="Times New Roman" w:eastAsia="宋体" w:cs="Times New Roman"/>
          <w:color w:val="auto"/>
          <w:sz w:val="24"/>
          <w:szCs w:val="24"/>
          <w:highlight w:val="none"/>
          <w:lang w:val="nl-BE"/>
        </w:rPr>
        <w:t>取值为8.31</w:t>
      </w:r>
      <w:r>
        <w:rPr>
          <w:rFonts w:hint="default" w:ascii="Times New Roman" w:hAnsi="Times New Roman" w:eastAsia="宋体" w:cs="Times New Roman"/>
          <w:color w:val="auto"/>
          <w:sz w:val="24"/>
          <w:szCs w:val="24"/>
          <w:highlight w:val="none"/>
        </w:rPr>
        <w:t>4</w:t>
      </w:r>
      <w:r>
        <w:rPr>
          <w:rFonts w:hint="default" w:ascii="Times New Roman" w:hAnsi="Times New Roman" w:eastAsia="宋体" w:cs="Times New Roman"/>
          <w:color w:val="auto"/>
          <w:sz w:val="24"/>
          <w:szCs w:val="24"/>
          <w:highlight w:val="none"/>
          <w:lang w:eastAsia="zh-CN"/>
        </w:rPr>
        <w:t>）</w:t>
      </w:r>
    </w:p>
    <w:p w14:paraId="6880AF43">
      <w:pPr>
        <w:pStyle w:val="87"/>
        <w:pageBreakBefore w:val="0"/>
        <w:kinsoku/>
        <w:wordWrap/>
        <w:overflowPunct/>
        <w:topLinePunct w:val="0"/>
        <w:autoSpaceDE/>
        <w:autoSpaceDN/>
        <w:bidi w:val="0"/>
        <w:adjustRightInd w:val="0"/>
        <w:snapToGrid w:val="0"/>
        <w:spacing w:line="360" w:lineRule="auto"/>
        <w:ind w:firstLine="1200" w:firstLineChars="500"/>
        <w:textAlignment w:val="auto"/>
        <w:rPr>
          <w:rFonts w:hint="default" w:ascii="Times New Roman" w:hAnsi="Times New Roman" w:eastAsia="宋体" w:cs="Times New Roman"/>
          <w:color w:val="auto"/>
          <w:sz w:val="24"/>
          <w:szCs w:val="24"/>
          <w:highlight w:val="none"/>
          <w:lang w:val="nl-BE"/>
        </w:rPr>
      </w:pPr>
      <w:r>
        <w:rPr>
          <w:rFonts w:hint="default" w:ascii="Times New Roman" w:hAnsi="Times New Roman" w:eastAsia="宋体" w:cs="Times New Roman"/>
          <w:color w:val="auto"/>
          <w:sz w:val="24"/>
          <w:szCs w:val="24"/>
          <w:highlight w:val="none"/>
          <w:lang w:val="nl-BE"/>
        </w:rPr>
        <w:t>T0——环境温度，K；</w:t>
      </w:r>
      <w:r>
        <w:rPr>
          <w:rFonts w:hint="default" w:ascii="Times New Roman" w:hAnsi="Times New Roman" w:eastAsia="宋体" w:cs="Times New Roman"/>
          <w:color w:val="auto"/>
          <w:sz w:val="24"/>
          <w:szCs w:val="24"/>
          <w:highlight w:val="none"/>
          <w:lang w:val="nl-BE" w:eastAsia="zh-CN"/>
        </w:rPr>
        <w:t>（</w:t>
      </w:r>
      <w:r>
        <w:rPr>
          <w:rFonts w:hint="default" w:ascii="Times New Roman" w:hAnsi="Times New Roman" w:eastAsia="宋体" w:cs="Times New Roman"/>
          <w:color w:val="auto"/>
          <w:sz w:val="24"/>
          <w:szCs w:val="24"/>
          <w:highlight w:val="none"/>
          <w:lang w:val="nl-BE"/>
        </w:rPr>
        <w:t>取值为</w:t>
      </w:r>
      <w:r>
        <w:rPr>
          <w:rFonts w:hint="default" w:ascii="Times New Roman" w:hAnsi="Times New Roman" w:eastAsia="宋体" w:cs="Times New Roman"/>
          <w:color w:val="auto"/>
          <w:sz w:val="24"/>
          <w:szCs w:val="24"/>
          <w:highlight w:val="none"/>
        </w:rPr>
        <w:t>298</w:t>
      </w:r>
      <w:r>
        <w:rPr>
          <w:rFonts w:hint="default" w:ascii="Times New Roman" w:hAnsi="Times New Roman" w:eastAsia="宋体" w:cs="Times New Roman"/>
          <w:color w:val="auto"/>
          <w:sz w:val="24"/>
          <w:szCs w:val="24"/>
          <w:highlight w:val="none"/>
          <w:lang w:eastAsia="zh-CN"/>
        </w:rPr>
        <w:t>）</w:t>
      </w:r>
    </w:p>
    <w:p w14:paraId="27412FED">
      <w:pPr>
        <w:pStyle w:val="87"/>
        <w:pageBreakBefore w:val="0"/>
        <w:kinsoku/>
        <w:wordWrap/>
        <w:overflowPunct/>
        <w:topLinePunct w:val="0"/>
        <w:autoSpaceDE/>
        <w:autoSpaceDN/>
        <w:bidi w:val="0"/>
        <w:adjustRightInd w:val="0"/>
        <w:snapToGrid w:val="0"/>
        <w:spacing w:line="360" w:lineRule="auto"/>
        <w:ind w:firstLine="1200" w:firstLineChars="500"/>
        <w:textAlignment w:val="auto"/>
        <w:rPr>
          <w:rFonts w:hint="default" w:ascii="Times New Roman" w:hAnsi="Times New Roman" w:eastAsia="宋体" w:cs="Times New Roman"/>
          <w:color w:val="auto"/>
          <w:sz w:val="24"/>
          <w:szCs w:val="24"/>
          <w:highlight w:val="none"/>
          <w:lang w:val="nl-BE"/>
        </w:rPr>
      </w:pPr>
      <w:r>
        <w:rPr>
          <w:rFonts w:hint="default" w:ascii="Times New Roman" w:hAnsi="Times New Roman" w:eastAsia="宋体" w:cs="Times New Roman"/>
          <w:color w:val="auto"/>
          <w:sz w:val="24"/>
          <w:szCs w:val="24"/>
          <w:highlight w:val="none"/>
          <w:lang w:val="nl-BE"/>
        </w:rPr>
        <w:t>r——液池半径，m；</w:t>
      </w:r>
      <w:r>
        <w:rPr>
          <w:rFonts w:hint="default" w:ascii="Times New Roman" w:hAnsi="Times New Roman" w:eastAsia="宋体" w:cs="Times New Roman"/>
          <w:color w:val="auto"/>
          <w:sz w:val="24"/>
          <w:szCs w:val="24"/>
          <w:highlight w:val="none"/>
          <w:lang w:val="nl-BE" w:eastAsia="zh-CN"/>
        </w:rPr>
        <w:t>（</w:t>
      </w:r>
      <w:r>
        <w:rPr>
          <w:rFonts w:hint="default" w:ascii="Times New Roman" w:hAnsi="Times New Roman" w:eastAsia="宋体" w:cs="Times New Roman"/>
          <w:color w:val="auto"/>
          <w:sz w:val="24"/>
          <w:szCs w:val="24"/>
          <w:highlight w:val="none"/>
          <w:lang w:val="nl-BE"/>
        </w:rPr>
        <w:t>取</w:t>
      </w:r>
      <w:r>
        <w:rPr>
          <w:rFonts w:hint="default" w:ascii="Times New Roman" w:hAnsi="Times New Roman" w:cs="Times New Roman"/>
          <w:color w:val="auto"/>
          <w:sz w:val="24"/>
          <w:szCs w:val="24"/>
          <w:highlight w:val="none"/>
          <w:lang w:val="en-US" w:eastAsia="zh-CN"/>
        </w:rPr>
        <w:t>4.4</w:t>
      </w:r>
      <w:r>
        <w:rPr>
          <w:rFonts w:hint="default" w:ascii="Times New Roman" w:hAnsi="Times New Roman" w:eastAsia="宋体" w:cs="Times New Roman"/>
          <w:color w:val="auto"/>
          <w:sz w:val="24"/>
          <w:szCs w:val="24"/>
          <w:highlight w:val="none"/>
          <w:lang w:val="nl-BE"/>
        </w:rPr>
        <w:t>m</w:t>
      </w:r>
      <w:r>
        <w:rPr>
          <w:rFonts w:hint="default" w:ascii="Times New Roman" w:hAnsi="Times New Roman" w:eastAsia="宋体" w:cs="Times New Roman"/>
          <w:color w:val="auto"/>
          <w:sz w:val="24"/>
          <w:szCs w:val="24"/>
          <w:highlight w:val="none"/>
          <w:lang w:val="nl-BE" w:eastAsia="zh-CN"/>
        </w:rPr>
        <w:t>）</w:t>
      </w:r>
    </w:p>
    <w:p w14:paraId="07629236">
      <w:pPr>
        <w:pStyle w:val="87"/>
        <w:pageBreakBefore w:val="0"/>
        <w:kinsoku/>
        <w:wordWrap/>
        <w:overflowPunct/>
        <w:topLinePunct w:val="0"/>
        <w:autoSpaceDE/>
        <w:autoSpaceDN/>
        <w:bidi w:val="0"/>
        <w:adjustRightInd w:val="0"/>
        <w:snapToGrid w:val="0"/>
        <w:spacing w:line="360" w:lineRule="auto"/>
        <w:ind w:firstLine="1200" w:firstLineChars="500"/>
        <w:textAlignment w:val="auto"/>
        <w:rPr>
          <w:rFonts w:hint="default" w:ascii="Times New Roman" w:hAnsi="Times New Roman" w:eastAsia="宋体" w:cs="Times New Roman"/>
          <w:color w:val="auto"/>
          <w:sz w:val="24"/>
          <w:szCs w:val="24"/>
          <w:highlight w:val="none"/>
          <w:lang w:val="nl-BE"/>
        </w:rPr>
      </w:pPr>
      <w:r>
        <w:rPr>
          <w:rFonts w:hint="default" w:ascii="Times New Roman" w:hAnsi="Times New Roman" w:eastAsia="宋体" w:cs="Times New Roman"/>
          <w:color w:val="auto"/>
          <w:sz w:val="24"/>
          <w:szCs w:val="24"/>
          <w:highlight w:val="none"/>
          <w:lang w:val="nl-BE"/>
        </w:rPr>
        <w:t>u——风速，m/s（取1.5m/s）；</w:t>
      </w:r>
    </w:p>
    <w:p w14:paraId="64BA21EE">
      <w:pPr>
        <w:pStyle w:val="87"/>
        <w:pageBreakBefore w:val="0"/>
        <w:kinsoku/>
        <w:wordWrap/>
        <w:overflowPunct/>
        <w:topLinePunct w:val="0"/>
        <w:autoSpaceDE/>
        <w:autoSpaceDN/>
        <w:bidi w:val="0"/>
        <w:adjustRightInd w:val="0"/>
        <w:snapToGrid w:val="0"/>
        <w:spacing w:line="360" w:lineRule="auto"/>
        <w:ind w:firstLine="1200" w:firstLineChars="500"/>
        <w:textAlignment w:val="auto"/>
        <w:rPr>
          <w:rFonts w:hint="default" w:ascii="Times New Roman" w:hAnsi="Times New Roman" w:eastAsia="宋体" w:cs="Times New Roman"/>
          <w:color w:val="auto"/>
          <w:sz w:val="24"/>
          <w:szCs w:val="24"/>
          <w:highlight w:val="none"/>
          <w:lang w:val="nl-BE"/>
        </w:rPr>
      </w:pPr>
      <w:r>
        <w:rPr>
          <w:rFonts w:hint="default" w:ascii="Times New Roman" w:hAnsi="Times New Roman" w:eastAsia="宋体" w:cs="Times New Roman"/>
          <w:color w:val="auto"/>
          <w:sz w:val="24"/>
          <w:szCs w:val="24"/>
          <w:highlight w:val="none"/>
          <w:lang w:val="nl-BE"/>
        </w:rPr>
        <w:t xml:space="preserve">M——液体摩尔质量，kg/mol </w:t>
      </w:r>
      <w:r>
        <w:rPr>
          <w:rFonts w:hint="default" w:ascii="Times New Roman" w:hAnsi="Times New Roman" w:eastAsia="宋体" w:cs="Times New Roman"/>
          <w:color w:val="auto"/>
          <w:sz w:val="24"/>
          <w:szCs w:val="24"/>
          <w:highlight w:val="none"/>
          <w:lang w:val="nl-BE" w:eastAsia="zh-CN"/>
        </w:rPr>
        <w:t>（</w:t>
      </w:r>
      <w:r>
        <w:rPr>
          <w:rFonts w:hint="default" w:ascii="Times New Roman" w:hAnsi="Times New Roman" w:eastAsia="宋体" w:cs="Times New Roman"/>
          <w:color w:val="auto"/>
          <w:sz w:val="24"/>
          <w:szCs w:val="24"/>
          <w:highlight w:val="none"/>
          <w:lang w:val="en-US" w:eastAsia="zh-CN"/>
        </w:rPr>
        <w:t>取 0.0</w:t>
      </w:r>
      <w:r>
        <w:rPr>
          <w:rFonts w:hint="default" w:ascii="Times New Roman" w:hAnsi="Times New Roman" w:cs="Times New Roman"/>
          <w:color w:val="auto"/>
          <w:sz w:val="24"/>
          <w:szCs w:val="24"/>
          <w:highlight w:val="none"/>
          <w:lang w:val="en-US" w:eastAsia="zh-CN"/>
        </w:rPr>
        <w:t>862</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nl-BE"/>
        </w:rPr>
        <w:t>。</w:t>
      </w:r>
    </w:p>
    <w:p w14:paraId="19008E91">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lang w:val="nl-BE"/>
        </w:rPr>
      </w:pPr>
      <w:r>
        <w:rPr>
          <w:rFonts w:hint="default" w:ascii="Times New Roman" w:hAnsi="Times New Roman" w:eastAsia="宋体" w:cs="Times New Roman"/>
          <w:color w:val="auto"/>
          <w:sz w:val="24"/>
          <w:szCs w:val="24"/>
          <w:highlight w:val="none"/>
          <w:lang w:val="nl-BE"/>
        </w:rPr>
        <w:t>根据以上公式计算出本项目</w:t>
      </w:r>
      <w:r>
        <w:rPr>
          <w:rFonts w:hint="default" w:ascii="Times New Roman" w:hAnsi="Times New Roman" w:eastAsia="宋体" w:cs="Times New Roman"/>
          <w:color w:val="auto"/>
          <w:sz w:val="24"/>
          <w:szCs w:val="24"/>
          <w:highlight w:val="none"/>
          <w:lang w:val="en-US" w:eastAsia="zh-CN"/>
        </w:rPr>
        <w:t>F</w:t>
      </w:r>
      <w:r>
        <w:rPr>
          <w:rFonts w:hint="default" w:ascii="Times New Roman" w:hAnsi="Times New Roman" w:eastAsia="宋体" w:cs="Times New Roman"/>
          <w:color w:val="auto"/>
          <w:sz w:val="24"/>
          <w:szCs w:val="24"/>
          <w:highlight w:val="none"/>
          <w:lang w:val="nl-BE"/>
        </w:rPr>
        <w:t>稳定度下</w:t>
      </w:r>
      <w:r>
        <w:rPr>
          <w:rFonts w:hint="default" w:ascii="Times New Roman" w:hAnsi="Times New Roman" w:eastAsia="宋体" w:cs="Times New Roman"/>
          <w:color w:val="auto"/>
          <w:sz w:val="24"/>
          <w:szCs w:val="24"/>
          <w:highlight w:val="none"/>
          <w:lang w:val="en-US" w:eastAsia="zh-CN"/>
        </w:rPr>
        <w:t>正己烷储罐</w:t>
      </w:r>
      <w:r>
        <w:rPr>
          <w:rFonts w:hint="default" w:ascii="Times New Roman" w:hAnsi="Times New Roman" w:eastAsia="宋体" w:cs="Times New Roman"/>
          <w:color w:val="auto"/>
          <w:sz w:val="24"/>
          <w:szCs w:val="24"/>
          <w:highlight w:val="none"/>
          <w:lang w:val="nl-BE"/>
        </w:rPr>
        <w:t>泄漏时</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lang w:val="nl-BE"/>
        </w:rPr>
        <w:t>的排放率见</w:t>
      </w:r>
      <w:r>
        <w:rPr>
          <w:rFonts w:hint="default" w:ascii="Times New Roman" w:hAnsi="Times New Roman" w:eastAsia="宋体" w:cs="Times New Roman"/>
          <w:color w:val="auto"/>
          <w:sz w:val="24"/>
          <w:szCs w:val="24"/>
          <w:highlight w:val="none"/>
          <w:lang w:val="en-US" w:eastAsia="zh-CN"/>
        </w:rPr>
        <w:t>下表</w:t>
      </w:r>
      <w:r>
        <w:rPr>
          <w:rFonts w:hint="default" w:ascii="Times New Roman" w:hAnsi="Times New Roman" w:eastAsia="宋体" w:cs="Times New Roman"/>
          <w:color w:val="auto"/>
          <w:sz w:val="24"/>
          <w:szCs w:val="24"/>
          <w:highlight w:val="none"/>
          <w:lang w:val="nl-BE"/>
        </w:rPr>
        <w:t>。</w:t>
      </w:r>
    </w:p>
    <w:p w14:paraId="17153E3C">
      <w:pPr>
        <w:pStyle w:val="83"/>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4"/>
          <w:szCs w:val="28"/>
          <w:highlight w:val="none"/>
          <w:lang w:val="nl-BE"/>
        </w:rPr>
      </w:pPr>
      <w:r>
        <w:rPr>
          <w:rFonts w:hint="default" w:ascii="Times New Roman" w:hAnsi="Times New Roman" w:eastAsia="宋体" w:cs="Times New Roman"/>
          <w:color w:val="auto"/>
          <w:sz w:val="24"/>
          <w:szCs w:val="28"/>
          <w:highlight w:val="none"/>
          <w:lang w:val="nl-BE"/>
        </w:rPr>
        <w:t>表</w:t>
      </w:r>
      <w:r>
        <w:rPr>
          <w:rFonts w:hint="default" w:ascii="Times New Roman" w:hAnsi="Times New Roman" w:eastAsia="宋体" w:cs="Times New Roman"/>
          <w:color w:val="auto"/>
          <w:sz w:val="24"/>
          <w:szCs w:val="28"/>
          <w:highlight w:val="none"/>
          <w:lang w:val="en-US" w:eastAsia="zh-CN"/>
        </w:rPr>
        <w:t>5-5</w:t>
      </w:r>
      <w:r>
        <w:rPr>
          <w:rFonts w:hint="default" w:ascii="Times New Roman" w:hAnsi="Times New Roman" w:eastAsia="宋体" w:cs="Times New Roman"/>
          <w:color w:val="auto"/>
          <w:sz w:val="24"/>
          <w:szCs w:val="28"/>
          <w:highlight w:val="none"/>
        </w:rPr>
        <w:t xml:space="preserve"> </w:t>
      </w:r>
      <w:r>
        <w:rPr>
          <w:rFonts w:hint="default" w:ascii="Times New Roman" w:hAnsi="Times New Roman" w:eastAsia="宋体" w:cs="Times New Roman"/>
          <w:color w:val="auto"/>
          <w:sz w:val="24"/>
          <w:szCs w:val="28"/>
          <w:highlight w:val="none"/>
          <w:lang w:val="nl-BE"/>
        </w:rPr>
        <w:t>液池蒸发模式参数</w:t>
      </w:r>
    </w:p>
    <w:tbl>
      <w:tblPr>
        <w:tblStyle w:val="29"/>
        <w:tblW w:w="861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856"/>
        <w:gridCol w:w="2929"/>
        <w:gridCol w:w="2834"/>
      </w:tblGrid>
      <w:tr w14:paraId="71792B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2856" w:type="dxa"/>
            <w:tcBorders>
              <w:tl2br w:val="nil"/>
              <w:tr2bl w:val="nil"/>
            </w:tcBorders>
            <w:noWrap w:val="0"/>
            <w:vAlign w:val="center"/>
          </w:tcPr>
          <w:p w14:paraId="56FACAFB">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稳定度条件</w:t>
            </w:r>
          </w:p>
        </w:tc>
        <w:tc>
          <w:tcPr>
            <w:tcW w:w="2929" w:type="dxa"/>
            <w:tcBorders>
              <w:tl2br w:val="nil"/>
              <w:tr2bl w:val="nil"/>
            </w:tcBorders>
            <w:noWrap w:val="0"/>
            <w:vAlign w:val="center"/>
          </w:tcPr>
          <w:p w14:paraId="6721CBCC">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n</w:t>
            </w:r>
          </w:p>
        </w:tc>
        <w:tc>
          <w:tcPr>
            <w:tcW w:w="2834" w:type="dxa"/>
            <w:tcBorders>
              <w:tl2br w:val="nil"/>
              <w:tr2bl w:val="nil"/>
            </w:tcBorders>
            <w:noWrap w:val="0"/>
            <w:vAlign w:val="center"/>
          </w:tcPr>
          <w:p w14:paraId="2FFDFE02">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a</w:t>
            </w:r>
          </w:p>
        </w:tc>
      </w:tr>
      <w:tr w14:paraId="7E1278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2856" w:type="dxa"/>
            <w:tcBorders>
              <w:tl2br w:val="nil"/>
              <w:tr2bl w:val="nil"/>
            </w:tcBorders>
            <w:noWrap w:val="0"/>
            <w:vAlign w:val="center"/>
          </w:tcPr>
          <w:p w14:paraId="060AEFAF">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不稳定</w:t>
            </w:r>
            <w:r>
              <w:rPr>
                <w:rFonts w:hint="default" w:ascii="Times New Roman" w:hAnsi="Times New Roman" w:cs="Times New Roman"/>
                <w:color w:val="auto"/>
                <w:highlight w:val="none"/>
                <w:lang w:val="nl-BE" w:eastAsia="zh-CN"/>
              </w:rPr>
              <w:t>（</w:t>
            </w:r>
            <w:r>
              <w:rPr>
                <w:rFonts w:hint="default" w:ascii="Times New Roman" w:hAnsi="Times New Roman" w:eastAsia="宋体" w:cs="Times New Roman"/>
                <w:color w:val="auto"/>
                <w:highlight w:val="none"/>
                <w:lang w:val="nl-BE"/>
              </w:rPr>
              <w:t>A，B</w:t>
            </w:r>
            <w:r>
              <w:rPr>
                <w:rFonts w:hint="default" w:ascii="Times New Roman" w:hAnsi="Times New Roman" w:cs="Times New Roman"/>
                <w:color w:val="auto"/>
                <w:highlight w:val="none"/>
                <w:lang w:val="nl-BE" w:eastAsia="zh-CN"/>
              </w:rPr>
              <w:t>）</w:t>
            </w:r>
          </w:p>
        </w:tc>
        <w:tc>
          <w:tcPr>
            <w:tcW w:w="2929" w:type="dxa"/>
            <w:tcBorders>
              <w:tl2br w:val="nil"/>
              <w:tr2bl w:val="nil"/>
            </w:tcBorders>
            <w:noWrap w:val="0"/>
            <w:vAlign w:val="center"/>
          </w:tcPr>
          <w:p w14:paraId="5DCAEE40">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0.2</w:t>
            </w:r>
          </w:p>
        </w:tc>
        <w:tc>
          <w:tcPr>
            <w:tcW w:w="2834" w:type="dxa"/>
            <w:tcBorders>
              <w:tl2br w:val="nil"/>
              <w:tr2bl w:val="nil"/>
            </w:tcBorders>
            <w:noWrap w:val="0"/>
            <w:vAlign w:val="center"/>
          </w:tcPr>
          <w:p w14:paraId="71E885A6">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3.846×10</w:t>
            </w:r>
            <w:r>
              <w:rPr>
                <w:rFonts w:hint="default" w:ascii="Times New Roman" w:hAnsi="Times New Roman" w:eastAsia="宋体" w:cs="Times New Roman"/>
                <w:color w:val="auto"/>
                <w:highlight w:val="none"/>
                <w:vertAlign w:val="superscript"/>
                <w:lang w:val="nl-BE"/>
              </w:rPr>
              <w:t>-3</w:t>
            </w:r>
          </w:p>
        </w:tc>
      </w:tr>
      <w:tr w14:paraId="0BF810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2856" w:type="dxa"/>
            <w:tcBorders>
              <w:tl2br w:val="nil"/>
              <w:tr2bl w:val="nil"/>
            </w:tcBorders>
            <w:noWrap w:val="0"/>
            <w:vAlign w:val="center"/>
          </w:tcPr>
          <w:p w14:paraId="3BAE8A2E">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中性</w:t>
            </w:r>
            <w:r>
              <w:rPr>
                <w:rFonts w:hint="default" w:ascii="Times New Roman" w:hAnsi="Times New Roman" w:cs="Times New Roman"/>
                <w:color w:val="auto"/>
                <w:highlight w:val="none"/>
                <w:lang w:val="nl-BE" w:eastAsia="zh-CN"/>
              </w:rPr>
              <w:t>（</w:t>
            </w:r>
            <w:r>
              <w:rPr>
                <w:rFonts w:hint="default" w:ascii="Times New Roman" w:hAnsi="Times New Roman" w:eastAsia="宋体" w:cs="Times New Roman"/>
                <w:color w:val="auto"/>
                <w:highlight w:val="none"/>
                <w:lang w:val="nl-BE"/>
              </w:rPr>
              <w:t>D</w:t>
            </w:r>
            <w:r>
              <w:rPr>
                <w:rFonts w:hint="default" w:ascii="Times New Roman" w:hAnsi="Times New Roman" w:cs="Times New Roman"/>
                <w:color w:val="auto"/>
                <w:highlight w:val="none"/>
                <w:lang w:val="nl-BE" w:eastAsia="zh-CN"/>
              </w:rPr>
              <w:t>）</w:t>
            </w:r>
          </w:p>
        </w:tc>
        <w:tc>
          <w:tcPr>
            <w:tcW w:w="2929" w:type="dxa"/>
            <w:tcBorders>
              <w:tl2br w:val="nil"/>
              <w:tr2bl w:val="nil"/>
            </w:tcBorders>
            <w:noWrap w:val="0"/>
            <w:vAlign w:val="center"/>
          </w:tcPr>
          <w:p w14:paraId="4A4826AA">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0.25</w:t>
            </w:r>
          </w:p>
        </w:tc>
        <w:tc>
          <w:tcPr>
            <w:tcW w:w="2834" w:type="dxa"/>
            <w:tcBorders>
              <w:tl2br w:val="nil"/>
              <w:tr2bl w:val="nil"/>
            </w:tcBorders>
            <w:noWrap w:val="0"/>
            <w:vAlign w:val="center"/>
          </w:tcPr>
          <w:p w14:paraId="36D53154">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4.685×1</w:t>
            </w:r>
            <w:r>
              <w:rPr>
                <w:rFonts w:hint="default" w:ascii="Times New Roman" w:hAnsi="Times New Roman" w:eastAsia="宋体" w:cs="Times New Roman"/>
                <w:color w:val="auto"/>
                <w:highlight w:val="none"/>
                <w:vertAlign w:val="baseline"/>
                <w:lang w:val="nl-BE"/>
              </w:rPr>
              <w:t>0</w:t>
            </w:r>
            <w:r>
              <w:rPr>
                <w:rFonts w:hint="default" w:ascii="Times New Roman" w:hAnsi="Times New Roman" w:eastAsia="宋体" w:cs="Times New Roman"/>
                <w:color w:val="auto"/>
                <w:highlight w:val="none"/>
                <w:vertAlign w:val="superscript"/>
                <w:lang w:val="nl-BE"/>
              </w:rPr>
              <w:t>-3</w:t>
            </w:r>
          </w:p>
        </w:tc>
      </w:tr>
      <w:tr w14:paraId="0D5397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2856" w:type="dxa"/>
            <w:tcBorders>
              <w:tl2br w:val="nil"/>
              <w:tr2bl w:val="nil"/>
            </w:tcBorders>
            <w:noWrap w:val="0"/>
            <w:vAlign w:val="center"/>
          </w:tcPr>
          <w:p w14:paraId="76544123">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稳定</w:t>
            </w:r>
            <w:r>
              <w:rPr>
                <w:rFonts w:hint="default" w:ascii="Times New Roman" w:hAnsi="Times New Roman" w:cs="Times New Roman"/>
                <w:color w:val="auto"/>
                <w:highlight w:val="none"/>
                <w:lang w:val="nl-BE" w:eastAsia="zh-CN"/>
              </w:rPr>
              <w:t>（</w:t>
            </w:r>
            <w:r>
              <w:rPr>
                <w:rFonts w:hint="default" w:ascii="Times New Roman" w:hAnsi="Times New Roman" w:eastAsia="宋体" w:cs="Times New Roman"/>
                <w:color w:val="auto"/>
                <w:highlight w:val="none"/>
                <w:lang w:val="nl-BE"/>
              </w:rPr>
              <w:t>E，F</w:t>
            </w:r>
            <w:r>
              <w:rPr>
                <w:rFonts w:hint="default" w:ascii="Times New Roman" w:hAnsi="Times New Roman" w:cs="Times New Roman"/>
                <w:color w:val="auto"/>
                <w:highlight w:val="none"/>
                <w:lang w:val="nl-BE" w:eastAsia="zh-CN"/>
              </w:rPr>
              <w:t>）</w:t>
            </w:r>
          </w:p>
        </w:tc>
        <w:tc>
          <w:tcPr>
            <w:tcW w:w="2929" w:type="dxa"/>
            <w:tcBorders>
              <w:tl2br w:val="nil"/>
              <w:tr2bl w:val="nil"/>
            </w:tcBorders>
            <w:noWrap w:val="0"/>
            <w:vAlign w:val="center"/>
          </w:tcPr>
          <w:p w14:paraId="126AD400">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0.3</w:t>
            </w:r>
          </w:p>
        </w:tc>
        <w:tc>
          <w:tcPr>
            <w:tcW w:w="2834" w:type="dxa"/>
            <w:tcBorders>
              <w:tl2br w:val="nil"/>
              <w:tr2bl w:val="nil"/>
            </w:tcBorders>
            <w:noWrap w:val="0"/>
            <w:vAlign w:val="center"/>
          </w:tcPr>
          <w:p w14:paraId="01665F72">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5.285×10</w:t>
            </w:r>
            <w:r>
              <w:rPr>
                <w:rFonts w:hint="default" w:ascii="Times New Roman" w:hAnsi="Times New Roman" w:eastAsia="宋体" w:cs="Times New Roman"/>
                <w:color w:val="auto"/>
                <w:highlight w:val="none"/>
                <w:vertAlign w:val="superscript"/>
                <w:lang w:val="nl-BE"/>
              </w:rPr>
              <w:t>-3</w:t>
            </w:r>
          </w:p>
        </w:tc>
      </w:tr>
    </w:tbl>
    <w:p w14:paraId="5C775C83">
      <w:pPr>
        <w:pStyle w:val="83"/>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4"/>
          <w:szCs w:val="28"/>
          <w:highlight w:val="none"/>
          <w:lang w:val="nl-BE"/>
        </w:rPr>
      </w:pPr>
      <w:r>
        <w:rPr>
          <w:rFonts w:hint="default" w:ascii="Times New Roman" w:hAnsi="Times New Roman" w:eastAsia="宋体" w:cs="Times New Roman"/>
          <w:color w:val="auto"/>
          <w:sz w:val="24"/>
          <w:szCs w:val="28"/>
          <w:highlight w:val="none"/>
        </w:rPr>
        <w:t>表</w:t>
      </w:r>
      <w:r>
        <w:rPr>
          <w:rFonts w:hint="default" w:ascii="Times New Roman" w:hAnsi="Times New Roman" w:eastAsia="宋体" w:cs="Times New Roman"/>
          <w:color w:val="auto"/>
          <w:sz w:val="24"/>
          <w:szCs w:val="28"/>
          <w:highlight w:val="none"/>
          <w:lang w:val="en-US" w:eastAsia="zh-CN"/>
        </w:rPr>
        <w:t>5-6</w:t>
      </w:r>
      <w:r>
        <w:rPr>
          <w:rFonts w:hint="default" w:ascii="Times New Roman" w:hAnsi="Times New Roman" w:eastAsia="宋体" w:cs="Times New Roman"/>
          <w:color w:val="auto"/>
          <w:sz w:val="24"/>
          <w:szCs w:val="28"/>
          <w:highlight w:val="none"/>
        </w:rPr>
        <w:t xml:space="preserve"> </w:t>
      </w:r>
      <w:r>
        <w:rPr>
          <w:rFonts w:hint="default" w:ascii="Times New Roman" w:hAnsi="Times New Roman" w:eastAsia="宋体" w:cs="Times New Roman"/>
          <w:color w:val="auto"/>
          <w:sz w:val="24"/>
          <w:szCs w:val="28"/>
          <w:highlight w:val="none"/>
          <w:lang w:val="en-US" w:eastAsia="zh-CN"/>
        </w:rPr>
        <w:t>质量蒸发计算结果</w:t>
      </w:r>
      <w:r>
        <w:rPr>
          <w:rFonts w:hint="default" w:ascii="Times New Roman" w:hAnsi="Times New Roman" w:eastAsia="宋体" w:cs="Times New Roman"/>
          <w:color w:val="auto"/>
          <w:sz w:val="24"/>
          <w:szCs w:val="28"/>
          <w:highlight w:val="none"/>
          <w:lang w:eastAsia="zh-CN"/>
        </w:rPr>
        <w:t>（</w:t>
      </w:r>
      <w:r>
        <w:rPr>
          <w:rFonts w:hint="default" w:ascii="Times New Roman" w:hAnsi="Times New Roman" w:eastAsia="宋体" w:cs="Times New Roman"/>
          <w:color w:val="auto"/>
          <w:sz w:val="24"/>
          <w:szCs w:val="28"/>
          <w:highlight w:val="none"/>
        </w:rPr>
        <w:t>单位：kg/s</w:t>
      </w:r>
      <w:r>
        <w:rPr>
          <w:rFonts w:hint="default" w:ascii="Times New Roman" w:hAnsi="Times New Roman" w:eastAsia="宋体" w:cs="Times New Roman"/>
          <w:color w:val="auto"/>
          <w:sz w:val="24"/>
          <w:szCs w:val="28"/>
          <w:highlight w:val="none"/>
          <w:lang w:eastAsia="zh-CN"/>
        </w:rPr>
        <w:t>）</w:t>
      </w:r>
    </w:p>
    <w:tbl>
      <w:tblPr>
        <w:tblStyle w:val="29"/>
        <w:tblW w:w="857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910"/>
        <w:gridCol w:w="1166"/>
        <w:gridCol w:w="1167"/>
        <w:gridCol w:w="1166"/>
        <w:gridCol w:w="1170"/>
      </w:tblGrid>
      <w:tr w14:paraId="15B6A4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3910" w:type="dxa"/>
            <w:vMerge w:val="restart"/>
            <w:tcBorders>
              <w:tl2br w:val="nil"/>
              <w:tr2bl w:val="nil"/>
            </w:tcBorders>
            <w:noWrap w:val="0"/>
            <w:vAlign w:val="center"/>
          </w:tcPr>
          <w:p w14:paraId="3E83FE48">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风  速</w:t>
            </w:r>
          </w:p>
        </w:tc>
        <w:tc>
          <w:tcPr>
            <w:tcW w:w="4669" w:type="dxa"/>
            <w:gridSpan w:val="4"/>
            <w:tcBorders>
              <w:tl2br w:val="nil"/>
              <w:tr2bl w:val="nil"/>
            </w:tcBorders>
            <w:noWrap w:val="0"/>
            <w:vAlign w:val="center"/>
          </w:tcPr>
          <w:p w14:paraId="596077CE">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nl-BE" w:eastAsia="zh-CN"/>
              </w:rPr>
            </w:pPr>
            <w:r>
              <w:rPr>
                <w:rFonts w:hint="default" w:ascii="Times New Roman" w:hAnsi="Times New Roman" w:eastAsia="宋体" w:cs="Times New Roman"/>
                <w:color w:val="auto"/>
                <w:highlight w:val="none"/>
                <w:lang w:val="en-US" w:eastAsia="zh-CN"/>
              </w:rPr>
              <w:t>正己烷</w:t>
            </w:r>
          </w:p>
        </w:tc>
      </w:tr>
      <w:tr w14:paraId="38E88C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3910" w:type="dxa"/>
            <w:vMerge w:val="continue"/>
            <w:tcBorders>
              <w:tl2br w:val="nil"/>
              <w:tr2bl w:val="nil"/>
            </w:tcBorders>
            <w:noWrap w:val="0"/>
            <w:vAlign w:val="center"/>
          </w:tcPr>
          <w:p w14:paraId="227CDCA5">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nl-BE"/>
              </w:rPr>
            </w:pPr>
          </w:p>
        </w:tc>
        <w:tc>
          <w:tcPr>
            <w:tcW w:w="1166" w:type="dxa"/>
            <w:tcBorders>
              <w:tl2br w:val="nil"/>
              <w:tr2bl w:val="nil"/>
            </w:tcBorders>
            <w:noWrap w:val="0"/>
            <w:vAlign w:val="center"/>
          </w:tcPr>
          <w:p w14:paraId="057B9E67">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B</w:t>
            </w:r>
          </w:p>
        </w:tc>
        <w:tc>
          <w:tcPr>
            <w:tcW w:w="1167" w:type="dxa"/>
            <w:tcBorders>
              <w:tl2br w:val="nil"/>
              <w:tr2bl w:val="nil"/>
            </w:tcBorders>
            <w:noWrap w:val="0"/>
            <w:vAlign w:val="center"/>
          </w:tcPr>
          <w:p w14:paraId="3F420EAF">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D</w:t>
            </w:r>
          </w:p>
        </w:tc>
        <w:tc>
          <w:tcPr>
            <w:tcW w:w="1166" w:type="dxa"/>
            <w:tcBorders>
              <w:tl2br w:val="nil"/>
              <w:tr2bl w:val="nil"/>
            </w:tcBorders>
            <w:noWrap w:val="0"/>
            <w:vAlign w:val="center"/>
          </w:tcPr>
          <w:p w14:paraId="10146306">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E</w:t>
            </w:r>
          </w:p>
        </w:tc>
        <w:tc>
          <w:tcPr>
            <w:tcW w:w="1170" w:type="dxa"/>
            <w:tcBorders>
              <w:tl2br w:val="nil"/>
              <w:tr2bl w:val="nil"/>
            </w:tcBorders>
            <w:noWrap w:val="0"/>
            <w:vAlign w:val="center"/>
          </w:tcPr>
          <w:p w14:paraId="796316C8">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F</w:t>
            </w:r>
          </w:p>
        </w:tc>
      </w:tr>
      <w:tr w14:paraId="4F1500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3910" w:type="dxa"/>
            <w:tcBorders>
              <w:tl2br w:val="nil"/>
              <w:tr2bl w:val="nil"/>
            </w:tcBorders>
            <w:noWrap w:val="0"/>
            <w:vAlign w:val="center"/>
          </w:tcPr>
          <w:p w14:paraId="38438619">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小风</w:t>
            </w:r>
            <w:r>
              <w:rPr>
                <w:rFonts w:hint="default" w:ascii="Times New Roman" w:hAnsi="Times New Roman" w:cs="Times New Roman"/>
                <w:color w:val="auto"/>
                <w:highlight w:val="none"/>
                <w:lang w:val="nl-BE" w:eastAsia="zh-CN"/>
              </w:rPr>
              <w:t>（</w:t>
            </w:r>
            <w:r>
              <w:rPr>
                <w:rFonts w:hint="default" w:ascii="Times New Roman" w:hAnsi="Times New Roman" w:eastAsia="宋体" w:cs="Times New Roman"/>
                <w:color w:val="auto"/>
                <w:highlight w:val="none"/>
                <w:lang w:val="nl-BE"/>
              </w:rPr>
              <w:t>1.5m/s</w:t>
            </w:r>
            <w:r>
              <w:rPr>
                <w:rFonts w:hint="default" w:ascii="Times New Roman" w:hAnsi="Times New Roman" w:cs="Times New Roman"/>
                <w:color w:val="auto"/>
                <w:highlight w:val="none"/>
                <w:lang w:val="nl-BE" w:eastAsia="zh-CN"/>
              </w:rPr>
              <w:t>）</w:t>
            </w:r>
          </w:p>
        </w:tc>
        <w:tc>
          <w:tcPr>
            <w:tcW w:w="1166" w:type="dxa"/>
            <w:tcBorders>
              <w:tl2br w:val="nil"/>
              <w:tr2bl w:val="nil"/>
            </w:tcBorders>
            <w:noWrap w:val="0"/>
            <w:vAlign w:val="center"/>
          </w:tcPr>
          <w:p w14:paraId="54A7A0C6">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w:t>
            </w:r>
          </w:p>
        </w:tc>
        <w:tc>
          <w:tcPr>
            <w:tcW w:w="1167" w:type="dxa"/>
            <w:tcBorders>
              <w:tl2br w:val="nil"/>
              <w:tr2bl w:val="nil"/>
            </w:tcBorders>
            <w:noWrap w:val="0"/>
            <w:vAlign w:val="center"/>
          </w:tcPr>
          <w:p w14:paraId="3258290C">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w:t>
            </w:r>
          </w:p>
        </w:tc>
        <w:tc>
          <w:tcPr>
            <w:tcW w:w="1166" w:type="dxa"/>
            <w:tcBorders>
              <w:tl2br w:val="nil"/>
              <w:tr2bl w:val="nil"/>
            </w:tcBorders>
            <w:noWrap w:val="0"/>
            <w:vAlign w:val="center"/>
          </w:tcPr>
          <w:p w14:paraId="669CCC17">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w:t>
            </w:r>
          </w:p>
        </w:tc>
        <w:tc>
          <w:tcPr>
            <w:tcW w:w="1170" w:type="dxa"/>
            <w:tcBorders>
              <w:tl2br w:val="nil"/>
              <w:tr2bl w:val="nil"/>
            </w:tcBorders>
            <w:noWrap w:val="0"/>
            <w:vAlign w:val="center"/>
          </w:tcPr>
          <w:p w14:paraId="5ADDBF72">
            <w:pPr>
              <w:pStyle w:val="86"/>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0.0</w:t>
            </w:r>
            <w:r>
              <w:rPr>
                <w:rFonts w:hint="default" w:ascii="Times New Roman" w:hAnsi="Times New Roman" w:cs="Times New Roman"/>
                <w:color w:val="auto"/>
                <w:highlight w:val="none"/>
                <w:lang w:val="en-US" w:eastAsia="zh-CN"/>
              </w:rPr>
              <w:t>47</w:t>
            </w:r>
          </w:p>
        </w:tc>
      </w:tr>
    </w:tbl>
    <w:p w14:paraId="7CF5B860">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lang w:val="zh-CN"/>
        </w:rPr>
      </w:pPr>
      <w:r>
        <w:rPr>
          <w:rFonts w:hint="default" w:ascii="Times New Roman" w:hAnsi="Times New Roman" w:eastAsia="宋体" w:cs="Times New Roman"/>
          <w:color w:val="auto"/>
          <w:sz w:val="24"/>
          <w:szCs w:val="24"/>
          <w:highlight w:val="none"/>
          <w:lang w:val="zh-CN"/>
        </w:rPr>
        <w:t>泄漏后，液态物料部分蒸发进入大气，其余仍以液态形式存在，存在于围堰中待收容处理。</w:t>
      </w:r>
    </w:p>
    <w:p w14:paraId="1C89482F">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lang w:val="zh-CN"/>
        </w:rPr>
      </w:pPr>
      <w:r>
        <w:rPr>
          <w:rFonts w:hint="default" w:ascii="Times New Roman" w:hAnsi="Times New Roman" w:eastAsia="宋体" w:cs="Times New Roman"/>
          <w:color w:val="auto"/>
          <w:sz w:val="24"/>
          <w:szCs w:val="24"/>
          <w:highlight w:val="none"/>
          <w:lang w:val="zh-CN"/>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zh-CN"/>
        </w:rPr>
        <w:t>）泵连接管泄漏</w:t>
      </w:r>
    </w:p>
    <w:p w14:paraId="6B6740AE">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项目厂区设</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个</w:t>
      </w:r>
      <w:r>
        <w:rPr>
          <w:rFonts w:hint="default" w:ascii="Times New Roman" w:hAnsi="Times New Roman" w:eastAsia="宋体" w:cs="Times New Roman"/>
          <w:color w:val="auto"/>
          <w:sz w:val="24"/>
          <w:szCs w:val="24"/>
          <w:highlight w:val="none"/>
          <w:lang w:val="en-US" w:eastAsia="zh-CN"/>
        </w:rPr>
        <w:t>60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储存罐</w:t>
      </w:r>
      <w:r>
        <w:rPr>
          <w:rFonts w:hint="default" w:ascii="Times New Roman" w:hAnsi="Times New Roman" w:eastAsia="宋体" w:cs="Times New Roman"/>
          <w:color w:val="auto"/>
          <w:sz w:val="24"/>
          <w:szCs w:val="24"/>
          <w:highlight w:val="none"/>
          <w:lang w:val="en-US" w:eastAsia="zh-CN"/>
        </w:rPr>
        <w:t>，假定正己烷输送</w:t>
      </w:r>
      <w:r>
        <w:rPr>
          <w:rFonts w:hint="default" w:ascii="Times New Roman" w:hAnsi="Times New Roman" w:eastAsia="宋体" w:cs="Times New Roman"/>
          <w:color w:val="auto"/>
          <w:sz w:val="24"/>
          <w:szCs w:val="24"/>
          <w:highlight w:val="none"/>
          <w:lang w:val="zh-CN"/>
        </w:rPr>
        <w:t>泵连接管泄漏，泄漏</w:t>
      </w:r>
      <w:r>
        <w:rPr>
          <w:rFonts w:hint="default" w:ascii="Times New Roman" w:hAnsi="Times New Roman" w:eastAsia="宋体" w:cs="Times New Roman"/>
          <w:color w:val="auto"/>
          <w:sz w:val="24"/>
          <w:szCs w:val="24"/>
          <w:highlight w:val="none"/>
        </w:rPr>
        <w:t>孔径为10mm</w:t>
      </w:r>
      <w:r>
        <w:rPr>
          <w:rFonts w:hint="default" w:ascii="Times New Roman" w:hAnsi="Times New Roman" w:eastAsia="宋体" w:cs="Times New Roman"/>
          <w:color w:val="auto"/>
          <w:sz w:val="24"/>
          <w:szCs w:val="24"/>
          <w:highlight w:val="none"/>
          <w:lang w:eastAsia="zh-CN"/>
        </w:rPr>
        <w:t>圆</w:t>
      </w:r>
      <w:r>
        <w:rPr>
          <w:rFonts w:hint="default" w:ascii="Times New Roman" w:hAnsi="Times New Roman" w:eastAsia="宋体" w:cs="Times New Roman"/>
          <w:color w:val="auto"/>
          <w:sz w:val="24"/>
          <w:szCs w:val="24"/>
          <w:highlight w:val="none"/>
        </w:rPr>
        <w:t>形裂口</w:t>
      </w:r>
      <w:r>
        <w:rPr>
          <w:rFonts w:hint="default" w:ascii="Times New Roman" w:hAnsi="Times New Roman" w:eastAsia="宋体" w:cs="Times New Roman"/>
          <w:color w:val="auto"/>
          <w:sz w:val="24"/>
          <w:szCs w:val="24"/>
          <w:highlight w:val="none"/>
          <w:lang w:eastAsia="zh-CN"/>
        </w:rPr>
        <w:t>，其泄漏容易被发现，一旦发生泄漏可立即采取紧急措施，关闭阀门，泄漏时间按照10min计。</w:t>
      </w:r>
    </w:p>
    <w:p w14:paraId="069FAE27">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液体泄漏速度QL</w:t>
      </w:r>
      <w:r>
        <w:rPr>
          <w:rFonts w:hint="default" w:ascii="Times New Roman" w:hAnsi="Times New Roman" w:eastAsia="宋体" w:cs="Times New Roman"/>
          <w:color w:val="auto"/>
          <w:sz w:val="24"/>
          <w:szCs w:val="24"/>
          <w:highlight w:val="none"/>
          <w:lang w:eastAsia="zh-CN"/>
        </w:rPr>
        <w:t>用伯努利</w:t>
      </w:r>
      <w:r>
        <w:rPr>
          <w:rFonts w:hint="default" w:ascii="Times New Roman" w:hAnsi="Times New Roman" w:eastAsia="宋体" w:cs="Times New Roman"/>
          <w:color w:val="auto"/>
          <w:sz w:val="24"/>
          <w:szCs w:val="24"/>
          <w:highlight w:val="none"/>
        </w:rPr>
        <w:t>方程计算：</w:t>
      </w:r>
    </w:p>
    <w:p w14:paraId="777CCDBD">
      <w:pPr>
        <w:pStyle w:val="87"/>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object>
          <v:shape id="_x0000_i1033" o:spt="75" type="#_x0000_t75" style="height:36.75pt;width:143.25pt;" o:ole="t" filled="f" o:preferrelative="t" stroked="f" coordsize="21600,21600">
            <v:path/>
            <v:fill on="f" focussize="0,0"/>
            <v:stroke on="f"/>
            <v:imagedata r:id="rId79" o:title=""/>
            <o:lock v:ext="edit" aspectratio="t"/>
            <w10:wrap type="none"/>
            <w10:anchorlock/>
          </v:shape>
          <o:OLEObject Type="Embed" ProgID="" ShapeID="_x0000_i1033" DrawAspect="Content" ObjectID="_1468075732" r:id="rId81">
            <o:LockedField>false</o:LockedField>
          </o:OLEObject>
        </w:object>
      </w:r>
    </w:p>
    <w:p w14:paraId="2262D1E2">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w:t>
      </w:r>
    </w:p>
    <w:p w14:paraId="50CD431E">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QL——液体泄漏速度，kg/s；</w:t>
      </w:r>
    </w:p>
    <w:p w14:paraId="71DE59F5">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Cd——液体泄漏系数，此值常用。</w:t>
      </w:r>
    </w:p>
    <w:p w14:paraId="38E64AE0">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A——裂口面积，m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w:t>
      </w:r>
    </w:p>
    <w:p w14:paraId="3459FDA7">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P——容器内介质压力，Pa；</w:t>
      </w:r>
    </w:p>
    <w:p w14:paraId="20F45430">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P0——环境压力，Pa；</w:t>
      </w:r>
    </w:p>
    <w:p w14:paraId="722BFF7A">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g ——重力加速度。</w:t>
      </w:r>
    </w:p>
    <w:p w14:paraId="4756EE17">
      <w:pPr>
        <w:pStyle w:val="87"/>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h ——裂口之上液位高度，m。</w:t>
      </w:r>
    </w:p>
    <w:p w14:paraId="286C8164">
      <w:pPr>
        <w:pStyle w:val="83"/>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表</w:t>
      </w:r>
      <w:r>
        <w:rPr>
          <w:rFonts w:hint="default" w:ascii="Times New Roman" w:hAnsi="Times New Roman" w:eastAsia="宋体" w:cs="Times New Roman"/>
          <w:color w:val="auto"/>
          <w:sz w:val="24"/>
          <w:szCs w:val="28"/>
          <w:highlight w:val="none"/>
          <w:lang w:val="en-US" w:eastAsia="zh-CN"/>
        </w:rPr>
        <w:t>5-7</w:t>
      </w:r>
      <w:r>
        <w:rPr>
          <w:rFonts w:hint="default" w:ascii="Times New Roman" w:hAnsi="Times New Roman" w:eastAsia="宋体" w:cs="Times New Roman"/>
          <w:color w:val="auto"/>
          <w:sz w:val="24"/>
          <w:szCs w:val="28"/>
          <w:highlight w:val="none"/>
        </w:rPr>
        <w:t xml:space="preserve"> 液体泄漏量计算参数</w:t>
      </w:r>
    </w:p>
    <w:tbl>
      <w:tblPr>
        <w:tblStyle w:val="29"/>
        <w:tblW w:w="0" w:type="auto"/>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657"/>
        <w:gridCol w:w="3052"/>
        <w:gridCol w:w="1780"/>
        <w:gridCol w:w="2129"/>
      </w:tblGrid>
      <w:tr w14:paraId="18D91EE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6" w:hRule="atLeast"/>
        </w:trPr>
        <w:tc>
          <w:tcPr>
            <w:tcW w:w="1657" w:type="dxa"/>
            <w:vMerge w:val="restart"/>
            <w:noWrap w:val="0"/>
            <w:tcMar>
              <w:left w:w="28" w:type="dxa"/>
              <w:right w:w="28" w:type="dxa"/>
            </w:tcMar>
            <w:vAlign w:val="center"/>
          </w:tcPr>
          <w:p w14:paraId="2E418682">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符号</w:t>
            </w:r>
          </w:p>
        </w:tc>
        <w:tc>
          <w:tcPr>
            <w:tcW w:w="3052" w:type="dxa"/>
            <w:vMerge w:val="restart"/>
            <w:noWrap w:val="0"/>
            <w:tcMar>
              <w:left w:w="28" w:type="dxa"/>
              <w:right w:w="28" w:type="dxa"/>
            </w:tcMar>
            <w:vAlign w:val="center"/>
          </w:tcPr>
          <w:p w14:paraId="24447ACC">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含义</w:t>
            </w:r>
          </w:p>
        </w:tc>
        <w:tc>
          <w:tcPr>
            <w:tcW w:w="1780" w:type="dxa"/>
            <w:vMerge w:val="restart"/>
            <w:noWrap w:val="0"/>
            <w:tcMar>
              <w:left w:w="28" w:type="dxa"/>
              <w:right w:w="28" w:type="dxa"/>
            </w:tcMar>
            <w:vAlign w:val="center"/>
          </w:tcPr>
          <w:p w14:paraId="561DA092">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单位</w:t>
            </w:r>
          </w:p>
        </w:tc>
        <w:tc>
          <w:tcPr>
            <w:tcW w:w="2129" w:type="dxa"/>
            <w:noWrap w:val="0"/>
            <w:tcMar>
              <w:left w:w="28" w:type="dxa"/>
              <w:right w:w="28" w:type="dxa"/>
            </w:tcMar>
            <w:vAlign w:val="center"/>
          </w:tcPr>
          <w:p w14:paraId="66F6C1C6">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数值</w:t>
            </w:r>
          </w:p>
        </w:tc>
      </w:tr>
      <w:tr w14:paraId="60F9703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97" w:hRule="atLeast"/>
        </w:trPr>
        <w:tc>
          <w:tcPr>
            <w:tcW w:w="1657" w:type="dxa"/>
            <w:vMerge w:val="continue"/>
            <w:noWrap w:val="0"/>
            <w:tcMar>
              <w:left w:w="28" w:type="dxa"/>
              <w:right w:w="28" w:type="dxa"/>
            </w:tcMar>
            <w:vAlign w:val="center"/>
          </w:tcPr>
          <w:p w14:paraId="6C04D372">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p>
        </w:tc>
        <w:tc>
          <w:tcPr>
            <w:tcW w:w="3052" w:type="dxa"/>
            <w:vMerge w:val="continue"/>
            <w:noWrap w:val="0"/>
            <w:tcMar>
              <w:left w:w="28" w:type="dxa"/>
              <w:right w:w="28" w:type="dxa"/>
            </w:tcMar>
            <w:vAlign w:val="center"/>
          </w:tcPr>
          <w:p w14:paraId="72F737C1">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p>
        </w:tc>
        <w:tc>
          <w:tcPr>
            <w:tcW w:w="1780" w:type="dxa"/>
            <w:vMerge w:val="continue"/>
            <w:noWrap w:val="0"/>
            <w:tcMar>
              <w:left w:w="28" w:type="dxa"/>
              <w:right w:w="28" w:type="dxa"/>
            </w:tcMar>
            <w:vAlign w:val="center"/>
          </w:tcPr>
          <w:p w14:paraId="4E792432">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p>
        </w:tc>
        <w:tc>
          <w:tcPr>
            <w:tcW w:w="2129" w:type="dxa"/>
            <w:noWrap w:val="0"/>
            <w:tcMar>
              <w:left w:w="28" w:type="dxa"/>
              <w:right w:w="28" w:type="dxa"/>
            </w:tcMar>
            <w:vAlign w:val="center"/>
          </w:tcPr>
          <w:p w14:paraId="65130FE9">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正己烷</w:t>
            </w:r>
          </w:p>
        </w:tc>
      </w:tr>
      <w:tr w14:paraId="3C153EF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97" w:hRule="atLeast"/>
        </w:trPr>
        <w:tc>
          <w:tcPr>
            <w:tcW w:w="1657" w:type="dxa"/>
            <w:noWrap w:val="0"/>
            <w:tcMar>
              <w:left w:w="28" w:type="dxa"/>
              <w:right w:w="28" w:type="dxa"/>
            </w:tcMar>
            <w:vAlign w:val="center"/>
          </w:tcPr>
          <w:p w14:paraId="5DA5DC00">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Cd</w:t>
            </w:r>
          </w:p>
        </w:tc>
        <w:tc>
          <w:tcPr>
            <w:tcW w:w="3052" w:type="dxa"/>
            <w:noWrap w:val="0"/>
            <w:tcMar>
              <w:left w:w="28" w:type="dxa"/>
              <w:right w:w="28" w:type="dxa"/>
            </w:tcMar>
            <w:vAlign w:val="center"/>
          </w:tcPr>
          <w:p w14:paraId="4A973417">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液体泄漏系数</w:t>
            </w:r>
          </w:p>
        </w:tc>
        <w:tc>
          <w:tcPr>
            <w:tcW w:w="1780" w:type="dxa"/>
            <w:noWrap w:val="0"/>
            <w:tcMar>
              <w:left w:w="28" w:type="dxa"/>
              <w:right w:w="28" w:type="dxa"/>
            </w:tcMar>
            <w:vAlign w:val="center"/>
          </w:tcPr>
          <w:p w14:paraId="28860676">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无量纲</w:t>
            </w:r>
          </w:p>
        </w:tc>
        <w:tc>
          <w:tcPr>
            <w:tcW w:w="2129" w:type="dxa"/>
            <w:noWrap w:val="0"/>
            <w:tcMar>
              <w:left w:w="28" w:type="dxa"/>
              <w:right w:w="28" w:type="dxa"/>
            </w:tcMar>
            <w:vAlign w:val="center"/>
          </w:tcPr>
          <w:p w14:paraId="305E16AD">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0.6</w:t>
            </w:r>
            <w:r>
              <w:rPr>
                <w:rFonts w:hint="default" w:ascii="Times New Roman" w:hAnsi="Times New Roman" w:eastAsia="宋体" w:cs="Times New Roman"/>
                <w:color w:val="auto"/>
                <w:highlight w:val="none"/>
                <w:lang w:val="en-US" w:eastAsia="zh-CN"/>
              </w:rPr>
              <w:t>5</w:t>
            </w:r>
          </w:p>
        </w:tc>
      </w:tr>
      <w:tr w14:paraId="520D044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97" w:hRule="atLeast"/>
        </w:trPr>
        <w:tc>
          <w:tcPr>
            <w:tcW w:w="1657" w:type="dxa"/>
            <w:noWrap w:val="0"/>
            <w:tcMar>
              <w:left w:w="28" w:type="dxa"/>
              <w:right w:w="28" w:type="dxa"/>
            </w:tcMar>
            <w:vAlign w:val="center"/>
          </w:tcPr>
          <w:p w14:paraId="15D5FF4C">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w:t>
            </w:r>
          </w:p>
        </w:tc>
        <w:tc>
          <w:tcPr>
            <w:tcW w:w="3052" w:type="dxa"/>
            <w:noWrap w:val="0"/>
            <w:tcMar>
              <w:left w:w="28" w:type="dxa"/>
              <w:right w:w="28" w:type="dxa"/>
            </w:tcMar>
            <w:vAlign w:val="center"/>
          </w:tcPr>
          <w:p w14:paraId="37B3EFBE">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裂口面积</w:t>
            </w:r>
            <w:r>
              <w:rPr>
                <w:rFonts w:hint="default" w:ascii="Times New Roman" w:hAnsi="Times New Roman" w:eastAsia="宋体" w:cs="Times New Roman"/>
                <w:color w:val="auto"/>
                <w:highlight w:val="none"/>
                <w:lang w:eastAsia="zh-CN"/>
              </w:rPr>
              <w:t>（圆形）</w:t>
            </w:r>
          </w:p>
        </w:tc>
        <w:tc>
          <w:tcPr>
            <w:tcW w:w="1780" w:type="dxa"/>
            <w:noWrap w:val="0"/>
            <w:tcMar>
              <w:left w:w="28" w:type="dxa"/>
              <w:right w:w="28" w:type="dxa"/>
            </w:tcMar>
            <w:vAlign w:val="center"/>
          </w:tcPr>
          <w:p w14:paraId="7F681BBC">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p>
        </w:tc>
        <w:tc>
          <w:tcPr>
            <w:tcW w:w="2129" w:type="dxa"/>
            <w:noWrap w:val="0"/>
            <w:tcMar>
              <w:left w:w="28" w:type="dxa"/>
              <w:right w:w="28" w:type="dxa"/>
            </w:tcMar>
            <w:vAlign w:val="center"/>
          </w:tcPr>
          <w:p w14:paraId="2BDA6094">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0.000314</w:t>
            </w:r>
          </w:p>
        </w:tc>
      </w:tr>
      <w:tr w14:paraId="4776A58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97" w:hRule="atLeast"/>
        </w:trPr>
        <w:tc>
          <w:tcPr>
            <w:tcW w:w="1657" w:type="dxa"/>
            <w:noWrap w:val="0"/>
            <w:tcMar>
              <w:left w:w="28" w:type="dxa"/>
              <w:right w:w="28" w:type="dxa"/>
            </w:tcMar>
            <w:vAlign w:val="center"/>
          </w:tcPr>
          <w:p w14:paraId="631EABF8">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ρ</w:t>
            </w:r>
          </w:p>
        </w:tc>
        <w:tc>
          <w:tcPr>
            <w:tcW w:w="3052" w:type="dxa"/>
            <w:noWrap w:val="0"/>
            <w:tcMar>
              <w:left w:w="28" w:type="dxa"/>
              <w:right w:w="28" w:type="dxa"/>
            </w:tcMar>
            <w:vAlign w:val="center"/>
          </w:tcPr>
          <w:p w14:paraId="3081B2BF">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泄漏液体密度</w:t>
            </w:r>
          </w:p>
        </w:tc>
        <w:tc>
          <w:tcPr>
            <w:tcW w:w="1780" w:type="dxa"/>
            <w:noWrap w:val="0"/>
            <w:tcMar>
              <w:left w:w="28" w:type="dxa"/>
              <w:right w:w="28" w:type="dxa"/>
            </w:tcMar>
            <w:vAlign w:val="center"/>
          </w:tcPr>
          <w:p w14:paraId="675FCB27">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g/</w:t>
            </w:r>
            <w:r>
              <w:rPr>
                <w:rFonts w:hint="default" w:ascii="Times New Roman" w:hAnsi="Times New Roman" w:eastAsia="宋体" w:cs="Times New Roman"/>
                <w:color w:val="auto"/>
                <w:highlight w:val="none"/>
                <w:lang w:val="en-US" w:eastAsia="zh-CN"/>
              </w:rPr>
              <w:t>c</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p>
        </w:tc>
        <w:tc>
          <w:tcPr>
            <w:tcW w:w="2129" w:type="dxa"/>
            <w:noWrap w:val="0"/>
            <w:tcMar>
              <w:left w:w="28" w:type="dxa"/>
              <w:right w:w="28" w:type="dxa"/>
            </w:tcMar>
            <w:vAlign w:val="center"/>
          </w:tcPr>
          <w:p w14:paraId="7BD676F1">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0.6</w:t>
            </w:r>
            <w:r>
              <w:rPr>
                <w:rFonts w:hint="default" w:ascii="Times New Roman" w:hAnsi="Times New Roman" w:cs="Times New Roman"/>
                <w:color w:val="auto"/>
                <w:highlight w:val="none"/>
                <w:lang w:val="en-US" w:eastAsia="zh-CN"/>
              </w:rPr>
              <w:t>6</w:t>
            </w:r>
          </w:p>
        </w:tc>
      </w:tr>
      <w:tr w14:paraId="1BA8E24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97" w:hRule="atLeast"/>
        </w:trPr>
        <w:tc>
          <w:tcPr>
            <w:tcW w:w="1657" w:type="dxa"/>
            <w:noWrap w:val="0"/>
            <w:tcMar>
              <w:left w:w="28" w:type="dxa"/>
              <w:right w:w="28" w:type="dxa"/>
            </w:tcMar>
            <w:vAlign w:val="center"/>
          </w:tcPr>
          <w:p w14:paraId="1D8C07A1">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w:t>
            </w:r>
          </w:p>
        </w:tc>
        <w:tc>
          <w:tcPr>
            <w:tcW w:w="3052" w:type="dxa"/>
            <w:noWrap w:val="0"/>
            <w:tcMar>
              <w:left w:w="28" w:type="dxa"/>
              <w:right w:w="28" w:type="dxa"/>
            </w:tcMar>
            <w:vAlign w:val="center"/>
          </w:tcPr>
          <w:p w14:paraId="7EDF7C90">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容器内介质压力</w:t>
            </w:r>
          </w:p>
        </w:tc>
        <w:tc>
          <w:tcPr>
            <w:tcW w:w="1780" w:type="dxa"/>
            <w:noWrap w:val="0"/>
            <w:tcMar>
              <w:left w:w="28" w:type="dxa"/>
              <w:right w:w="28" w:type="dxa"/>
            </w:tcMar>
            <w:vAlign w:val="center"/>
          </w:tcPr>
          <w:p w14:paraId="4ED5826E">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atm</w:t>
            </w:r>
          </w:p>
        </w:tc>
        <w:tc>
          <w:tcPr>
            <w:tcW w:w="2129" w:type="dxa"/>
            <w:noWrap w:val="0"/>
            <w:tcMar>
              <w:left w:w="28" w:type="dxa"/>
              <w:right w:w="28" w:type="dxa"/>
            </w:tcMar>
            <w:vAlign w:val="center"/>
          </w:tcPr>
          <w:p w14:paraId="715F1334">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1</w:t>
            </w:r>
          </w:p>
        </w:tc>
      </w:tr>
      <w:tr w14:paraId="46526F4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trPr>
        <w:tc>
          <w:tcPr>
            <w:tcW w:w="1657" w:type="dxa"/>
            <w:noWrap w:val="0"/>
            <w:tcMar>
              <w:left w:w="28" w:type="dxa"/>
              <w:right w:w="28" w:type="dxa"/>
            </w:tcMar>
            <w:vAlign w:val="center"/>
          </w:tcPr>
          <w:p w14:paraId="2B7A3C63">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P0</w:t>
            </w:r>
          </w:p>
        </w:tc>
        <w:tc>
          <w:tcPr>
            <w:tcW w:w="3052" w:type="dxa"/>
            <w:noWrap w:val="0"/>
            <w:tcMar>
              <w:left w:w="28" w:type="dxa"/>
              <w:right w:w="28" w:type="dxa"/>
            </w:tcMar>
            <w:vAlign w:val="center"/>
          </w:tcPr>
          <w:p w14:paraId="3ECE55DF">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环境压力</w:t>
            </w:r>
          </w:p>
        </w:tc>
        <w:tc>
          <w:tcPr>
            <w:tcW w:w="1780" w:type="dxa"/>
            <w:noWrap w:val="0"/>
            <w:tcMar>
              <w:left w:w="28" w:type="dxa"/>
              <w:right w:w="28" w:type="dxa"/>
            </w:tcMar>
            <w:vAlign w:val="center"/>
          </w:tcPr>
          <w:p w14:paraId="39CF03CE">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atm</w:t>
            </w:r>
          </w:p>
        </w:tc>
        <w:tc>
          <w:tcPr>
            <w:tcW w:w="2129" w:type="dxa"/>
            <w:noWrap w:val="0"/>
            <w:tcMar>
              <w:left w:w="28" w:type="dxa"/>
              <w:right w:w="28" w:type="dxa"/>
            </w:tcMar>
            <w:vAlign w:val="center"/>
          </w:tcPr>
          <w:p w14:paraId="17426DBB">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1</w:t>
            </w:r>
          </w:p>
        </w:tc>
      </w:tr>
      <w:tr w14:paraId="5306463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97" w:hRule="atLeast"/>
        </w:trPr>
        <w:tc>
          <w:tcPr>
            <w:tcW w:w="1657" w:type="dxa"/>
            <w:noWrap w:val="0"/>
            <w:tcMar>
              <w:left w:w="28" w:type="dxa"/>
              <w:right w:w="28" w:type="dxa"/>
            </w:tcMar>
            <w:vAlign w:val="center"/>
          </w:tcPr>
          <w:p w14:paraId="0123239A">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G</w:t>
            </w:r>
          </w:p>
        </w:tc>
        <w:tc>
          <w:tcPr>
            <w:tcW w:w="3052" w:type="dxa"/>
            <w:noWrap w:val="0"/>
            <w:tcMar>
              <w:left w:w="28" w:type="dxa"/>
              <w:right w:w="28" w:type="dxa"/>
            </w:tcMar>
            <w:vAlign w:val="center"/>
          </w:tcPr>
          <w:p w14:paraId="3EE2E493">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重力加速度</w:t>
            </w:r>
          </w:p>
        </w:tc>
        <w:tc>
          <w:tcPr>
            <w:tcW w:w="1780" w:type="dxa"/>
            <w:noWrap w:val="0"/>
            <w:tcMar>
              <w:left w:w="28" w:type="dxa"/>
              <w:right w:w="28" w:type="dxa"/>
            </w:tcMar>
            <w:vAlign w:val="center"/>
          </w:tcPr>
          <w:p w14:paraId="7CBA3260">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m/s</w:t>
            </w:r>
            <w:r>
              <w:rPr>
                <w:rFonts w:hint="default" w:ascii="Times New Roman" w:hAnsi="Times New Roman" w:eastAsia="宋体" w:cs="Times New Roman"/>
                <w:color w:val="auto"/>
                <w:highlight w:val="none"/>
                <w:vertAlign w:val="superscript"/>
              </w:rPr>
              <w:t>2</w:t>
            </w:r>
          </w:p>
        </w:tc>
        <w:tc>
          <w:tcPr>
            <w:tcW w:w="2129" w:type="dxa"/>
            <w:noWrap w:val="0"/>
            <w:tcMar>
              <w:left w:w="28" w:type="dxa"/>
              <w:right w:w="28" w:type="dxa"/>
            </w:tcMar>
            <w:vAlign w:val="center"/>
          </w:tcPr>
          <w:p w14:paraId="0A899ABF">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9.8</w:t>
            </w:r>
            <w:r>
              <w:rPr>
                <w:rFonts w:hint="default" w:ascii="Times New Roman" w:hAnsi="Times New Roman" w:eastAsia="宋体" w:cs="Times New Roman"/>
                <w:color w:val="auto"/>
                <w:highlight w:val="none"/>
                <w:lang w:val="en-US" w:eastAsia="zh-CN"/>
              </w:rPr>
              <w:t>1</w:t>
            </w:r>
          </w:p>
        </w:tc>
      </w:tr>
      <w:tr w14:paraId="383AC51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97" w:hRule="atLeast"/>
        </w:trPr>
        <w:tc>
          <w:tcPr>
            <w:tcW w:w="1657" w:type="dxa"/>
            <w:noWrap w:val="0"/>
            <w:tcMar>
              <w:left w:w="28" w:type="dxa"/>
              <w:right w:w="28" w:type="dxa"/>
            </w:tcMar>
            <w:vAlign w:val="center"/>
          </w:tcPr>
          <w:p w14:paraId="5007042E">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t>
            </w:r>
          </w:p>
        </w:tc>
        <w:tc>
          <w:tcPr>
            <w:tcW w:w="3052" w:type="dxa"/>
            <w:noWrap w:val="0"/>
            <w:tcMar>
              <w:left w:w="28" w:type="dxa"/>
              <w:right w:w="28" w:type="dxa"/>
            </w:tcMar>
            <w:vAlign w:val="center"/>
          </w:tcPr>
          <w:p w14:paraId="738EB2D6">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裂口之上液位高度</w:t>
            </w:r>
          </w:p>
        </w:tc>
        <w:tc>
          <w:tcPr>
            <w:tcW w:w="1780" w:type="dxa"/>
            <w:noWrap w:val="0"/>
            <w:tcMar>
              <w:left w:w="28" w:type="dxa"/>
              <w:right w:w="28" w:type="dxa"/>
            </w:tcMar>
            <w:vAlign w:val="center"/>
          </w:tcPr>
          <w:p w14:paraId="35DAD2C6">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w:t>
            </w:r>
          </w:p>
        </w:tc>
        <w:tc>
          <w:tcPr>
            <w:tcW w:w="2129" w:type="dxa"/>
            <w:noWrap w:val="0"/>
            <w:tcMar>
              <w:left w:w="28" w:type="dxa"/>
              <w:right w:w="28" w:type="dxa"/>
            </w:tcMar>
            <w:vAlign w:val="center"/>
          </w:tcPr>
          <w:p w14:paraId="506F452C">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0.01</w:t>
            </w:r>
          </w:p>
        </w:tc>
      </w:tr>
      <w:tr w14:paraId="399578A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97" w:hRule="atLeast"/>
        </w:trPr>
        <w:tc>
          <w:tcPr>
            <w:tcW w:w="1657" w:type="dxa"/>
            <w:noWrap w:val="0"/>
            <w:tcMar>
              <w:left w:w="28" w:type="dxa"/>
              <w:right w:w="28" w:type="dxa"/>
            </w:tcMar>
            <w:vAlign w:val="center"/>
          </w:tcPr>
          <w:p w14:paraId="1290B020">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Q</w:t>
            </w:r>
          </w:p>
        </w:tc>
        <w:tc>
          <w:tcPr>
            <w:tcW w:w="3052" w:type="dxa"/>
            <w:noWrap w:val="0"/>
            <w:tcMar>
              <w:left w:w="28" w:type="dxa"/>
              <w:right w:w="28" w:type="dxa"/>
            </w:tcMar>
            <w:vAlign w:val="center"/>
          </w:tcPr>
          <w:p w14:paraId="268E7F18">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液体泄漏速度</w:t>
            </w:r>
          </w:p>
        </w:tc>
        <w:tc>
          <w:tcPr>
            <w:tcW w:w="1780" w:type="dxa"/>
            <w:noWrap w:val="0"/>
            <w:tcMar>
              <w:left w:w="28" w:type="dxa"/>
              <w:right w:w="28" w:type="dxa"/>
            </w:tcMar>
            <w:vAlign w:val="center"/>
          </w:tcPr>
          <w:p w14:paraId="1F2B4C15">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kg/s</w:t>
            </w:r>
          </w:p>
        </w:tc>
        <w:tc>
          <w:tcPr>
            <w:tcW w:w="2129" w:type="dxa"/>
            <w:noWrap w:val="0"/>
            <w:tcMar>
              <w:left w:w="28" w:type="dxa"/>
              <w:right w:w="28" w:type="dxa"/>
            </w:tcMar>
            <w:vAlign w:val="center"/>
          </w:tcPr>
          <w:p w14:paraId="4D6B92F6">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0.060</w:t>
            </w:r>
          </w:p>
        </w:tc>
      </w:tr>
      <w:tr w14:paraId="6488BFE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97" w:hRule="atLeast"/>
        </w:trPr>
        <w:tc>
          <w:tcPr>
            <w:tcW w:w="1657" w:type="dxa"/>
            <w:noWrap w:val="0"/>
            <w:tcMar>
              <w:left w:w="28" w:type="dxa"/>
              <w:right w:w="28" w:type="dxa"/>
            </w:tcMar>
            <w:vAlign w:val="center"/>
          </w:tcPr>
          <w:p w14:paraId="2327AD17">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w:t>
            </w:r>
          </w:p>
        </w:tc>
        <w:tc>
          <w:tcPr>
            <w:tcW w:w="3052" w:type="dxa"/>
            <w:noWrap w:val="0"/>
            <w:tcMar>
              <w:left w:w="28" w:type="dxa"/>
              <w:right w:w="28" w:type="dxa"/>
            </w:tcMar>
            <w:vAlign w:val="center"/>
          </w:tcPr>
          <w:p w14:paraId="4CA28457">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泄漏时间</w:t>
            </w:r>
          </w:p>
        </w:tc>
        <w:tc>
          <w:tcPr>
            <w:tcW w:w="1780" w:type="dxa"/>
            <w:noWrap w:val="0"/>
            <w:tcMar>
              <w:left w:w="28" w:type="dxa"/>
              <w:right w:w="28" w:type="dxa"/>
            </w:tcMar>
            <w:vAlign w:val="center"/>
          </w:tcPr>
          <w:p w14:paraId="668DFF4F">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w:t>
            </w:r>
          </w:p>
        </w:tc>
        <w:tc>
          <w:tcPr>
            <w:tcW w:w="2129" w:type="dxa"/>
            <w:noWrap w:val="0"/>
            <w:tcMar>
              <w:left w:w="28" w:type="dxa"/>
              <w:right w:w="28" w:type="dxa"/>
            </w:tcMar>
            <w:vAlign w:val="center"/>
          </w:tcPr>
          <w:p w14:paraId="2A7D3998">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600</w:t>
            </w:r>
          </w:p>
        </w:tc>
      </w:tr>
      <w:tr w14:paraId="3646CF5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15" w:hRule="atLeast"/>
        </w:trPr>
        <w:tc>
          <w:tcPr>
            <w:tcW w:w="1657" w:type="dxa"/>
            <w:noWrap w:val="0"/>
            <w:tcMar>
              <w:left w:w="28" w:type="dxa"/>
              <w:right w:w="28" w:type="dxa"/>
            </w:tcMar>
            <w:vAlign w:val="center"/>
          </w:tcPr>
          <w:p w14:paraId="2CBE83A2">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p>
        </w:tc>
        <w:tc>
          <w:tcPr>
            <w:tcW w:w="3052" w:type="dxa"/>
            <w:noWrap w:val="0"/>
            <w:tcMar>
              <w:left w:w="28" w:type="dxa"/>
              <w:right w:w="28" w:type="dxa"/>
            </w:tcMar>
            <w:vAlign w:val="center"/>
          </w:tcPr>
          <w:p w14:paraId="5251730E">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泄漏量</w:t>
            </w:r>
          </w:p>
        </w:tc>
        <w:tc>
          <w:tcPr>
            <w:tcW w:w="1780" w:type="dxa"/>
            <w:noWrap w:val="0"/>
            <w:tcMar>
              <w:left w:w="28" w:type="dxa"/>
              <w:right w:w="28" w:type="dxa"/>
            </w:tcMar>
            <w:vAlign w:val="center"/>
          </w:tcPr>
          <w:p w14:paraId="32343645">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w:t>
            </w:r>
          </w:p>
        </w:tc>
        <w:tc>
          <w:tcPr>
            <w:tcW w:w="2129" w:type="dxa"/>
            <w:noWrap w:val="0"/>
            <w:tcMar>
              <w:left w:w="28" w:type="dxa"/>
              <w:right w:w="28" w:type="dxa"/>
            </w:tcMar>
            <w:vAlign w:val="center"/>
          </w:tcPr>
          <w:p w14:paraId="706E9E2F">
            <w:pPr>
              <w:pStyle w:val="86"/>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0.036</w:t>
            </w:r>
          </w:p>
        </w:tc>
      </w:tr>
    </w:tbl>
    <w:p w14:paraId="5761EA2A">
      <w:pPr>
        <w:pageBreakBefore w:val="0"/>
        <w:widowControl w:val="0"/>
        <w:shd w:val="clear"/>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正己烷泵连接管</w:t>
      </w:r>
      <w:r>
        <w:rPr>
          <w:rFonts w:hint="default" w:ascii="Times New Roman" w:hAnsi="Times New Roman" w:eastAsia="宋体" w:cs="Times New Roman"/>
          <w:color w:val="auto"/>
          <w:sz w:val="24"/>
          <w:szCs w:val="24"/>
          <w:highlight w:val="none"/>
        </w:rPr>
        <w:t>泄漏时间取10min，经计算，其泄漏速率为</w:t>
      </w:r>
      <w:r>
        <w:rPr>
          <w:rFonts w:hint="default" w:ascii="Times New Roman" w:hAnsi="Times New Roman" w:eastAsia="宋体" w:cs="Times New Roman"/>
          <w:color w:val="auto"/>
          <w:sz w:val="24"/>
          <w:szCs w:val="24"/>
          <w:highlight w:val="none"/>
          <w:lang w:val="en-US" w:eastAsia="zh-CN"/>
        </w:rPr>
        <w:t>0.06</w:t>
      </w:r>
      <w:r>
        <w:rPr>
          <w:rFonts w:hint="default" w:ascii="Times New Roman" w:hAnsi="Times New Roman" w:eastAsia="宋体" w:cs="Times New Roman"/>
          <w:color w:val="auto"/>
          <w:sz w:val="24"/>
          <w:szCs w:val="24"/>
          <w:highlight w:val="none"/>
        </w:rPr>
        <w:t>kg/s，泄漏量为</w:t>
      </w:r>
      <w:r>
        <w:rPr>
          <w:rFonts w:hint="default" w:ascii="Times New Roman" w:hAnsi="Times New Roman" w:eastAsia="宋体" w:cs="Times New Roman"/>
          <w:color w:val="auto"/>
          <w:sz w:val="24"/>
          <w:szCs w:val="24"/>
          <w:highlight w:val="none"/>
          <w:lang w:val="en-US" w:eastAsia="zh-CN"/>
        </w:rPr>
        <w:t>0.036</w:t>
      </w:r>
      <w:r>
        <w:rPr>
          <w:rFonts w:hint="default" w:ascii="Times New Roman" w:hAnsi="Times New Roman" w:eastAsia="宋体" w:cs="Times New Roman"/>
          <w:color w:val="auto"/>
          <w:sz w:val="24"/>
          <w:szCs w:val="24"/>
          <w:highlight w:val="none"/>
        </w:rPr>
        <w:t>t。泄漏后，液态物料</w:t>
      </w:r>
      <w:r>
        <w:rPr>
          <w:rFonts w:hint="default" w:ascii="Times New Roman" w:hAnsi="Times New Roman" w:eastAsia="宋体" w:cs="Times New Roman"/>
          <w:color w:val="auto"/>
          <w:sz w:val="24"/>
          <w:szCs w:val="24"/>
          <w:highlight w:val="none"/>
          <w:lang w:eastAsia="zh-CN"/>
        </w:rPr>
        <w:t>少</w:t>
      </w:r>
      <w:r>
        <w:rPr>
          <w:rFonts w:hint="default" w:ascii="Times New Roman" w:hAnsi="Times New Roman" w:eastAsia="宋体" w:cs="Times New Roman"/>
          <w:color w:val="auto"/>
          <w:sz w:val="24"/>
          <w:szCs w:val="24"/>
          <w:highlight w:val="none"/>
        </w:rPr>
        <w:t>部分蒸发进入大气，其余仍以液态形式存在，</w:t>
      </w:r>
      <w:r>
        <w:rPr>
          <w:rFonts w:hint="default" w:ascii="Times New Roman" w:hAnsi="Times New Roman" w:eastAsia="宋体" w:cs="Times New Roman"/>
          <w:color w:val="auto"/>
          <w:sz w:val="24"/>
          <w:szCs w:val="24"/>
          <w:highlight w:val="none"/>
          <w:lang w:eastAsia="zh-CN"/>
        </w:rPr>
        <w:t>收集于围堰中</w:t>
      </w:r>
      <w:r>
        <w:rPr>
          <w:rFonts w:hint="default" w:ascii="Times New Roman" w:hAnsi="Times New Roman" w:eastAsia="宋体" w:cs="Times New Roman"/>
          <w:color w:val="auto"/>
          <w:sz w:val="24"/>
          <w:szCs w:val="24"/>
          <w:highlight w:val="none"/>
        </w:rPr>
        <w:t>待收容处理。</w:t>
      </w:r>
      <w:r>
        <w:rPr>
          <w:rFonts w:hint="default" w:ascii="Times New Roman" w:hAnsi="Times New Roman" w:eastAsia="宋体" w:cs="Times New Roman"/>
          <w:color w:val="auto"/>
          <w:sz w:val="24"/>
          <w:szCs w:val="24"/>
          <w:highlight w:val="none"/>
          <w:lang w:eastAsia="zh-CN"/>
        </w:rPr>
        <w:t>由计算结果可知，</w:t>
      </w:r>
      <w:r>
        <w:rPr>
          <w:rFonts w:hint="default" w:ascii="Times New Roman" w:hAnsi="Times New Roman" w:eastAsia="宋体" w:cs="Times New Roman"/>
          <w:color w:val="auto"/>
          <w:sz w:val="24"/>
          <w:szCs w:val="24"/>
          <w:highlight w:val="none"/>
          <w:lang w:val="en-US" w:eastAsia="zh-CN"/>
        </w:rPr>
        <w:t>泵连接管</w:t>
      </w:r>
      <w:r>
        <w:rPr>
          <w:rFonts w:hint="default" w:ascii="Times New Roman" w:hAnsi="Times New Roman" w:eastAsia="宋体" w:cs="Times New Roman"/>
          <w:color w:val="auto"/>
          <w:sz w:val="24"/>
          <w:szCs w:val="24"/>
          <w:highlight w:val="none"/>
        </w:rPr>
        <w:t>泄漏</w:t>
      </w:r>
      <w:r>
        <w:rPr>
          <w:rFonts w:hint="default" w:ascii="Times New Roman" w:hAnsi="Times New Roman" w:eastAsia="宋体" w:cs="Times New Roman"/>
          <w:color w:val="auto"/>
          <w:sz w:val="24"/>
          <w:szCs w:val="24"/>
          <w:highlight w:val="none"/>
          <w:lang w:eastAsia="zh-CN"/>
        </w:rPr>
        <w:t>与储罐泄漏相比源强较小。</w:t>
      </w:r>
    </w:p>
    <w:p w14:paraId="6AEE0886">
      <w:pPr>
        <w:pStyle w:val="5"/>
        <w:pageBreakBefore w:val="0"/>
        <w:numPr>
          <w:ilvl w:val="0"/>
          <w:numId w:val="0"/>
        </w:numPr>
        <w:kinsoku/>
        <w:wordWrap/>
        <w:overflowPunct/>
        <w:topLinePunct w:val="0"/>
        <w:autoSpaceDE/>
        <w:autoSpaceDN/>
        <w:bidi w:val="0"/>
        <w:adjustRightInd w:val="0"/>
        <w:snapToGrid w:val="0"/>
        <w:spacing w:before="0" w:line="360" w:lineRule="auto"/>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5.2.3火灾、爆炸后产生次生污染物分析</w:t>
      </w:r>
    </w:p>
    <w:p w14:paraId="1A3A3B35">
      <w:pPr>
        <w:pageBreakBefore w:val="0"/>
        <w:widowControl w:val="0"/>
        <w:shd w:val="clear"/>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正己烷发生火灾、爆炸引起的伴生/次生污染物排放：首先通过放出辐射热影响周围环境，其次是伴随释放的大量烃类、CO 等污染物会对环境空气和人群健康、造成不利影响。</w:t>
      </w:r>
    </w:p>
    <w:p w14:paraId="1D09EA7B">
      <w:pPr>
        <w:pStyle w:val="4"/>
        <w:keepNext/>
        <w:keepLines/>
        <w:pageBreakBefore w:val="0"/>
        <w:widowControl w:val="0"/>
        <w:numPr>
          <w:ilvl w:val="2"/>
          <w:numId w:val="0"/>
        </w:numPr>
        <w:shd w:val="clear"/>
        <w:kinsoku/>
        <w:wordWrap/>
        <w:overflowPunct/>
        <w:topLinePunct w:val="0"/>
        <w:autoSpaceDE/>
        <w:autoSpaceDN/>
        <w:bidi w:val="0"/>
        <w:adjustRightInd w:val="0"/>
        <w:snapToGrid w:val="0"/>
        <w:spacing w:beforeLines="0" w:afterLines="0" w:line="360" w:lineRule="auto"/>
        <w:ind w:left="0" w:leftChars="0" w:right="0" w:rightChars="0"/>
        <w:textAlignment w:val="auto"/>
        <w:outlineLvl w:val="1"/>
        <w:rPr>
          <w:rFonts w:hint="default" w:ascii="Times New Roman" w:hAnsi="Times New Roman" w:eastAsia="宋体" w:cs="Times New Roman"/>
          <w:b/>
          <w:bCs w:val="0"/>
          <w:color w:val="auto"/>
          <w:kern w:val="2"/>
          <w:sz w:val="24"/>
          <w:szCs w:val="24"/>
          <w:highlight w:val="none"/>
          <w:lang w:val="en-US" w:eastAsia="zh-CN" w:bidi="ar-SA"/>
        </w:rPr>
      </w:pPr>
      <w:bookmarkStart w:id="94" w:name="_Toc12262"/>
      <w:bookmarkStart w:id="95" w:name="_Toc8476"/>
      <w:r>
        <w:rPr>
          <w:rFonts w:hint="default" w:ascii="Times New Roman" w:hAnsi="Times New Roman" w:eastAsia="宋体" w:cs="Times New Roman"/>
          <w:b/>
          <w:bCs w:val="0"/>
          <w:color w:val="auto"/>
          <w:kern w:val="2"/>
          <w:sz w:val="24"/>
          <w:szCs w:val="24"/>
          <w:highlight w:val="none"/>
          <w:lang w:val="en-US" w:eastAsia="zh-CN" w:bidi="ar-SA"/>
        </w:rPr>
        <w:t>5.3同类项目典型事故统计分析</w:t>
      </w:r>
      <w:bookmarkEnd w:id="94"/>
      <w:bookmarkEnd w:id="95"/>
    </w:p>
    <w:p w14:paraId="5958FEA0">
      <w:pPr>
        <w:pStyle w:val="121"/>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eastAsia="zh-CN"/>
        </w:rPr>
        <w:t>）2007年9月7日下午17时50分左右，某燃气技术开发有限公司，城东门站搬迁工程新建天然气门]站调压区工艺管道，自检气密试验过程中发生一起工艺管道燃爆事故，造成2死1伤。</w:t>
      </w:r>
    </w:p>
    <w:p w14:paraId="1A089417">
      <w:pPr>
        <w:pStyle w:val="121"/>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事故主要原因是工艺管道在试压过程中违章使用氧气试气密，且阀门内存有油脂和管道内存有焊渣、颗粒状物是导致发生爆炸的根本原因。从事故后掌握的情况进行分析推断，事故的发生过程是由于管道内部在富氧、纯氧状态下遇到激发能量后，引起激烈的化学反应</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燃烧</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在温度的影响下，管道内的气体迅速膨胀和管道材质机械性能的下降致使管道燃爆。燃爆后大量氧气喷出，反应释放出大量热能，喷射火喷射的高温致使钢管熔化、燃烧反应更加激烈，导致大面积管线、阀门烧毁和人员伤亡。</w:t>
      </w:r>
    </w:p>
    <w:p w14:paraId="49D49AE1">
      <w:pPr>
        <w:pStyle w:val="121"/>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（2）2011年2月8日</w:t>
      </w:r>
      <w:r>
        <w:rPr>
          <w:rFonts w:hint="default" w:ascii="Times New Roman" w:hAnsi="Times New Roman" w:cs="Times New Roman"/>
          <w:color w:val="auto"/>
          <w:sz w:val="24"/>
          <w:highlight w:val="none"/>
          <w:lang w:val="en-US" w:eastAsia="zh-CN"/>
        </w:rPr>
        <w:t>晚7时</w:t>
      </w:r>
      <w:r>
        <w:rPr>
          <w:rFonts w:hint="default" w:ascii="Times New Roman" w:hAnsi="Times New Roman" w:eastAsia="宋体" w:cs="Times New Roman"/>
          <w:color w:val="auto"/>
          <w:sz w:val="24"/>
          <w:highlight w:val="none"/>
          <w:lang w:val="en-US" w:eastAsia="zh-CN"/>
        </w:rPr>
        <w:t>07分，江苏徐州市二环西路北首沈场立交桥西南侧的加气站储气罐发生泄漏引发大火。徐州消防支队先后出动15辆消防车、80余名官兵赶往现场处置火情。8日</w:t>
      </w:r>
      <w:r>
        <w:rPr>
          <w:rFonts w:hint="default" w:ascii="Times New Roman" w:hAnsi="Times New Roman" w:cs="Times New Roman"/>
          <w:color w:val="auto"/>
          <w:sz w:val="24"/>
          <w:highlight w:val="none"/>
          <w:lang w:val="en-US" w:eastAsia="zh-CN"/>
        </w:rPr>
        <w:t>晚7时</w:t>
      </w:r>
      <w:r>
        <w:rPr>
          <w:rFonts w:hint="default" w:ascii="Times New Roman" w:hAnsi="Times New Roman" w:eastAsia="宋体" w:cs="Times New Roman"/>
          <w:color w:val="auto"/>
          <w:sz w:val="24"/>
          <w:highlight w:val="none"/>
          <w:lang w:val="en-US" w:eastAsia="zh-CN"/>
        </w:rPr>
        <w:t>50分，20余米高的火势被控制。</w:t>
      </w:r>
    </w:p>
    <w:p w14:paraId="5AC982EB">
      <w:pPr>
        <w:pStyle w:val="121"/>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9日</w:t>
      </w:r>
      <w:r>
        <w:rPr>
          <w:rFonts w:hint="default" w:ascii="Times New Roman" w:hAnsi="Times New Roman" w:cs="Times New Roman"/>
          <w:color w:val="auto"/>
          <w:sz w:val="24"/>
          <w:highlight w:val="none"/>
          <w:lang w:val="en-US" w:eastAsia="zh-CN"/>
        </w:rPr>
        <w:t>15时50</w:t>
      </w:r>
      <w:r>
        <w:rPr>
          <w:rFonts w:hint="default" w:ascii="Times New Roman" w:hAnsi="Times New Roman" w:eastAsia="宋体" w:cs="Times New Roman"/>
          <w:color w:val="auto"/>
          <w:sz w:val="24"/>
          <w:highlight w:val="none"/>
          <w:lang w:val="en-US" w:eastAsia="zh-CN"/>
        </w:rPr>
        <w:t>左右，大火现场依然看到硕大的储气罐还不时冒起一人多高的火苗，加气站周围沿铜沛路口、二环北路口、黄河北路口等地方依然拉着警戒线，数辆消防车停在火场附近，数十名</w:t>
      </w:r>
      <w:r>
        <w:rPr>
          <w:rFonts w:hint="eastAsia" w:ascii="Times New Roman" w:hAnsi="Times New Roman" w:cs="Times New Roman"/>
          <w:color w:val="auto"/>
          <w:sz w:val="24"/>
          <w:highlight w:val="none"/>
          <w:lang w:val="en-US" w:eastAsia="zh-CN"/>
        </w:rPr>
        <w:t>消防救援人员</w:t>
      </w:r>
      <w:r>
        <w:rPr>
          <w:rFonts w:hint="default" w:ascii="Times New Roman" w:hAnsi="Times New Roman" w:eastAsia="宋体" w:cs="Times New Roman"/>
          <w:color w:val="auto"/>
          <w:sz w:val="24"/>
          <w:highlight w:val="none"/>
          <w:lang w:val="en-US" w:eastAsia="zh-CN"/>
        </w:rPr>
        <w:t>仍然在紧张地降温灭火。直到</w:t>
      </w:r>
      <w:r>
        <w:rPr>
          <w:rFonts w:hint="default" w:ascii="Times New Roman" w:hAnsi="Times New Roman" w:cs="Times New Roman"/>
          <w:color w:val="auto"/>
          <w:sz w:val="24"/>
          <w:highlight w:val="none"/>
          <w:lang w:val="en-US" w:eastAsia="zh-CN"/>
        </w:rPr>
        <w:t>16时30</w:t>
      </w:r>
      <w:r>
        <w:rPr>
          <w:rFonts w:hint="default" w:ascii="Times New Roman" w:hAnsi="Times New Roman" w:eastAsia="宋体" w:cs="Times New Roman"/>
          <w:color w:val="auto"/>
          <w:sz w:val="24"/>
          <w:highlight w:val="none"/>
          <w:lang w:val="en-US" w:eastAsia="zh-CN"/>
        </w:rPr>
        <w:t>分左右，气罐周围不时冒起的零星火苗被消防队员成功扑灭，排除了隐患。</w:t>
      </w:r>
    </w:p>
    <w:p w14:paraId="77BD3C32">
      <w:pPr>
        <w:pStyle w:val="121"/>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rPr>
        <w:sectPr>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type="linesAndChars" w:linePitch="312" w:charSpace="0"/>
        </w:sectPr>
      </w:pPr>
      <w:r>
        <w:rPr>
          <w:rFonts w:hint="default" w:ascii="Times New Roman" w:hAnsi="Times New Roman" w:eastAsia="宋体" w:cs="Times New Roman"/>
          <w:color w:val="auto"/>
          <w:sz w:val="24"/>
          <w:highlight w:val="none"/>
          <w:lang w:val="en-US" w:eastAsia="zh-CN"/>
        </w:rPr>
        <w:t>事故主要原因是：1、燃烧区域集中在LNG贮罐底部的阀门管道区域；2、大火从8日19时07分开始，9日16时30分扑灭，历时21小时20分钟，最高火焰高度达到20余米。分析：在LNG贮罐区域着火应有两个条件，一是泄漏，二是点火源，从现场情况可知，失火前，贮罐底部区域出现LNG泄漏，但是没有天然气泄漏报警。因贮罐底部区域内不存在明火及非</w:t>
      </w:r>
      <w:r>
        <w:rPr>
          <w:rFonts w:hint="default" w:ascii="Times New Roman" w:hAnsi="Times New Roman" w:cs="Times New Roman"/>
          <w:color w:val="auto"/>
          <w:sz w:val="24"/>
          <w:highlight w:val="none"/>
          <w:lang w:val="en-US" w:eastAsia="zh-CN"/>
        </w:rPr>
        <w:t>防爆电器</w:t>
      </w:r>
      <w:r>
        <w:rPr>
          <w:rFonts w:hint="default" w:ascii="Times New Roman" w:hAnsi="Times New Roman" w:eastAsia="宋体" w:cs="Times New Roman"/>
          <w:color w:val="auto"/>
          <w:sz w:val="24"/>
          <w:highlight w:val="none"/>
          <w:lang w:val="en-US" w:eastAsia="zh-CN"/>
        </w:rPr>
        <w:t>，所以点火源可能是外来的火种，当时正值正月初六，居民燃放的</w:t>
      </w:r>
      <w:r>
        <w:rPr>
          <w:rFonts w:hint="default" w:ascii="Times New Roman" w:hAnsi="Times New Roman" w:cs="Times New Roman"/>
          <w:color w:val="auto"/>
          <w:sz w:val="24"/>
          <w:highlight w:val="none"/>
          <w:lang w:val="en-US" w:eastAsia="zh-CN"/>
        </w:rPr>
        <w:t>烟花爆竹</w:t>
      </w:r>
      <w:r>
        <w:rPr>
          <w:rFonts w:hint="default" w:ascii="Times New Roman" w:hAnsi="Times New Roman" w:eastAsia="宋体" w:cs="Times New Roman"/>
          <w:color w:val="auto"/>
          <w:sz w:val="24"/>
          <w:highlight w:val="none"/>
          <w:lang w:val="en-US" w:eastAsia="zh-CN"/>
        </w:rPr>
        <w:t>是可能的外来火种。外来火种点燃了贮罐底部泄漏的天然气，引发大火。</w:t>
      </w:r>
    </w:p>
    <w:p w14:paraId="1F414D39">
      <w:pPr>
        <w:pStyle w:val="2"/>
        <w:pageBreakBefore w:val="0"/>
        <w:numPr>
          <w:ilvl w:val="0"/>
          <w:numId w:val="0"/>
        </w:numPr>
        <w:kinsoku/>
        <w:wordWrap/>
        <w:overflowPunct/>
        <w:topLinePunct w:val="0"/>
        <w:autoSpaceDE/>
        <w:autoSpaceDN/>
        <w:bidi w:val="0"/>
        <w:adjustRightInd w:val="0"/>
        <w:snapToGrid w:val="0"/>
        <w:spacing w:before="0" w:after="0" w:line="360" w:lineRule="auto"/>
        <w:ind w:left="0" w:leftChars="0" w:firstLine="0" w:firstLineChars="0"/>
        <w:textAlignment w:val="auto"/>
        <w:outlineLvl w:val="0"/>
        <w:rPr>
          <w:rFonts w:hint="default" w:ascii="Times New Roman" w:hAnsi="Times New Roman" w:eastAsia="宋体" w:cs="Times New Roman"/>
          <w:color w:val="auto"/>
          <w:sz w:val="28"/>
          <w:szCs w:val="28"/>
          <w:highlight w:val="none"/>
          <w:lang w:val="en-US" w:eastAsia="zh-CN"/>
        </w:rPr>
      </w:pPr>
      <w:bookmarkStart w:id="96" w:name="_Toc27221"/>
      <w:bookmarkStart w:id="97" w:name="_Toc10619"/>
      <w:r>
        <w:rPr>
          <w:rFonts w:hint="default" w:ascii="Times New Roman" w:hAnsi="Times New Roman" w:eastAsia="宋体" w:cs="Times New Roman"/>
          <w:color w:val="auto"/>
          <w:sz w:val="28"/>
          <w:szCs w:val="28"/>
          <w:highlight w:val="none"/>
          <w:lang w:val="en-US" w:eastAsia="zh-CN"/>
        </w:rPr>
        <w:t>6环境风险影响分析</w:t>
      </w:r>
      <w:bookmarkEnd w:id="96"/>
      <w:bookmarkEnd w:id="97"/>
    </w:p>
    <w:p w14:paraId="04A5A78B">
      <w:pPr>
        <w:pStyle w:val="3"/>
        <w:pageBreakBefore w:val="0"/>
        <w:numPr>
          <w:ilvl w:val="1"/>
          <w:numId w:val="0"/>
        </w:numPr>
        <w:kinsoku/>
        <w:wordWrap/>
        <w:overflowPunct/>
        <w:topLinePunct w:val="0"/>
        <w:autoSpaceDE/>
        <w:autoSpaceDN/>
        <w:bidi w:val="0"/>
        <w:adjustRightInd w:val="0"/>
        <w:snapToGrid w:val="0"/>
        <w:spacing w:beforeLines="0" w:afterLines="0" w:line="360" w:lineRule="auto"/>
        <w:ind w:left="0" w:leftChars="0" w:firstLine="0" w:firstLineChars="0"/>
        <w:textAlignment w:val="auto"/>
        <w:outlineLvl w:val="1"/>
        <w:rPr>
          <w:rFonts w:hint="default" w:ascii="Times New Roman" w:hAnsi="Times New Roman" w:eastAsia="宋体" w:cs="Times New Roman"/>
          <w:color w:val="auto"/>
          <w:sz w:val="24"/>
          <w:szCs w:val="24"/>
          <w:highlight w:val="none"/>
          <w:lang w:val="en-US" w:eastAsia="zh-CN"/>
        </w:rPr>
      </w:pPr>
      <w:bookmarkStart w:id="98" w:name="_Toc9824"/>
      <w:r>
        <w:rPr>
          <w:rFonts w:hint="default" w:ascii="Times New Roman" w:hAnsi="Times New Roman" w:eastAsia="宋体" w:cs="Times New Roman"/>
          <w:color w:val="auto"/>
          <w:sz w:val="24"/>
          <w:szCs w:val="24"/>
          <w:highlight w:val="none"/>
          <w:lang w:val="en-US" w:eastAsia="zh-CN"/>
        </w:rPr>
        <w:t>6.1大气环境风险影响分析</w:t>
      </w:r>
      <w:bookmarkEnd w:id="98"/>
    </w:p>
    <w:p w14:paraId="0A6A7F77">
      <w:pPr>
        <w:pStyle w:val="4"/>
        <w:pageBreakBefore w:val="0"/>
        <w:numPr>
          <w:ilvl w:val="2"/>
          <w:numId w:val="0"/>
        </w:numPr>
        <w:kinsoku/>
        <w:wordWrap/>
        <w:overflowPunct/>
        <w:topLinePunct w:val="0"/>
        <w:autoSpaceDE/>
        <w:autoSpaceDN/>
        <w:bidi w:val="0"/>
        <w:adjustRightInd w:val="0"/>
        <w:snapToGrid w:val="0"/>
        <w:spacing w:before="0" w:line="360" w:lineRule="auto"/>
        <w:ind w:left="0" w:leftChars="0" w:firstLine="0" w:firstLineChars="0"/>
        <w:textAlignment w:val="auto"/>
        <w:outlineLvl w:val="2"/>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6.1.1</w:t>
      </w:r>
      <w:r>
        <w:rPr>
          <w:rFonts w:hint="default" w:ascii="Times New Roman" w:hAnsi="Times New Roman" w:eastAsia="宋体" w:cs="Times New Roman"/>
          <w:color w:val="auto"/>
          <w:sz w:val="24"/>
          <w:szCs w:val="24"/>
          <w:highlight w:val="none"/>
        </w:rPr>
        <w:t>风险识别</w:t>
      </w:r>
    </w:p>
    <w:p w14:paraId="225B31D3">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根据导则规定，风险识别包括物质危险性识别、生产系统危险性识别、危险物质向环境转移的途径识别等。</w:t>
      </w:r>
    </w:p>
    <w:p w14:paraId="453B7FD6">
      <w:pPr>
        <w:pStyle w:val="83"/>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表</w:t>
      </w:r>
      <w:r>
        <w:rPr>
          <w:rFonts w:hint="default" w:ascii="Times New Roman" w:hAnsi="Times New Roman" w:eastAsia="宋体" w:cs="Times New Roman"/>
          <w:color w:val="auto"/>
          <w:sz w:val="24"/>
          <w:szCs w:val="24"/>
          <w:highlight w:val="none"/>
          <w:lang w:val="en-US" w:eastAsia="zh-CN"/>
        </w:rPr>
        <w:t>6-1</w:t>
      </w:r>
      <w:r>
        <w:rPr>
          <w:rFonts w:hint="default" w:ascii="Times New Roman" w:hAnsi="Times New Roman" w:eastAsia="宋体" w:cs="Times New Roman"/>
          <w:color w:val="auto"/>
          <w:sz w:val="24"/>
          <w:szCs w:val="24"/>
          <w:highlight w:val="none"/>
        </w:rPr>
        <w:t xml:space="preserve"> 本项目环境风险识别表</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84"/>
        <w:gridCol w:w="1053"/>
        <w:gridCol w:w="1580"/>
        <w:gridCol w:w="1318"/>
        <w:gridCol w:w="838"/>
        <w:gridCol w:w="824"/>
        <w:gridCol w:w="1496"/>
        <w:gridCol w:w="576"/>
      </w:tblGrid>
      <w:tr w14:paraId="47E4C0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84" w:type="dxa"/>
            <w:tcBorders>
              <w:tl2br w:val="nil"/>
              <w:tr2bl w:val="nil"/>
            </w:tcBorders>
            <w:noWrap w:val="0"/>
            <w:vAlign w:val="center"/>
          </w:tcPr>
          <w:p w14:paraId="2CEA718D">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1053" w:type="dxa"/>
            <w:tcBorders>
              <w:tl2br w:val="nil"/>
              <w:tr2bl w:val="nil"/>
            </w:tcBorders>
            <w:noWrap w:val="0"/>
            <w:vAlign w:val="center"/>
          </w:tcPr>
          <w:p w14:paraId="7BB1CB3F">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危险单元</w:t>
            </w:r>
          </w:p>
        </w:tc>
        <w:tc>
          <w:tcPr>
            <w:tcW w:w="1580" w:type="dxa"/>
            <w:tcBorders>
              <w:tl2br w:val="nil"/>
              <w:tr2bl w:val="nil"/>
            </w:tcBorders>
            <w:noWrap w:val="0"/>
            <w:vAlign w:val="center"/>
          </w:tcPr>
          <w:p w14:paraId="4555156B">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风险源</w:t>
            </w:r>
          </w:p>
        </w:tc>
        <w:tc>
          <w:tcPr>
            <w:tcW w:w="1318" w:type="dxa"/>
            <w:tcBorders>
              <w:tl2br w:val="nil"/>
              <w:tr2bl w:val="nil"/>
            </w:tcBorders>
            <w:noWrap w:val="0"/>
            <w:vAlign w:val="center"/>
          </w:tcPr>
          <w:p w14:paraId="011DC6B8">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主要危险物质</w:t>
            </w:r>
          </w:p>
        </w:tc>
        <w:tc>
          <w:tcPr>
            <w:tcW w:w="838" w:type="dxa"/>
            <w:tcBorders>
              <w:tl2br w:val="nil"/>
              <w:tr2bl w:val="nil"/>
            </w:tcBorders>
            <w:noWrap w:val="0"/>
            <w:vAlign w:val="center"/>
          </w:tcPr>
          <w:p w14:paraId="4BCA3FB3">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环境风险类型</w:t>
            </w:r>
          </w:p>
        </w:tc>
        <w:tc>
          <w:tcPr>
            <w:tcW w:w="824" w:type="dxa"/>
            <w:tcBorders>
              <w:tl2br w:val="nil"/>
              <w:tr2bl w:val="nil"/>
            </w:tcBorders>
            <w:noWrap w:val="0"/>
            <w:vAlign w:val="center"/>
          </w:tcPr>
          <w:p w14:paraId="673C3F0D">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环境影响途径</w:t>
            </w:r>
          </w:p>
        </w:tc>
        <w:tc>
          <w:tcPr>
            <w:tcW w:w="1496" w:type="dxa"/>
            <w:tcBorders>
              <w:tl2br w:val="nil"/>
              <w:tr2bl w:val="nil"/>
            </w:tcBorders>
            <w:noWrap w:val="0"/>
            <w:vAlign w:val="center"/>
          </w:tcPr>
          <w:p w14:paraId="1C815CF9">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可能受影响的环境敏感目标</w:t>
            </w:r>
          </w:p>
        </w:tc>
        <w:tc>
          <w:tcPr>
            <w:tcW w:w="576" w:type="dxa"/>
            <w:tcBorders>
              <w:tl2br w:val="nil"/>
              <w:tr2bl w:val="nil"/>
            </w:tcBorders>
            <w:noWrap w:val="0"/>
            <w:vAlign w:val="center"/>
          </w:tcPr>
          <w:p w14:paraId="412FE0A5">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备注</w:t>
            </w:r>
          </w:p>
        </w:tc>
      </w:tr>
      <w:tr w14:paraId="73EBDC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84" w:type="dxa"/>
            <w:tcBorders>
              <w:tl2br w:val="nil"/>
              <w:tr2bl w:val="nil"/>
            </w:tcBorders>
            <w:noWrap w:val="0"/>
            <w:vAlign w:val="center"/>
          </w:tcPr>
          <w:p w14:paraId="045C7B68">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053" w:type="dxa"/>
            <w:tcBorders>
              <w:tl2br w:val="nil"/>
              <w:tr2bl w:val="nil"/>
            </w:tcBorders>
            <w:noWrap w:val="0"/>
            <w:vAlign w:val="center"/>
          </w:tcPr>
          <w:p w14:paraId="56F7A87D">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正己烷储罐区</w:t>
            </w:r>
          </w:p>
        </w:tc>
        <w:tc>
          <w:tcPr>
            <w:tcW w:w="1580" w:type="dxa"/>
            <w:tcBorders>
              <w:tl2br w:val="nil"/>
              <w:tr2bl w:val="nil"/>
            </w:tcBorders>
            <w:noWrap w:val="0"/>
            <w:vAlign w:val="center"/>
          </w:tcPr>
          <w:p w14:paraId="78A0D493">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正己烷</w:t>
            </w:r>
            <w:r>
              <w:rPr>
                <w:rFonts w:hint="default" w:ascii="Times New Roman" w:hAnsi="Times New Roman" w:eastAsia="宋体" w:cs="Times New Roman"/>
                <w:color w:val="auto"/>
                <w:highlight w:val="none"/>
              </w:rPr>
              <w:t>储罐</w:t>
            </w:r>
          </w:p>
        </w:tc>
        <w:tc>
          <w:tcPr>
            <w:tcW w:w="1318" w:type="dxa"/>
            <w:tcBorders>
              <w:tl2br w:val="nil"/>
              <w:tr2bl w:val="nil"/>
            </w:tcBorders>
            <w:noWrap w:val="0"/>
            <w:vAlign w:val="center"/>
          </w:tcPr>
          <w:p w14:paraId="60BFD795">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正己烷</w:t>
            </w:r>
          </w:p>
        </w:tc>
        <w:tc>
          <w:tcPr>
            <w:tcW w:w="838" w:type="dxa"/>
            <w:tcBorders>
              <w:tl2br w:val="nil"/>
              <w:tr2bl w:val="nil"/>
            </w:tcBorders>
            <w:noWrap w:val="0"/>
            <w:vAlign w:val="center"/>
          </w:tcPr>
          <w:p w14:paraId="3C6E7B57">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危险物质泄漏</w:t>
            </w:r>
          </w:p>
        </w:tc>
        <w:tc>
          <w:tcPr>
            <w:tcW w:w="824" w:type="dxa"/>
            <w:tcBorders>
              <w:tl2br w:val="nil"/>
              <w:tr2bl w:val="nil"/>
            </w:tcBorders>
            <w:noWrap w:val="0"/>
            <w:vAlign w:val="center"/>
          </w:tcPr>
          <w:p w14:paraId="5497F308">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大气</w:t>
            </w:r>
          </w:p>
        </w:tc>
        <w:tc>
          <w:tcPr>
            <w:tcW w:w="1496" w:type="dxa"/>
            <w:tcBorders>
              <w:tl2br w:val="nil"/>
              <w:tr2bl w:val="nil"/>
            </w:tcBorders>
            <w:noWrap w:val="0"/>
            <w:vAlign w:val="center"/>
          </w:tcPr>
          <w:p w14:paraId="335368F6">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居民区</w:t>
            </w:r>
          </w:p>
        </w:tc>
        <w:tc>
          <w:tcPr>
            <w:tcW w:w="576" w:type="dxa"/>
            <w:tcBorders>
              <w:tl2br w:val="nil"/>
              <w:tr2bl w:val="nil"/>
            </w:tcBorders>
            <w:noWrap w:val="0"/>
            <w:vAlign w:val="center"/>
          </w:tcPr>
          <w:p w14:paraId="52F5F27A">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bl>
    <w:p w14:paraId="1D36C0B4">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根据《建设项目环境风险评价技术导则》附录E</w:t>
      </w:r>
      <w:r>
        <w:rPr>
          <w:rFonts w:hint="default" w:ascii="Times New Roman" w:hAnsi="Times New Roman" w:eastAsia="宋体" w:cs="Times New Roman"/>
          <w:color w:val="auto"/>
          <w:sz w:val="24"/>
          <w:szCs w:val="24"/>
          <w:highlight w:val="none"/>
          <w:lang w:val="en-US" w:eastAsia="zh-CN"/>
        </w:rPr>
        <w:t>泄漏频率表</w:t>
      </w:r>
      <w:r>
        <w:rPr>
          <w:rFonts w:hint="default" w:ascii="Times New Roman" w:hAnsi="Times New Roman" w:eastAsia="宋体" w:cs="Times New Roman"/>
          <w:color w:val="auto"/>
          <w:sz w:val="24"/>
          <w:szCs w:val="24"/>
          <w:highlight w:val="none"/>
        </w:rPr>
        <w:t>，确定</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储罐泄漏孔径为10mm孔径的事故概率为1.00×10</w:t>
      </w:r>
      <w:r>
        <w:rPr>
          <w:rFonts w:hint="default" w:ascii="Times New Roman" w:hAnsi="Times New Roman" w:eastAsia="宋体" w:cs="Times New Roman"/>
          <w:color w:val="auto"/>
          <w:sz w:val="24"/>
          <w:szCs w:val="24"/>
          <w:highlight w:val="none"/>
          <w:vertAlign w:val="superscript"/>
          <w:lang w:val="en-US" w:eastAsia="zh-CN"/>
        </w:rPr>
        <w:t>-4</w:t>
      </w:r>
      <w:r>
        <w:rPr>
          <w:rFonts w:hint="default" w:ascii="Times New Roman" w:hAnsi="Times New Roman" w:eastAsia="宋体" w:cs="Times New Roman"/>
          <w:color w:val="auto"/>
          <w:sz w:val="24"/>
          <w:szCs w:val="24"/>
          <w:highlight w:val="none"/>
        </w:rPr>
        <w:t>/年。因事故触发因素具有不确定性，因此事故情形的设定并不能包含全部可能的环境风险，但通过对具有代表性的事故情形分析可为风险管理提供科学依据，故在环境风险识别的基础上筛选具有危险物质、环境危害、影响途径等方面代表性的</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储罐泄漏进行事故情形设定。</w:t>
      </w:r>
    </w:p>
    <w:p w14:paraId="04F2F00E">
      <w:pPr>
        <w:pStyle w:val="4"/>
        <w:pageBreakBefore w:val="0"/>
        <w:numPr>
          <w:ilvl w:val="2"/>
          <w:numId w:val="0"/>
        </w:numPr>
        <w:kinsoku/>
        <w:wordWrap/>
        <w:overflowPunct/>
        <w:topLinePunct w:val="0"/>
        <w:autoSpaceDE/>
        <w:autoSpaceDN/>
        <w:bidi w:val="0"/>
        <w:adjustRightInd w:val="0"/>
        <w:snapToGrid w:val="0"/>
        <w:spacing w:before="0" w:line="360" w:lineRule="auto"/>
        <w:ind w:left="0" w:leftChars="0" w:firstLine="0" w:firstLineChars="0"/>
        <w:textAlignment w:val="auto"/>
        <w:outlineLvl w:val="2"/>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6.1.2</w:t>
      </w:r>
      <w:r>
        <w:rPr>
          <w:rFonts w:hint="default" w:ascii="Times New Roman" w:hAnsi="Times New Roman" w:eastAsia="宋体" w:cs="Times New Roman"/>
          <w:color w:val="auto"/>
          <w:sz w:val="24"/>
          <w:szCs w:val="24"/>
          <w:highlight w:val="none"/>
        </w:rPr>
        <w:t>风险事故情形分析</w:t>
      </w:r>
    </w:p>
    <w:p w14:paraId="10A091A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风险源强</w:t>
      </w:r>
    </w:p>
    <w:p w14:paraId="578CA23A">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项目厂区设</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个</w:t>
      </w:r>
      <w:r>
        <w:rPr>
          <w:rFonts w:hint="default" w:ascii="Times New Roman" w:hAnsi="Times New Roman" w:eastAsia="宋体" w:cs="Times New Roman"/>
          <w:color w:val="auto"/>
          <w:sz w:val="24"/>
          <w:szCs w:val="24"/>
          <w:highlight w:val="none"/>
          <w:lang w:val="en-US" w:eastAsia="zh-CN"/>
        </w:rPr>
        <w:t>60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储存罐，发生泄漏后的液体将在围堰内形成液池，并向空气中蒸发。假定最大可信事故为</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储存罐发生破裂造成液体泄漏，破裂孔径为10mm，罐内</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泄漏后，安全系统报警，操作人员在10min内使</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泄漏得到制止，并采取有效的收集措施，将围堰内</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泵入备用</w:t>
      </w:r>
      <w:r>
        <w:rPr>
          <w:rFonts w:hint="default" w:ascii="Times New Roman" w:hAnsi="Times New Roman" w:eastAsia="宋体" w:cs="Times New Roman"/>
          <w:color w:val="auto"/>
          <w:sz w:val="24"/>
          <w:szCs w:val="24"/>
          <w:highlight w:val="none"/>
          <w:lang w:eastAsia="zh-CN"/>
        </w:rPr>
        <w:t>储罐</w:t>
      </w:r>
      <w:r>
        <w:rPr>
          <w:rFonts w:hint="default" w:ascii="Times New Roman" w:hAnsi="Times New Roman" w:eastAsia="宋体" w:cs="Times New Roman"/>
          <w:color w:val="auto"/>
          <w:sz w:val="24"/>
          <w:szCs w:val="24"/>
          <w:highlight w:val="none"/>
        </w:rPr>
        <w:t>内。</w:t>
      </w:r>
    </w:p>
    <w:p w14:paraId="58CDB8C0">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①泄漏速率</w:t>
      </w:r>
    </w:p>
    <w:p w14:paraId="060BFBC2">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泄漏为液体泄漏，泄漏量按照《建设项目环境风险评价技术导则》</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HJ169-2018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推荐的公式进行，</w:t>
      </w:r>
      <w:r>
        <w:rPr>
          <w:rFonts w:hint="default" w:ascii="Times New Roman" w:hAnsi="Times New Roman" w:eastAsia="宋体" w:cs="Times New Roman"/>
          <w:color w:val="auto"/>
          <w:sz w:val="24"/>
          <w:szCs w:val="24"/>
          <w:highlight w:val="none"/>
          <w:lang w:eastAsia="zh-CN"/>
        </w:rPr>
        <w:t>计算公式</w:t>
      </w:r>
      <w:r>
        <w:rPr>
          <w:rFonts w:hint="default" w:ascii="Times New Roman" w:hAnsi="Times New Roman" w:eastAsia="宋体" w:cs="Times New Roman"/>
          <w:color w:val="auto"/>
          <w:sz w:val="24"/>
          <w:szCs w:val="24"/>
          <w:highlight w:val="none"/>
        </w:rPr>
        <w:t>如下：</w:t>
      </w:r>
    </w:p>
    <w:p w14:paraId="0B48925B">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pict>
          <v:shape id="对象 134427" o:spid="_x0000_s1026" o:spt="75" type="#_x0000_t75" style="position:absolute;left:0pt;margin-left:120.4pt;margin-top:3.35pt;height:36.75pt;width:143.25pt;z-index:-251640832;mso-width-relative:page;mso-height-relative:page;" o:ole="t" filled="f" o:preferrelative="t" stroked="f" coordsize="21600,21600">
            <v:path/>
            <v:fill on="f" focussize="0,0"/>
            <v:stroke on="f"/>
            <v:imagedata r:id="rId79" o:title=""/>
            <o:lock v:ext="edit" aspectratio="t"/>
          </v:shape>
          <o:OLEObject Type="Embed" ProgID="" ShapeID="对象 134427" DrawAspect="Content" ObjectID="_1468075733" r:id="rId82">
            <o:LockedField>false</o:LockedField>
          </o:OLEObject>
        </w:pict>
      </w:r>
    </w:p>
    <w:p w14:paraId="0798DEA2">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p>
    <w:p w14:paraId="531C0871">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式中：QL——液体泄漏速度，kg/s；</w:t>
      </w:r>
    </w:p>
    <w:p w14:paraId="543FB6DE">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Cd——液体泄漏系数，取0.65；</w:t>
      </w:r>
    </w:p>
    <w:p w14:paraId="4074EABE">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A——裂口面积，m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取7.85×10</w:t>
      </w:r>
      <w:r>
        <w:rPr>
          <w:rFonts w:hint="default" w:ascii="Times New Roman" w:hAnsi="Times New Roman" w:eastAsia="宋体" w:cs="Times New Roman"/>
          <w:color w:val="auto"/>
          <w:sz w:val="24"/>
          <w:szCs w:val="24"/>
          <w:highlight w:val="none"/>
          <w:vertAlign w:val="superscript"/>
        </w:rPr>
        <w:t>-5</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p>
    <w:p w14:paraId="3964A9DF">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P——容器内介质压力，取环境压力P</w:t>
      </w:r>
      <w:r>
        <w:rPr>
          <w:rFonts w:hint="default"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rPr>
        <w:t>；</w:t>
      </w:r>
    </w:p>
    <w:p w14:paraId="7448A3A4">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P0——环境压力，Pa；</w:t>
      </w:r>
    </w:p>
    <w:p w14:paraId="5D6C3026">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g——重力加速度，9.81m/s</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w:t>
      </w:r>
    </w:p>
    <w:p w14:paraId="2219BD15">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h——裂口之上液位高度，m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储存槽取1.</w:t>
      </w:r>
      <w:r>
        <w:rPr>
          <w:rFonts w:hint="default"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p>
    <w:p w14:paraId="7947B05A">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ρ——泄漏液体密度，kg/m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取</w:t>
      </w:r>
      <w:r>
        <w:rPr>
          <w:rFonts w:hint="default" w:ascii="Times New Roman" w:hAnsi="Times New Roman" w:eastAsia="宋体" w:cs="Times New Roman"/>
          <w:color w:val="auto"/>
          <w:sz w:val="24"/>
          <w:szCs w:val="24"/>
          <w:highlight w:val="none"/>
          <w:lang w:val="en-US" w:eastAsia="zh-CN"/>
        </w:rPr>
        <w:t>660</w:t>
      </w:r>
      <w:r>
        <w:rPr>
          <w:rFonts w:hint="default" w:ascii="Times New Roman" w:hAnsi="Times New Roman" w:eastAsia="宋体" w:cs="Times New Roman"/>
          <w:color w:val="auto"/>
          <w:sz w:val="24"/>
          <w:szCs w:val="24"/>
          <w:highlight w:val="none"/>
        </w:rPr>
        <w:t>kg/m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p>
    <w:p w14:paraId="154801D9">
      <w:pPr>
        <w:pStyle w:val="83"/>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textAlignment w:val="auto"/>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表</w:t>
      </w:r>
      <w:r>
        <w:rPr>
          <w:rFonts w:hint="default" w:ascii="Times New Roman" w:hAnsi="Times New Roman" w:eastAsia="宋体" w:cs="Times New Roman"/>
          <w:color w:val="auto"/>
          <w:sz w:val="24"/>
          <w:szCs w:val="28"/>
          <w:highlight w:val="none"/>
          <w:lang w:val="en-US" w:eastAsia="zh-CN"/>
        </w:rPr>
        <w:t>6-2</w:t>
      </w:r>
      <w:r>
        <w:rPr>
          <w:rFonts w:hint="default" w:ascii="Times New Roman" w:hAnsi="Times New Roman" w:eastAsia="宋体" w:cs="Times New Roman"/>
          <w:color w:val="auto"/>
          <w:sz w:val="24"/>
          <w:szCs w:val="28"/>
          <w:highlight w:val="none"/>
        </w:rPr>
        <w:t xml:space="preserve"> 液体泄漏系数（Cd）</w:t>
      </w:r>
    </w:p>
    <w:tbl>
      <w:tblPr>
        <w:tblStyle w:val="29"/>
        <w:tblW w:w="814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33"/>
        <w:gridCol w:w="2071"/>
        <w:gridCol w:w="2071"/>
        <w:gridCol w:w="2073"/>
      </w:tblGrid>
      <w:tr w14:paraId="18DE97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33" w:type="dxa"/>
            <w:vMerge w:val="restart"/>
            <w:tcBorders>
              <w:tl2br w:val="nil"/>
              <w:tr2bl w:val="nil"/>
            </w:tcBorders>
            <w:noWrap w:val="0"/>
            <w:vAlign w:val="center"/>
          </w:tcPr>
          <w:p w14:paraId="28D460DB">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雷诺数 Re</w:t>
            </w:r>
          </w:p>
        </w:tc>
        <w:tc>
          <w:tcPr>
            <w:tcW w:w="6215" w:type="dxa"/>
            <w:gridSpan w:val="3"/>
            <w:tcBorders>
              <w:tl2br w:val="nil"/>
              <w:tr2bl w:val="nil"/>
            </w:tcBorders>
            <w:noWrap w:val="0"/>
            <w:vAlign w:val="center"/>
          </w:tcPr>
          <w:p w14:paraId="5E1C2E29">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裂口形状</w:t>
            </w:r>
          </w:p>
        </w:tc>
      </w:tr>
      <w:tr w14:paraId="19B200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33" w:type="dxa"/>
            <w:vMerge w:val="continue"/>
            <w:tcBorders>
              <w:tl2br w:val="nil"/>
              <w:tr2bl w:val="nil"/>
            </w:tcBorders>
            <w:noWrap w:val="0"/>
            <w:vAlign w:val="center"/>
          </w:tcPr>
          <w:p w14:paraId="0900D229">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p>
        </w:tc>
        <w:tc>
          <w:tcPr>
            <w:tcW w:w="2071" w:type="dxa"/>
            <w:tcBorders>
              <w:tl2br w:val="nil"/>
              <w:tr2bl w:val="nil"/>
            </w:tcBorders>
            <w:noWrap w:val="0"/>
            <w:vAlign w:val="center"/>
          </w:tcPr>
          <w:p w14:paraId="2C0930D9">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圆形（多边形）</w:t>
            </w:r>
          </w:p>
        </w:tc>
        <w:tc>
          <w:tcPr>
            <w:tcW w:w="2071" w:type="dxa"/>
            <w:tcBorders>
              <w:tl2br w:val="nil"/>
              <w:tr2bl w:val="nil"/>
            </w:tcBorders>
            <w:noWrap w:val="0"/>
            <w:vAlign w:val="center"/>
          </w:tcPr>
          <w:p w14:paraId="42F9D7A2">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三角形</w:t>
            </w:r>
          </w:p>
        </w:tc>
        <w:tc>
          <w:tcPr>
            <w:tcW w:w="2073" w:type="dxa"/>
            <w:tcBorders>
              <w:tl2br w:val="nil"/>
              <w:tr2bl w:val="nil"/>
            </w:tcBorders>
            <w:noWrap w:val="0"/>
            <w:vAlign w:val="center"/>
          </w:tcPr>
          <w:p w14:paraId="12E45D7D">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长方形</w:t>
            </w:r>
          </w:p>
        </w:tc>
      </w:tr>
      <w:tr w14:paraId="0F53F6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33" w:type="dxa"/>
            <w:tcBorders>
              <w:tl2br w:val="nil"/>
              <w:tr2bl w:val="nil"/>
            </w:tcBorders>
            <w:noWrap w:val="0"/>
            <w:vAlign w:val="center"/>
          </w:tcPr>
          <w:p w14:paraId="3C6913C5">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eastAsia="zh-CN"/>
              </w:rPr>
              <w:t>&gt;</w:t>
            </w:r>
            <w:r>
              <w:rPr>
                <w:rFonts w:hint="default" w:ascii="Times New Roman" w:hAnsi="Times New Roman" w:eastAsia="宋体" w:cs="Times New Roman"/>
                <w:color w:val="auto"/>
                <w:sz w:val="21"/>
                <w:szCs w:val="21"/>
                <w:highlight w:val="none"/>
              </w:rPr>
              <w:t>100</w:t>
            </w:r>
          </w:p>
        </w:tc>
        <w:tc>
          <w:tcPr>
            <w:tcW w:w="2071" w:type="dxa"/>
            <w:tcBorders>
              <w:tl2br w:val="nil"/>
              <w:tr2bl w:val="nil"/>
            </w:tcBorders>
            <w:noWrap w:val="0"/>
            <w:vAlign w:val="center"/>
          </w:tcPr>
          <w:p w14:paraId="3AC4F6F0">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0.65</w:t>
            </w:r>
          </w:p>
        </w:tc>
        <w:tc>
          <w:tcPr>
            <w:tcW w:w="2071" w:type="dxa"/>
            <w:tcBorders>
              <w:tl2br w:val="nil"/>
              <w:tr2bl w:val="nil"/>
            </w:tcBorders>
            <w:noWrap w:val="0"/>
            <w:vAlign w:val="center"/>
          </w:tcPr>
          <w:p w14:paraId="5451DAF8">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0.60</w:t>
            </w:r>
          </w:p>
        </w:tc>
        <w:tc>
          <w:tcPr>
            <w:tcW w:w="2073" w:type="dxa"/>
            <w:tcBorders>
              <w:tl2br w:val="nil"/>
              <w:tr2bl w:val="nil"/>
            </w:tcBorders>
            <w:noWrap w:val="0"/>
            <w:vAlign w:val="center"/>
          </w:tcPr>
          <w:p w14:paraId="014B3BB4">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0.55</w:t>
            </w:r>
          </w:p>
        </w:tc>
      </w:tr>
      <w:tr w14:paraId="17C687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33" w:type="dxa"/>
            <w:tcBorders>
              <w:tl2br w:val="nil"/>
              <w:tr2bl w:val="nil"/>
            </w:tcBorders>
            <w:noWrap w:val="0"/>
            <w:vAlign w:val="center"/>
          </w:tcPr>
          <w:p w14:paraId="3A9C992F">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w:t>
            </w:r>
          </w:p>
        </w:tc>
        <w:tc>
          <w:tcPr>
            <w:tcW w:w="2071" w:type="dxa"/>
            <w:tcBorders>
              <w:tl2br w:val="nil"/>
              <w:tr2bl w:val="nil"/>
            </w:tcBorders>
            <w:noWrap w:val="0"/>
            <w:vAlign w:val="center"/>
          </w:tcPr>
          <w:p w14:paraId="7AB28DA8">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0.50</w:t>
            </w:r>
          </w:p>
        </w:tc>
        <w:tc>
          <w:tcPr>
            <w:tcW w:w="2071" w:type="dxa"/>
            <w:tcBorders>
              <w:tl2br w:val="nil"/>
              <w:tr2bl w:val="nil"/>
            </w:tcBorders>
            <w:noWrap w:val="0"/>
            <w:vAlign w:val="center"/>
          </w:tcPr>
          <w:p w14:paraId="0F657125">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0.45</w:t>
            </w:r>
          </w:p>
        </w:tc>
        <w:tc>
          <w:tcPr>
            <w:tcW w:w="2073" w:type="dxa"/>
            <w:tcBorders>
              <w:tl2br w:val="nil"/>
              <w:tr2bl w:val="nil"/>
            </w:tcBorders>
            <w:noWrap w:val="0"/>
            <w:vAlign w:val="center"/>
          </w:tcPr>
          <w:p w14:paraId="6E320925">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0.40</w:t>
            </w:r>
          </w:p>
        </w:tc>
      </w:tr>
    </w:tbl>
    <w:p w14:paraId="15773BF5">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根据计算，</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泄漏速率为</w:t>
      </w:r>
      <w:r>
        <w:rPr>
          <w:rFonts w:hint="default" w:ascii="Times New Roman" w:hAnsi="Times New Roman" w:cs="Times New Roman"/>
          <w:color w:val="auto"/>
          <w:sz w:val="24"/>
          <w:szCs w:val="24"/>
          <w:highlight w:val="none"/>
          <w:lang w:val="en-US" w:eastAsia="zh-CN"/>
        </w:rPr>
        <w:t>0.150</w:t>
      </w:r>
      <w:r>
        <w:rPr>
          <w:rFonts w:hint="default" w:ascii="Times New Roman" w:hAnsi="Times New Roman" w:eastAsia="宋体" w:cs="Times New Roman"/>
          <w:color w:val="auto"/>
          <w:sz w:val="24"/>
          <w:szCs w:val="24"/>
          <w:highlight w:val="none"/>
        </w:rPr>
        <w:t>kg/s。</w:t>
      </w:r>
    </w:p>
    <w:p w14:paraId="385F29DE">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②泄漏液体蒸发量</w:t>
      </w:r>
    </w:p>
    <w:p w14:paraId="2CC36790">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泄漏液体的蒸发分为闪蒸蒸发、热量蒸发和质量蒸发三种，其蒸发总量为这三种蒸发之和。由于</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常压下沸点为</w:t>
      </w:r>
      <w:r>
        <w:rPr>
          <w:rFonts w:hint="default" w:ascii="Times New Roman" w:hAnsi="Times New Roman" w:eastAsia="宋体" w:cs="Times New Roman"/>
          <w:color w:val="auto"/>
          <w:sz w:val="24"/>
          <w:szCs w:val="24"/>
          <w:highlight w:val="none"/>
          <w:lang w:val="en-US" w:eastAsia="zh-CN"/>
        </w:rPr>
        <w:t>69</w:t>
      </w:r>
      <w:r>
        <w:rPr>
          <w:rFonts w:hint="default" w:ascii="Times New Roman" w:hAnsi="Times New Roman" w:eastAsia="宋体" w:cs="Times New Roman"/>
          <w:color w:val="auto"/>
          <w:sz w:val="24"/>
          <w:szCs w:val="24"/>
          <w:highlight w:val="none"/>
        </w:rPr>
        <w:t>℃，而本项目</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贮存罐储存温度和环境温度均不高于40℃，当液体泄漏时不发生闪蒸和热量蒸发，因此本次环境风险仅考虑质量蒸发量。</w:t>
      </w:r>
    </w:p>
    <w:p w14:paraId="71D4FB37">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采用以下公式计算</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的挥发量：</w:t>
      </w:r>
    </w:p>
    <w:p w14:paraId="7F37ADF3">
      <w:pPr>
        <w:pStyle w:val="87"/>
        <w:pageBreakBefore w:val="0"/>
        <w:kinsoku/>
        <w:wordWrap/>
        <w:overflowPunct/>
        <w:topLinePunct w:val="0"/>
        <w:autoSpaceDE/>
        <w:autoSpaceDN/>
        <w:bidi w:val="0"/>
        <w:adjustRightInd w:val="0"/>
        <w:snapToGrid w:val="0"/>
        <w:spacing w:line="360" w:lineRule="auto"/>
        <w:ind w:left="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2114550" cy="600075"/>
            <wp:effectExtent l="0" t="0" r="0" b="9525"/>
            <wp:docPr id="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5"/>
                    <pic:cNvPicPr>
                      <a:picLocks noChangeAspect="1"/>
                    </pic:cNvPicPr>
                  </pic:nvPicPr>
                  <pic:blipFill>
                    <a:blip r:embed="rId80"/>
                    <a:srcRect t="25882"/>
                    <a:stretch>
                      <a:fillRect/>
                    </a:stretch>
                  </pic:blipFill>
                  <pic:spPr>
                    <a:xfrm>
                      <a:off x="0" y="0"/>
                      <a:ext cx="2114550" cy="600075"/>
                    </a:xfrm>
                    <a:prstGeom prst="rect">
                      <a:avLst/>
                    </a:prstGeom>
                    <a:noFill/>
                    <a:ln>
                      <a:noFill/>
                    </a:ln>
                  </pic:spPr>
                </pic:pic>
              </a:graphicData>
            </a:graphic>
          </wp:inline>
        </w:drawing>
      </w:r>
    </w:p>
    <w:p w14:paraId="4C7E3F7B">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nl-BE"/>
        </w:rPr>
      </w:pPr>
      <w:r>
        <w:rPr>
          <w:rFonts w:hint="default" w:ascii="Times New Roman" w:hAnsi="Times New Roman" w:eastAsia="宋体" w:cs="Times New Roman"/>
          <w:color w:val="auto"/>
          <w:sz w:val="24"/>
          <w:szCs w:val="24"/>
          <w:highlight w:val="none"/>
          <w:lang w:val="nl-BE"/>
        </w:rPr>
        <w:t>式中：Q</w:t>
      </w:r>
      <w:r>
        <w:rPr>
          <w:rFonts w:hint="default" w:ascii="Times New Roman" w:hAnsi="Times New Roman" w:eastAsia="宋体" w:cs="Times New Roman"/>
          <w:color w:val="auto"/>
          <w:sz w:val="24"/>
          <w:szCs w:val="24"/>
          <w:highlight w:val="none"/>
          <w:vertAlign w:val="subscript"/>
          <w:lang w:val="nl-BE"/>
        </w:rPr>
        <w:t>3</w:t>
      </w:r>
      <w:r>
        <w:rPr>
          <w:rFonts w:hint="default" w:ascii="Times New Roman" w:hAnsi="Times New Roman" w:eastAsia="宋体" w:cs="Times New Roman"/>
          <w:color w:val="auto"/>
          <w:sz w:val="24"/>
          <w:szCs w:val="24"/>
          <w:highlight w:val="none"/>
          <w:lang w:val="nl-BE"/>
        </w:rPr>
        <w:t>——质量蒸发速度，kg/s；</w:t>
      </w:r>
    </w:p>
    <w:p w14:paraId="7B2B1230">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nl-BE"/>
        </w:rPr>
      </w:pPr>
      <w:r>
        <w:rPr>
          <w:rFonts w:hint="default" w:ascii="Times New Roman" w:hAnsi="Times New Roman" w:eastAsia="宋体" w:cs="Times New Roman"/>
          <w:color w:val="auto"/>
          <w:sz w:val="24"/>
          <w:szCs w:val="24"/>
          <w:highlight w:val="none"/>
          <w:lang w:val="nl-BE"/>
        </w:rPr>
        <w:t xml:space="preserve">   </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color w:val="auto"/>
          <w:sz w:val="24"/>
          <w:szCs w:val="24"/>
          <w:highlight w:val="none"/>
          <w:lang w:val="nl-BE"/>
        </w:rPr>
        <w:t xml:space="preserve">  a，n——大气稳定度系数（按</w:t>
      </w:r>
      <w:r>
        <w:rPr>
          <w:rFonts w:hint="default" w:ascii="Times New Roman" w:hAnsi="Times New Roman" w:eastAsia="宋体" w:cs="Times New Roman"/>
          <w:color w:val="auto"/>
          <w:sz w:val="24"/>
          <w:szCs w:val="24"/>
          <w:highlight w:val="none"/>
          <w:lang w:val="en-US" w:eastAsia="zh-CN"/>
        </w:rPr>
        <w:t>F稳定度</w:t>
      </w:r>
      <w:r>
        <w:rPr>
          <w:rFonts w:hint="default" w:ascii="Times New Roman" w:hAnsi="Times New Roman" w:eastAsia="宋体" w:cs="Times New Roman"/>
          <w:color w:val="auto"/>
          <w:sz w:val="24"/>
          <w:szCs w:val="24"/>
          <w:highlight w:val="none"/>
          <w:lang w:val="nl-BE"/>
        </w:rPr>
        <w:t>计算，稳定时a＝5.285×10</w:t>
      </w:r>
      <w:r>
        <w:rPr>
          <w:rFonts w:hint="default" w:ascii="Times New Roman" w:hAnsi="Times New Roman" w:eastAsia="宋体" w:cs="Times New Roman"/>
          <w:color w:val="auto"/>
          <w:sz w:val="24"/>
          <w:szCs w:val="24"/>
          <w:highlight w:val="none"/>
          <w:vertAlign w:val="superscript"/>
          <w:lang w:val="nl-BE"/>
        </w:rPr>
        <w:t>-3</w:t>
      </w:r>
      <w:r>
        <w:rPr>
          <w:rFonts w:hint="default" w:ascii="Times New Roman" w:hAnsi="Times New Roman" w:eastAsia="宋体" w:cs="Times New Roman"/>
          <w:color w:val="auto"/>
          <w:sz w:val="24"/>
          <w:szCs w:val="24"/>
          <w:highlight w:val="none"/>
          <w:lang w:val="nl-BE"/>
        </w:rPr>
        <w:t>，n＝0.3）；</w:t>
      </w:r>
    </w:p>
    <w:p w14:paraId="304546F8">
      <w:pPr>
        <w:pStyle w:val="87"/>
        <w:pageBreakBefore w:val="0"/>
        <w:kinsoku/>
        <w:wordWrap/>
        <w:overflowPunct/>
        <w:topLinePunct w:val="0"/>
        <w:autoSpaceDE/>
        <w:autoSpaceDN/>
        <w:bidi w:val="0"/>
        <w:adjustRightInd w:val="0"/>
        <w:snapToGrid w:val="0"/>
        <w:spacing w:line="360" w:lineRule="auto"/>
        <w:ind w:left="0" w:firstLine="1200" w:firstLineChars="500"/>
        <w:textAlignment w:val="auto"/>
        <w:rPr>
          <w:rFonts w:hint="default" w:ascii="Times New Roman" w:hAnsi="Times New Roman" w:eastAsia="宋体" w:cs="Times New Roman"/>
          <w:color w:val="auto"/>
          <w:sz w:val="24"/>
          <w:szCs w:val="24"/>
          <w:highlight w:val="none"/>
          <w:lang w:val="nl-BE"/>
        </w:rPr>
      </w:pPr>
      <w:r>
        <w:rPr>
          <w:rFonts w:hint="default" w:ascii="Times New Roman" w:hAnsi="Times New Roman" w:eastAsia="宋体" w:cs="Times New Roman"/>
          <w:color w:val="auto"/>
          <w:sz w:val="24"/>
          <w:szCs w:val="24"/>
          <w:highlight w:val="none"/>
          <w:lang w:val="nl-BE"/>
        </w:rPr>
        <w:t>p——液体表面蒸气压，Pa；</w:t>
      </w:r>
      <w:r>
        <w:rPr>
          <w:rFonts w:hint="default" w:ascii="Times New Roman" w:hAnsi="Times New Roman" w:eastAsia="宋体" w:cs="Times New Roman"/>
          <w:color w:val="auto"/>
          <w:sz w:val="24"/>
          <w:szCs w:val="24"/>
          <w:highlight w:val="none"/>
          <w:lang w:val="nl-BE" w:eastAsia="zh-CN"/>
        </w:rPr>
        <w:t>（</w:t>
      </w:r>
      <w:r>
        <w:rPr>
          <w:rFonts w:hint="default" w:ascii="Times New Roman" w:hAnsi="Times New Roman" w:eastAsia="宋体" w:cs="Times New Roman"/>
          <w:color w:val="auto"/>
          <w:sz w:val="24"/>
          <w:szCs w:val="24"/>
          <w:highlight w:val="none"/>
          <w:lang w:val="nl-BE"/>
        </w:rPr>
        <w:t>25℃时，p＝12.6kpa</w:t>
      </w:r>
      <w:r>
        <w:rPr>
          <w:rFonts w:hint="default" w:ascii="Times New Roman" w:hAnsi="Times New Roman" w:eastAsia="宋体" w:cs="Times New Roman"/>
          <w:color w:val="auto"/>
          <w:sz w:val="24"/>
          <w:szCs w:val="24"/>
          <w:highlight w:val="none"/>
          <w:lang w:val="nl-BE" w:eastAsia="zh-CN"/>
        </w:rPr>
        <w:t>）</w:t>
      </w:r>
    </w:p>
    <w:p w14:paraId="56969CD4">
      <w:pPr>
        <w:pStyle w:val="87"/>
        <w:pageBreakBefore w:val="0"/>
        <w:kinsoku/>
        <w:wordWrap/>
        <w:overflowPunct/>
        <w:topLinePunct w:val="0"/>
        <w:autoSpaceDE/>
        <w:autoSpaceDN/>
        <w:bidi w:val="0"/>
        <w:adjustRightInd w:val="0"/>
        <w:snapToGrid w:val="0"/>
        <w:spacing w:line="360" w:lineRule="auto"/>
        <w:ind w:left="0" w:firstLine="1200" w:firstLineChars="500"/>
        <w:textAlignment w:val="auto"/>
        <w:rPr>
          <w:rFonts w:hint="default" w:ascii="Times New Roman" w:hAnsi="Times New Roman" w:eastAsia="宋体" w:cs="Times New Roman"/>
          <w:color w:val="auto"/>
          <w:sz w:val="24"/>
          <w:szCs w:val="24"/>
          <w:highlight w:val="none"/>
          <w:lang w:val="nl-BE"/>
        </w:rPr>
      </w:pPr>
      <w:r>
        <w:rPr>
          <w:rFonts w:hint="default" w:ascii="Times New Roman" w:hAnsi="Times New Roman" w:eastAsia="宋体" w:cs="Times New Roman"/>
          <w:color w:val="auto"/>
          <w:sz w:val="24"/>
          <w:szCs w:val="24"/>
          <w:highlight w:val="none"/>
          <w:lang w:val="nl-BE"/>
        </w:rPr>
        <w:t>R——气体常数，J/mol.K；</w:t>
      </w:r>
      <w:r>
        <w:rPr>
          <w:rFonts w:hint="default" w:ascii="Times New Roman" w:hAnsi="Times New Roman" w:eastAsia="宋体" w:cs="Times New Roman"/>
          <w:color w:val="auto"/>
          <w:sz w:val="24"/>
          <w:szCs w:val="24"/>
          <w:highlight w:val="none"/>
          <w:lang w:val="nl-BE" w:eastAsia="zh-CN"/>
        </w:rPr>
        <w:t>（</w:t>
      </w:r>
      <w:r>
        <w:rPr>
          <w:rFonts w:hint="default" w:ascii="Times New Roman" w:hAnsi="Times New Roman" w:eastAsia="宋体" w:cs="Times New Roman"/>
          <w:color w:val="auto"/>
          <w:sz w:val="24"/>
          <w:szCs w:val="24"/>
          <w:highlight w:val="none"/>
          <w:lang w:val="nl-BE"/>
        </w:rPr>
        <w:t>取值为8.31</w:t>
      </w:r>
      <w:r>
        <w:rPr>
          <w:rFonts w:hint="default" w:ascii="Times New Roman" w:hAnsi="Times New Roman" w:eastAsia="宋体" w:cs="Times New Roman"/>
          <w:color w:val="auto"/>
          <w:sz w:val="24"/>
          <w:szCs w:val="24"/>
          <w:highlight w:val="none"/>
        </w:rPr>
        <w:t>4</w:t>
      </w:r>
      <w:r>
        <w:rPr>
          <w:rFonts w:hint="default" w:ascii="Times New Roman" w:hAnsi="Times New Roman" w:eastAsia="宋体" w:cs="Times New Roman"/>
          <w:color w:val="auto"/>
          <w:sz w:val="24"/>
          <w:szCs w:val="24"/>
          <w:highlight w:val="none"/>
          <w:lang w:val="nl-BE" w:eastAsia="zh-CN"/>
        </w:rPr>
        <w:t>）</w:t>
      </w:r>
    </w:p>
    <w:p w14:paraId="5C9AF58E">
      <w:pPr>
        <w:pStyle w:val="87"/>
        <w:pageBreakBefore w:val="0"/>
        <w:kinsoku/>
        <w:wordWrap/>
        <w:overflowPunct/>
        <w:topLinePunct w:val="0"/>
        <w:autoSpaceDE/>
        <w:autoSpaceDN/>
        <w:bidi w:val="0"/>
        <w:adjustRightInd w:val="0"/>
        <w:snapToGrid w:val="0"/>
        <w:spacing w:line="360" w:lineRule="auto"/>
        <w:ind w:left="0" w:firstLine="1200" w:firstLineChars="500"/>
        <w:textAlignment w:val="auto"/>
        <w:rPr>
          <w:rFonts w:hint="default" w:ascii="Times New Roman" w:hAnsi="Times New Roman" w:eastAsia="宋体" w:cs="Times New Roman"/>
          <w:color w:val="auto"/>
          <w:sz w:val="24"/>
          <w:szCs w:val="24"/>
          <w:highlight w:val="none"/>
          <w:lang w:val="nl-BE"/>
        </w:rPr>
      </w:pPr>
      <w:r>
        <w:rPr>
          <w:rFonts w:hint="default" w:ascii="Times New Roman" w:hAnsi="Times New Roman" w:eastAsia="宋体" w:cs="Times New Roman"/>
          <w:color w:val="auto"/>
          <w:sz w:val="24"/>
          <w:szCs w:val="24"/>
          <w:highlight w:val="none"/>
          <w:lang w:val="nl-BE"/>
        </w:rPr>
        <w:t>T</w:t>
      </w:r>
      <w:r>
        <w:rPr>
          <w:rFonts w:hint="default" w:ascii="Times New Roman" w:hAnsi="Times New Roman" w:eastAsia="宋体" w:cs="Times New Roman"/>
          <w:color w:val="auto"/>
          <w:sz w:val="24"/>
          <w:szCs w:val="24"/>
          <w:highlight w:val="none"/>
          <w:vertAlign w:val="subscript"/>
          <w:lang w:val="nl-BE"/>
        </w:rPr>
        <w:t>0</w:t>
      </w:r>
      <w:r>
        <w:rPr>
          <w:rFonts w:hint="default" w:ascii="Times New Roman" w:hAnsi="Times New Roman" w:eastAsia="宋体" w:cs="Times New Roman"/>
          <w:color w:val="auto"/>
          <w:sz w:val="24"/>
          <w:szCs w:val="24"/>
          <w:highlight w:val="none"/>
          <w:lang w:val="nl-BE"/>
        </w:rPr>
        <w:t>——环境温度，K；</w:t>
      </w:r>
      <w:r>
        <w:rPr>
          <w:rFonts w:hint="default" w:ascii="Times New Roman" w:hAnsi="Times New Roman" w:eastAsia="宋体" w:cs="Times New Roman"/>
          <w:color w:val="auto"/>
          <w:sz w:val="24"/>
          <w:szCs w:val="24"/>
          <w:highlight w:val="none"/>
          <w:lang w:val="nl-BE" w:eastAsia="zh-CN"/>
        </w:rPr>
        <w:t>（</w:t>
      </w:r>
      <w:r>
        <w:rPr>
          <w:rFonts w:hint="default" w:ascii="Times New Roman" w:hAnsi="Times New Roman" w:eastAsia="宋体" w:cs="Times New Roman"/>
          <w:color w:val="auto"/>
          <w:sz w:val="24"/>
          <w:szCs w:val="24"/>
          <w:highlight w:val="none"/>
          <w:lang w:val="nl-BE"/>
        </w:rPr>
        <w:t>取值为</w:t>
      </w:r>
      <w:r>
        <w:rPr>
          <w:rFonts w:hint="default" w:ascii="Times New Roman" w:hAnsi="Times New Roman" w:eastAsia="宋体" w:cs="Times New Roman"/>
          <w:color w:val="auto"/>
          <w:sz w:val="24"/>
          <w:szCs w:val="24"/>
          <w:highlight w:val="none"/>
        </w:rPr>
        <w:t>298</w:t>
      </w:r>
      <w:r>
        <w:rPr>
          <w:rFonts w:hint="default" w:ascii="Times New Roman" w:hAnsi="Times New Roman" w:eastAsia="宋体" w:cs="Times New Roman"/>
          <w:color w:val="auto"/>
          <w:sz w:val="24"/>
          <w:szCs w:val="24"/>
          <w:highlight w:val="none"/>
          <w:lang w:val="nl-BE" w:eastAsia="zh-CN"/>
        </w:rPr>
        <w:t>）</w:t>
      </w:r>
    </w:p>
    <w:p w14:paraId="6C1EB792">
      <w:pPr>
        <w:pStyle w:val="87"/>
        <w:pageBreakBefore w:val="0"/>
        <w:kinsoku/>
        <w:wordWrap/>
        <w:overflowPunct/>
        <w:topLinePunct w:val="0"/>
        <w:autoSpaceDE/>
        <w:autoSpaceDN/>
        <w:bidi w:val="0"/>
        <w:adjustRightInd w:val="0"/>
        <w:snapToGrid w:val="0"/>
        <w:spacing w:line="360" w:lineRule="auto"/>
        <w:ind w:left="0" w:firstLine="1200" w:firstLineChars="500"/>
        <w:textAlignment w:val="auto"/>
        <w:rPr>
          <w:rFonts w:hint="default" w:ascii="Times New Roman" w:hAnsi="Times New Roman" w:eastAsia="宋体" w:cs="Times New Roman"/>
          <w:color w:val="auto"/>
          <w:sz w:val="24"/>
          <w:szCs w:val="24"/>
          <w:highlight w:val="none"/>
          <w:lang w:val="nl-BE"/>
        </w:rPr>
      </w:pPr>
      <w:r>
        <w:rPr>
          <w:rFonts w:hint="default" w:ascii="Times New Roman" w:hAnsi="Times New Roman" w:eastAsia="宋体" w:cs="Times New Roman"/>
          <w:color w:val="auto"/>
          <w:sz w:val="24"/>
          <w:szCs w:val="24"/>
          <w:highlight w:val="none"/>
          <w:lang w:val="nl-BE"/>
        </w:rPr>
        <w:t>r——液池半径，m；</w:t>
      </w:r>
      <w:r>
        <w:rPr>
          <w:rFonts w:hint="default" w:ascii="Times New Roman" w:hAnsi="Times New Roman" w:eastAsia="宋体" w:cs="Times New Roman"/>
          <w:color w:val="auto"/>
          <w:sz w:val="24"/>
          <w:szCs w:val="24"/>
          <w:highlight w:val="none"/>
          <w:lang w:val="nl-BE" w:eastAsia="zh-CN"/>
        </w:rPr>
        <w:t>（</w:t>
      </w:r>
      <w:r>
        <w:rPr>
          <w:rFonts w:hint="default" w:ascii="Times New Roman" w:hAnsi="Times New Roman" w:eastAsia="宋体" w:cs="Times New Roman"/>
          <w:color w:val="auto"/>
          <w:sz w:val="24"/>
          <w:szCs w:val="24"/>
          <w:highlight w:val="none"/>
          <w:lang w:val="nl-BE"/>
        </w:rPr>
        <w:t>取</w:t>
      </w:r>
      <w:r>
        <w:rPr>
          <w:rFonts w:hint="default" w:ascii="Times New Roman" w:hAnsi="Times New Roman" w:cs="Times New Roman"/>
          <w:color w:val="auto"/>
          <w:sz w:val="24"/>
          <w:szCs w:val="24"/>
          <w:highlight w:val="none"/>
          <w:lang w:val="en-US" w:eastAsia="zh-CN"/>
        </w:rPr>
        <w:t>4.4</w:t>
      </w:r>
      <w:r>
        <w:rPr>
          <w:rFonts w:hint="default" w:ascii="Times New Roman" w:hAnsi="Times New Roman" w:eastAsia="宋体" w:cs="Times New Roman"/>
          <w:color w:val="auto"/>
          <w:sz w:val="24"/>
          <w:szCs w:val="24"/>
          <w:highlight w:val="none"/>
          <w:lang w:val="nl-BE"/>
        </w:rPr>
        <w:t>m</w:t>
      </w:r>
      <w:r>
        <w:rPr>
          <w:rFonts w:hint="default" w:ascii="Times New Roman" w:hAnsi="Times New Roman" w:eastAsia="宋体" w:cs="Times New Roman"/>
          <w:color w:val="auto"/>
          <w:sz w:val="24"/>
          <w:szCs w:val="24"/>
          <w:highlight w:val="none"/>
          <w:lang w:val="nl-BE" w:eastAsia="zh-CN"/>
        </w:rPr>
        <w:t>）</w:t>
      </w:r>
    </w:p>
    <w:p w14:paraId="48C81625">
      <w:pPr>
        <w:pStyle w:val="87"/>
        <w:pageBreakBefore w:val="0"/>
        <w:kinsoku/>
        <w:wordWrap/>
        <w:overflowPunct/>
        <w:topLinePunct w:val="0"/>
        <w:autoSpaceDE/>
        <w:autoSpaceDN/>
        <w:bidi w:val="0"/>
        <w:adjustRightInd w:val="0"/>
        <w:snapToGrid w:val="0"/>
        <w:spacing w:line="360" w:lineRule="auto"/>
        <w:ind w:left="0" w:firstLine="1200" w:firstLineChars="500"/>
        <w:textAlignment w:val="auto"/>
        <w:rPr>
          <w:rFonts w:hint="default" w:ascii="Times New Roman" w:hAnsi="Times New Roman" w:eastAsia="宋体" w:cs="Times New Roman"/>
          <w:color w:val="auto"/>
          <w:sz w:val="24"/>
          <w:szCs w:val="24"/>
          <w:highlight w:val="none"/>
          <w:lang w:val="nl-BE"/>
        </w:rPr>
      </w:pPr>
      <w:r>
        <w:rPr>
          <w:rFonts w:hint="default" w:ascii="Times New Roman" w:hAnsi="Times New Roman" w:eastAsia="宋体" w:cs="Times New Roman"/>
          <w:color w:val="auto"/>
          <w:sz w:val="24"/>
          <w:szCs w:val="24"/>
          <w:highlight w:val="none"/>
          <w:lang w:val="nl-BE"/>
        </w:rPr>
        <w:t>u——风速，m/s（取1.5m/s）；</w:t>
      </w:r>
    </w:p>
    <w:p w14:paraId="69FA5C73">
      <w:pPr>
        <w:pStyle w:val="87"/>
        <w:pageBreakBefore w:val="0"/>
        <w:kinsoku/>
        <w:wordWrap/>
        <w:overflowPunct/>
        <w:topLinePunct w:val="0"/>
        <w:autoSpaceDE/>
        <w:autoSpaceDN/>
        <w:bidi w:val="0"/>
        <w:adjustRightInd w:val="0"/>
        <w:snapToGrid w:val="0"/>
        <w:spacing w:line="360" w:lineRule="auto"/>
        <w:ind w:left="0" w:leftChars="0" w:firstLine="1200" w:firstLineChars="500"/>
        <w:textAlignment w:val="auto"/>
        <w:rPr>
          <w:rFonts w:hint="default" w:ascii="Times New Roman" w:hAnsi="Times New Roman" w:eastAsia="宋体" w:cs="Times New Roman"/>
          <w:color w:val="auto"/>
          <w:sz w:val="24"/>
          <w:szCs w:val="24"/>
          <w:highlight w:val="none"/>
          <w:lang w:val="nl-BE"/>
        </w:rPr>
      </w:pPr>
      <w:r>
        <w:rPr>
          <w:rFonts w:hint="default" w:ascii="Times New Roman" w:hAnsi="Times New Roman" w:eastAsia="宋体" w:cs="Times New Roman"/>
          <w:color w:val="auto"/>
          <w:sz w:val="24"/>
          <w:szCs w:val="24"/>
          <w:highlight w:val="none"/>
          <w:lang w:val="nl-BE"/>
        </w:rPr>
        <w:t>M——液体摩尔质量，kg/mol</w:t>
      </w:r>
      <w:r>
        <w:rPr>
          <w:rFonts w:hint="default" w:ascii="Times New Roman" w:hAnsi="Times New Roman" w:eastAsia="宋体" w:cs="Times New Roman"/>
          <w:color w:val="auto"/>
          <w:sz w:val="24"/>
          <w:szCs w:val="24"/>
          <w:highlight w:val="none"/>
          <w:lang w:val="nl-BE" w:eastAsia="zh-CN"/>
        </w:rPr>
        <w:t>（</w:t>
      </w:r>
      <w:r>
        <w:rPr>
          <w:rFonts w:hint="default" w:ascii="Times New Roman" w:hAnsi="Times New Roman" w:eastAsia="宋体" w:cs="Times New Roman"/>
          <w:color w:val="auto"/>
          <w:sz w:val="24"/>
          <w:szCs w:val="24"/>
          <w:highlight w:val="none"/>
          <w:lang w:val="en-US" w:eastAsia="zh-CN"/>
        </w:rPr>
        <w:t>取0.0</w:t>
      </w:r>
      <w:r>
        <w:rPr>
          <w:rFonts w:hint="default" w:ascii="Times New Roman" w:hAnsi="Times New Roman" w:cs="Times New Roman"/>
          <w:color w:val="auto"/>
          <w:sz w:val="24"/>
          <w:szCs w:val="24"/>
          <w:highlight w:val="none"/>
          <w:lang w:val="en-US" w:eastAsia="zh-CN"/>
        </w:rPr>
        <w:t>862</w:t>
      </w:r>
      <w:r>
        <w:rPr>
          <w:rFonts w:hint="default" w:ascii="Times New Roman" w:hAnsi="Times New Roman" w:eastAsia="宋体" w:cs="Times New Roman"/>
          <w:color w:val="auto"/>
          <w:sz w:val="24"/>
          <w:szCs w:val="24"/>
          <w:highlight w:val="none"/>
          <w:lang w:val="nl-BE" w:eastAsia="zh-CN"/>
        </w:rPr>
        <w:t>）</w:t>
      </w:r>
      <w:r>
        <w:rPr>
          <w:rFonts w:hint="default" w:ascii="Times New Roman" w:hAnsi="Times New Roman" w:eastAsia="宋体" w:cs="Times New Roman"/>
          <w:color w:val="auto"/>
          <w:sz w:val="24"/>
          <w:szCs w:val="24"/>
          <w:highlight w:val="none"/>
          <w:lang w:val="nl-BE"/>
        </w:rPr>
        <w:t>。</w:t>
      </w:r>
    </w:p>
    <w:p w14:paraId="6EDB77B6">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nl-BE"/>
        </w:rPr>
      </w:pPr>
      <w:r>
        <w:rPr>
          <w:rFonts w:hint="default" w:ascii="Times New Roman" w:hAnsi="Times New Roman" w:eastAsia="宋体" w:cs="Times New Roman"/>
          <w:color w:val="auto"/>
          <w:sz w:val="24"/>
          <w:szCs w:val="24"/>
          <w:highlight w:val="none"/>
          <w:lang w:val="nl-BE"/>
        </w:rPr>
        <w:t>根据以上公式计算出本项目</w:t>
      </w:r>
      <w:r>
        <w:rPr>
          <w:rFonts w:hint="default" w:ascii="Times New Roman" w:hAnsi="Times New Roman" w:eastAsia="宋体" w:cs="Times New Roman"/>
          <w:color w:val="auto"/>
          <w:sz w:val="24"/>
          <w:szCs w:val="24"/>
          <w:highlight w:val="none"/>
          <w:lang w:val="en-US" w:eastAsia="zh-CN"/>
        </w:rPr>
        <w:t>F</w:t>
      </w:r>
      <w:r>
        <w:rPr>
          <w:rFonts w:hint="default" w:ascii="Times New Roman" w:hAnsi="Times New Roman" w:eastAsia="宋体" w:cs="Times New Roman"/>
          <w:color w:val="auto"/>
          <w:sz w:val="24"/>
          <w:szCs w:val="24"/>
          <w:highlight w:val="none"/>
          <w:lang w:val="nl-BE"/>
        </w:rPr>
        <w:t>稳定度下</w:t>
      </w:r>
      <w:r>
        <w:rPr>
          <w:rFonts w:hint="default" w:ascii="Times New Roman" w:hAnsi="Times New Roman" w:eastAsia="宋体" w:cs="Times New Roman"/>
          <w:color w:val="auto"/>
          <w:sz w:val="24"/>
          <w:szCs w:val="24"/>
          <w:highlight w:val="none"/>
          <w:lang w:val="en-US" w:eastAsia="zh-CN"/>
        </w:rPr>
        <w:t>正己烷储罐</w:t>
      </w:r>
      <w:r>
        <w:rPr>
          <w:rFonts w:hint="default" w:ascii="Times New Roman" w:hAnsi="Times New Roman" w:eastAsia="宋体" w:cs="Times New Roman"/>
          <w:color w:val="auto"/>
          <w:sz w:val="24"/>
          <w:szCs w:val="24"/>
          <w:highlight w:val="none"/>
          <w:lang w:val="nl-BE"/>
        </w:rPr>
        <w:t>泄漏时</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lang w:val="nl-BE"/>
        </w:rPr>
        <w:t>的排放率见</w:t>
      </w:r>
      <w:r>
        <w:rPr>
          <w:rFonts w:hint="default" w:ascii="Times New Roman" w:hAnsi="Times New Roman" w:eastAsia="宋体" w:cs="Times New Roman"/>
          <w:color w:val="auto"/>
          <w:sz w:val="24"/>
          <w:szCs w:val="24"/>
          <w:highlight w:val="none"/>
          <w:lang w:val="en-US" w:eastAsia="zh-CN"/>
        </w:rPr>
        <w:t>下表</w:t>
      </w:r>
      <w:r>
        <w:rPr>
          <w:rFonts w:hint="default" w:ascii="Times New Roman" w:hAnsi="Times New Roman" w:eastAsia="宋体" w:cs="Times New Roman"/>
          <w:color w:val="auto"/>
          <w:sz w:val="24"/>
          <w:szCs w:val="24"/>
          <w:highlight w:val="none"/>
          <w:lang w:val="nl-BE"/>
        </w:rPr>
        <w:t>。</w:t>
      </w:r>
    </w:p>
    <w:p w14:paraId="11573DA1">
      <w:pPr>
        <w:pStyle w:val="83"/>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textAlignment w:val="auto"/>
        <w:rPr>
          <w:rFonts w:hint="default" w:ascii="Times New Roman" w:hAnsi="Times New Roman" w:eastAsia="宋体" w:cs="Times New Roman"/>
          <w:color w:val="auto"/>
          <w:sz w:val="24"/>
          <w:szCs w:val="28"/>
          <w:highlight w:val="none"/>
          <w:lang w:val="nl-BE"/>
        </w:rPr>
      </w:pPr>
      <w:r>
        <w:rPr>
          <w:rFonts w:hint="default" w:ascii="Times New Roman" w:hAnsi="Times New Roman" w:eastAsia="宋体" w:cs="Times New Roman"/>
          <w:color w:val="auto"/>
          <w:sz w:val="24"/>
          <w:szCs w:val="28"/>
          <w:highlight w:val="none"/>
          <w:lang w:val="nl-BE"/>
        </w:rPr>
        <w:t>表</w:t>
      </w:r>
      <w:r>
        <w:rPr>
          <w:rFonts w:hint="default" w:ascii="Times New Roman" w:hAnsi="Times New Roman" w:eastAsia="宋体" w:cs="Times New Roman"/>
          <w:color w:val="auto"/>
          <w:sz w:val="24"/>
          <w:szCs w:val="28"/>
          <w:highlight w:val="none"/>
          <w:lang w:val="en-US" w:eastAsia="zh-CN"/>
        </w:rPr>
        <w:t>6-3</w:t>
      </w:r>
      <w:r>
        <w:rPr>
          <w:rFonts w:hint="default" w:ascii="Times New Roman" w:hAnsi="Times New Roman" w:eastAsia="宋体" w:cs="Times New Roman"/>
          <w:color w:val="auto"/>
          <w:sz w:val="24"/>
          <w:szCs w:val="28"/>
          <w:highlight w:val="none"/>
        </w:rPr>
        <w:t xml:space="preserve"> </w:t>
      </w:r>
      <w:r>
        <w:rPr>
          <w:rFonts w:hint="default" w:ascii="Times New Roman" w:hAnsi="Times New Roman" w:eastAsia="宋体" w:cs="Times New Roman"/>
          <w:color w:val="auto"/>
          <w:sz w:val="24"/>
          <w:szCs w:val="28"/>
          <w:highlight w:val="none"/>
          <w:lang w:val="nl-BE"/>
        </w:rPr>
        <w:t>液池蒸发模式参数</w:t>
      </w:r>
    </w:p>
    <w:tbl>
      <w:tblPr>
        <w:tblStyle w:val="29"/>
        <w:tblW w:w="82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743"/>
        <w:gridCol w:w="2813"/>
        <w:gridCol w:w="2722"/>
      </w:tblGrid>
      <w:tr w14:paraId="06FAA3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99" w:hRule="atLeast"/>
          <w:jc w:val="center"/>
        </w:trPr>
        <w:tc>
          <w:tcPr>
            <w:tcW w:w="2743" w:type="dxa"/>
            <w:tcBorders>
              <w:tl2br w:val="nil"/>
              <w:tr2bl w:val="nil"/>
            </w:tcBorders>
            <w:noWrap w:val="0"/>
            <w:vAlign w:val="center"/>
          </w:tcPr>
          <w:p w14:paraId="5E7993F7">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稳定度条件</w:t>
            </w:r>
          </w:p>
        </w:tc>
        <w:tc>
          <w:tcPr>
            <w:tcW w:w="2813" w:type="dxa"/>
            <w:tcBorders>
              <w:tl2br w:val="nil"/>
              <w:tr2bl w:val="nil"/>
            </w:tcBorders>
            <w:noWrap w:val="0"/>
            <w:vAlign w:val="center"/>
          </w:tcPr>
          <w:p w14:paraId="0070E6EA">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n</w:t>
            </w:r>
          </w:p>
        </w:tc>
        <w:tc>
          <w:tcPr>
            <w:tcW w:w="2722" w:type="dxa"/>
            <w:tcBorders>
              <w:tl2br w:val="nil"/>
              <w:tr2bl w:val="nil"/>
            </w:tcBorders>
            <w:noWrap w:val="0"/>
            <w:vAlign w:val="center"/>
          </w:tcPr>
          <w:p w14:paraId="0FB522EE">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a</w:t>
            </w:r>
          </w:p>
        </w:tc>
      </w:tr>
      <w:tr w14:paraId="4D5A8B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86" w:hRule="atLeast"/>
          <w:jc w:val="center"/>
        </w:trPr>
        <w:tc>
          <w:tcPr>
            <w:tcW w:w="2743" w:type="dxa"/>
            <w:tcBorders>
              <w:tl2br w:val="nil"/>
              <w:tr2bl w:val="nil"/>
            </w:tcBorders>
            <w:noWrap w:val="0"/>
            <w:vAlign w:val="center"/>
          </w:tcPr>
          <w:p w14:paraId="21B498C0">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不稳定</w:t>
            </w:r>
            <w:r>
              <w:rPr>
                <w:rFonts w:hint="default" w:ascii="Times New Roman" w:hAnsi="Times New Roman" w:cs="Times New Roman"/>
                <w:color w:val="auto"/>
                <w:sz w:val="21"/>
                <w:szCs w:val="21"/>
                <w:highlight w:val="none"/>
                <w:lang w:val="nl-BE" w:eastAsia="zh-CN"/>
              </w:rPr>
              <w:t>（</w:t>
            </w:r>
            <w:r>
              <w:rPr>
                <w:rFonts w:hint="default" w:ascii="Times New Roman" w:hAnsi="Times New Roman" w:eastAsia="宋体" w:cs="Times New Roman"/>
                <w:color w:val="auto"/>
                <w:sz w:val="21"/>
                <w:szCs w:val="21"/>
                <w:highlight w:val="none"/>
                <w:lang w:val="nl-BE"/>
              </w:rPr>
              <w:t>A，B</w:t>
            </w:r>
            <w:r>
              <w:rPr>
                <w:rFonts w:hint="default" w:ascii="Times New Roman" w:hAnsi="Times New Roman" w:cs="Times New Roman"/>
                <w:color w:val="auto"/>
                <w:sz w:val="21"/>
                <w:szCs w:val="21"/>
                <w:highlight w:val="none"/>
                <w:lang w:val="nl-BE" w:eastAsia="zh-CN"/>
              </w:rPr>
              <w:t>）</w:t>
            </w:r>
          </w:p>
        </w:tc>
        <w:tc>
          <w:tcPr>
            <w:tcW w:w="2813" w:type="dxa"/>
            <w:tcBorders>
              <w:tl2br w:val="nil"/>
              <w:tr2bl w:val="nil"/>
            </w:tcBorders>
            <w:noWrap w:val="0"/>
            <w:vAlign w:val="center"/>
          </w:tcPr>
          <w:p w14:paraId="2E356B64">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0.2</w:t>
            </w:r>
          </w:p>
        </w:tc>
        <w:tc>
          <w:tcPr>
            <w:tcW w:w="2722" w:type="dxa"/>
            <w:tcBorders>
              <w:tl2br w:val="nil"/>
              <w:tr2bl w:val="nil"/>
            </w:tcBorders>
            <w:noWrap w:val="0"/>
            <w:vAlign w:val="center"/>
          </w:tcPr>
          <w:p w14:paraId="62A300C1">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3.846×10</w:t>
            </w:r>
            <w:r>
              <w:rPr>
                <w:rFonts w:hint="default" w:ascii="Times New Roman" w:hAnsi="Times New Roman" w:eastAsia="宋体" w:cs="Times New Roman"/>
                <w:color w:val="auto"/>
                <w:sz w:val="21"/>
                <w:szCs w:val="21"/>
                <w:highlight w:val="none"/>
                <w:vertAlign w:val="superscript"/>
                <w:lang w:val="nl-BE"/>
              </w:rPr>
              <w:t>-3</w:t>
            </w:r>
          </w:p>
        </w:tc>
      </w:tr>
      <w:tr w14:paraId="4D7D8D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99" w:hRule="atLeast"/>
          <w:jc w:val="center"/>
        </w:trPr>
        <w:tc>
          <w:tcPr>
            <w:tcW w:w="2743" w:type="dxa"/>
            <w:tcBorders>
              <w:tl2br w:val="nil"/>
              <w:tr2bl w:val="nil"/>
            </w:tcBorders>
            <w:noWrap w:val="0"/>
            <w:vAlign w:val="center"/>
          </w:tcPr>
          <w:p w14:paraId="5CF56958">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中性</w:t>
            </w:r>
            <w:r>
              <w:rPr>
                <w:rFonts w:hint="default" w:ascii="Times New Roman" w:hAnsi="Times New Roman" w:cs="Times New Roman"/>
                <w:color w:val="auto"/>
                <w:sz w:val="21"/>
                <w:szCs w:val="21"/>
                <w:highlight w:val="none"/>
                <w:lang w:val="nl-BE" w:eastAsia="zh-CN"/>
              </w:rPr>
              <w:t>（</w:t>
            </w:r>
            <w:r>
              <w:rPr>
                <w:rFonts w:hint="default" w:ascii="Times New Roman" w:hAnsi="Times New Roman" w:eastAsia="宋体" w:cs="Times New Roman"/>
                <w:color w:val="auto"/>
                <w:sz w:val="21"/>
                <w:szCs w:val="21"/>
                <w:highlight w:val="none"/>
                <w:lang w:val="nl-BE"/>
              </w:rPr>
              <w:t>D</w:t>
            </w:r>
            <w:r>
              <w:rPr>
                <w:rFonts w:hint="default" w:ascii="Times New Roman" w:hAnsi="Times New Roman" w:cs="Times New Roman"/>
                <w:color w:val="auto"/>
                <w:sz w:val="21"/>
                <w:szCs w:val="21"/>
                <w:highlight w:val="none"/>
                <w:lang w:val="nl-BE" w:eastAsia="zh-CN"/>
              </w:rPr>
              <w:t>）</w:t>
            </w:r>
          </w:p>
        </w:tc>
        <w:tc>
          <w:tcPr>
            <w:tcW w:w="2813" w:type="dxa"/>
            <w:tcBorders>
              <w:tl2br w:val="nil"/>
              <w:tr2bl w:val="nil"/>
            </w:tcBorders>
            <w:noWrap w:val="0"/>
            <w:vAlign w:val="center"/>
          </w:tcPr>
          <w:p w14:paraId="4B72B92F">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0.25</w:t>
            </w:r>
          </w:p>
        </w:tc>
        <w:tc>
          <w:tcPr>
            <w:tcW w:w="2722" w:type="dxa"/>
            <w:tcBorders>
              <w:tl2br w:val="nil"/>
              <w:tr2bl w:val="nil"/>
            </w:tcBorders>
            <w:noWrap w:val="0"/>
            <w:vAlign w:val="center"/>
          </w:tcPr>
          <w:p w14:paraId="3185ACB5">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4.685×1</w:t>
            </w:r>
            <w:r>
              <w:rPr>
                <w:rFonts w:hint="default" w:ascii="Times New Roman" w:hAnsi="Times New Roman" w:eastAsia="宋体" w:cs="Times New Roman"/>
                <w:color w:val="auto"/>
                <w:sz w:val="21"/>
                <w:szCs w:val="21"/>
                <w:highlight w:val="none"/>
                <w:vertAlign w:val="baseline"/>
                <w:lang w:val="nl-BE"/>
              </w:rPr>
              <w:t>0</w:t>
            </w:r>
            <w:r>
              <w:rPr>
                <w:rFonts w:hint="default" w:ascii="Times New Roman" w:hAnsi="Times New Roman" w:eastAsia="宋体" w:cs="Times New Roman"/>
                <w:color w:val="auto"/>
                <w:sz w:val="21"/>
                <w:szCs w:val="21"/>
                <w:highlight w:val="none"/>
                <w:vertAlign w:val="superscript"/>
                <w:lang w:val="nl-BE"/>
              </w:rPr>
              <w:t>-3</w:t>
            </w:r>
          </w:p>
        </w:tc>
      </w:tr>
      <w:tr w14:paraId="46E08E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6" w:hRule="atLeast"/>
          <w:jc w:val="center"/>
        </w:trPr>
        <w:tc>
          <w:tcPr>
            <w:tcW w:w="2743" w:type="dxa"/>
            <w:tcBorders>
              <w:tl2br w:val="nil"/>
              <w:tr2bl w:val="nil"/>
            </w:tcBorders>
            <w:noWrap w:val="0"/>
            <w:vAlign w:val="center"/>
          </w:tcPr>
          <w:p w14:paraId="618273A3">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稳定</w:t>
            </w:r>
            <w:r>
              <w:rPr>
                <w:rFonts w:hint="default" w:ascii="Times New Roman" w:hAnsi="Times New Roman" w:cs="Times New Roman"/>
                <w:color w:val="auto"/>
                <w:sz w:val="21"/>
                <w:szCs w:val="21"/>
                <w:highlight w:val="none"/>
                <w:lang w:val="nl-BE" w:eastAsia="zh-CN"/>
              </w:rPr>
              <w:t>（</w:t>
            </w:r>
            <w:r>
              <w:rPr>
                <w:rFonts w:hint="default" w:ascii="Times New Roman" w:hAnsi="Times New Roman" w:eastAsia="宋体" w:cs="Times New Roman"/>
                <w:color w:val="auto"/>
                <w:sz w:val="21"/>
                <w:szCs w:val="21"/>
                <w:highlight w:val="none"/>
                <w:lang w:val="nl-BE"/>
              </w:rPr>
              <w:t>E，F</w:t>
            </w:r>
            <w:r>
              <w:rPr>
                <w:rFonts w:hint="default" w:ascii="Times New Roman" w:hAnsi="Times New Roman" w:cs="Times New Roman"/>
                <w:color w:val="auto"/>
                <w:sz w:val="21"/>
                <w:szCs w:val="21"/>
                <w:highlight w:val="none"/>
                <w:lang w:val="nl-BE" w:eastAsia="zh-CN"/>
              </w:rPr>
              <w:t>）</w:t>
            </w:r>
          </w:p>
        </w:tc>
        <w:tc>
          <w:tcPr>
            <w:tcW w:w="2813" w:type="dxa"/>
            <w:tcBorders>
              <w:tl2br w:val="nil"/>
              <w:tr2bl w:val="nil"/>
            </w:tcBorders>
            <w:noWrap w:val="0"/>
            <w:vAlign w:val="center"/>
          </w:tcPr>
          <w:p w14:paraId="65043854">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0.3</w:t>
            </w:r>
          </w:p>
        </w:tc>
        <w:tc>
          <w:tcPr>
            <w:tcW w:w="2722" w:type="dxa"/>
            <w:tcBorders>
              <w:tl2br w:val="nil"/>
              <w:tr2bl w:val="nil"/>
            </w:tcBorders>
            <w:noWrap w:val="0"/>
            <w:vAlign w:val="center"/>
          </w:tcPr>
          <w:p w14:paraId="6C14D11B">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5.285×10</w:t>
            </w:r>
            <w:r>
              <w:rPr>
                <w:rFonts w:hint="default" w:ascii="Times New Roman" w:hAnsi="Times New Roman" w:eastAsia="宋体" w:cs="Times New Roman"/>
                <w:color w:val="auto"/>
                <w:sz w:val="21"/>
                <w:szCs w:val="21"/>
                <w:highlight w:val="none"/>
                <w:vertAlign w:val="superscript"/>
                <w:lang w:val="nl-BE"/>
              </w:rPr>
              <w:t>-3</w:t>
            </w:r>
          </w:p>
        </w:tc>
      </w:tr>
    </w:tbl>
    <w:p w14:paraId="72D9B0A6">
      <w:pPr>
        <w:pStyle w:val="83"/>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textAlignment w:val="auto"/>
        <w:rPr>
          <w:rFonts w:hint="default" w:ascii="Times New Roman" w:hAnsi="Times New Roman" w:eastAsia="宋体" w:cs="Times New Roman"/>
          <w:color w:val="auto"/>
          <w:sz w:val="24"/>
          <w:szCs w:val="28"/>
          <w:highlight w:val="none"/>
          <w:lang w:val="nl-BE"/>
        </w:rPr>
      </w:pPr>
      <w:r>
        <w:rPr>
          <w:rFonts w:hint="default" w:ascii="Times New Roman" w:hAnsi="Times New Roman" w:eastAsia="宋体" w:cs="Times New Roman"/>
          <w:color w:val="auto"/>
          <w:sz w:val="24"/>
          <w:szCs w:val="28"/>
          <w:highlight w:val="none"/>
        </w:rPr>
        <w:t>表</w:t>
      </w:r>
      <w:r>
        <w:rPr>
          <w:rFonts w:hint="default" w:ascii="Times New Roman" w:hAnsi="Times New Roman" w:eastAsia="宋体" w:cs="Times New Roman"/>
          <w:color w:val="auto"/>
          <w:sz w:val="24"/>
          <w:szCs w:val="28"/>
          <w:highlight w:val="none"/>
          <w:lang w:val="en-US" w:eastAsia="zh-CN"/>
        </w:rPr>
        <w:t>6-4</w:t>
      </w:r>
      <w:r>
        <w:rPr>
          <w:rFonts w:hint="default" w:ascii="Times New Roman" w:hAnsi="Times New Roman" w:eastAsia="宋体" w:cs="Times New Roman"/>
          <w:color w:val="auto"/>
          <w:sz w:val="24"/>
          <w:szCs w:val="28"/>
          <w:highlight w:val="none"/>
        </w:rPr>
        <w:t xml:space="preserve"> </w:t>
      </w:r>
      <w:r>
        <w:rPr>
          <w:rFonts w:hint="default" w:ascii="Times New Roman" w:hAnsi="Times New Roman" w:eastAsia="宋体" w:cs="Times New Roman"/>
          <w:color w:val="auto"/>
          <w:sz w:val="24"/>
          <w:szCs w:val="28"/>
          <w:highlight w:val="none"/>
          <w:lang w:val="en-US" w:eastAsia="zh-CN"/>
        </w:rPr>
        <w:t>质量蒸发计算结果</w:t>
      </w:r>
      <w:r>
        <w:rPr>
          <w:rFonts w:hint="default" w:ascii="Times New Roman" w:hAnsi="Times New Roman" w:eastAsia="宋体" w:cs="Times New Roman"/>
          <w:color w:val="auto"/>
          <w:sz w:val="24"/>
          <w:szCs w:val="28"/>
          <w:highlight w:val="none"/>
          <w:lang w:eastAsia="zh-CN"/>
        </w:rPr>
        <w:t>（</w:t>
      </w:r>
      <w:r>
        <w:rPr>
          <w:rFonts w:hint="default" w:ascii="Times New Roman" w:hAnsi="Times New Roman" w:eastAsia="宋体" w:cs="Times New Roman"/>
          <w:color w:val="auto"/>
          <w:sz w:val="24"/>
          <w:szCs w:val="28"/>
          <w:highlight w:val="none"/>
        </w:rPr>
        <w:t>单位：kg/s</w:t>
      </w:r>
      <w:r>
        <w:rPr>
          <w:rFonts w:hint="default" w:ascii="Times New Roman" w:hAnsi="Times New Roman" w:eastAsia="宋体" w:cs="Times New Roman"/>
          <w:color w:val="auto"/>
          <w:sz w:val="24"/>
          <w:szCs w:val="28"/>
          <w:highlight w:val="none"/>
          <w:lang w:eastAsia="zh-CN"/>
        </w:rPr>
        <w:t>）</w:t>
      </w:r>
    </w:p>
    <w:tbl>
      <w:tblPr>
        <w:tblStyle w:val="29"/>
        <w:tblW w:w="821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542"/>
        <w:gridCol w:w="1166"/>
        <w:gridCol w:w="1167"/>
        <w:gridCol w:w="1166"/>
        <w:gridCol w:w="1170"/>
      </w:tblGrid>
      <w:tr w14:paraId="325047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3542" w:type="dxa"/>
            <w:vMerge w:val="restart"/>
            <w:tcBorders>
              <w:tl2br w:val="nil"/>
              <w:tr2bl w:val="nil"/>
            </w:tcBorders>
            <w:noWrap w:val="0"/>
            <w:vAlign w:val="center"/>
          </w:tcPr>
          <w:p w14:paraId="773A91E5">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风  速</w:t>
            </w:r>
          </w:p>
        </w:tc>
        <w:tc>
          <w:tcPr>
            <w:tcW w:w="4669" w:type="dxa"/>
            <w:gridSpan w:val="4"/>
            <w:tcBorders>
              <w:tl2br w:val="nil"/>
              <w:tr2bl w:val="nil"/>
            </w:tcBorders>
            <w:noWrap w:val="0"/>
            <w:vAlign w:val="center"/>
          </w:tcPr>
          <w:p w14:paraId="7AED99FD">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eastAsia="zh-CN"/>
              </w:rPr>
            </w:pPr>
            <w:r>
              <w:rPr>
                <w:rFonts w:hint="default" w:ascii="Times New Roman" w:hAnsi="Times New Roman" w:eastAsia="宋体" w:cs="Times New Roman"/>
                <w:color w:val="auto"/>
                <w:sz w:val="21"/>
                <w:szCs w:val="21"/>
                <w:highlight w:val="none"/>
                <w:lang w:val="en-US" w:eastAsia="zh-CN"/>
              </w:rPr>
              <w:t>正己烷</w:t>
            </w:r>
          </w:p>
        </w:tc>
      </w:tr>
      <w:tr w14:paraId="119922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3542" w:type="dxa"/>
            <w:vMerge w:val="continue"/>
            <w:tcBorders>
              <w:tl2br w:val="nil"/>
              <w:tr2bl w:val="nil"/>
            </w:tcBorders>
            <w:noWrap w:val="0"/>
            <w:vAlign w:val="center"/>
          </w:tcPr>
          <w:p w14:paraId="1B6EC3F3">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p>
        </w:tc>
        <w:tc>
          <w:tcPr>
            <w:tcW w:w="1166" w:type="dxa"/>
            <w:tcBorders>
              <w:tl2br w:val="nil"/>
              <w:tr2bl w:val="nil"/>
            </w:tcBorders>
            <w:noWrap w:val="0"/>
            <w:vAlign w:val="center"/>
          </w:tcPr>
          <w:p w14:paraId="05A91BD2">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B</w:t>
            </w:r>
          </w:p>
        </w:tc>
        <w:tc>
          <w:tcPr>
            <w:tcW w:w="1167" w:type="dxa"/>
            <w:tcBorders>
              <w:tl2br w:val="nil"/>
              <w:tr2bl w:val="nil"/>
            </w:tcBorders>
            <w:noWrap w:val="0"/>
            <w:vAlign w:val="center"/>
          </w:tcPr>
          <w:p w14:paraId="69ABE8A5">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D</w:t>
            </w:r>
          </w:p>
        </w:tc>
        <w:tc>
          <w:tcPr>
            <w:tcW w:w="1166" w:type="dxa"/>
            <w:tcBorders>
              <w:tl2br w:val="nil"/>
              <w:tr2bl w:val="nil"/>
            </w:tcBorders>
            <w:noWrap w:val="0"/>
            <w:vAlign w:val="center"/>
          </w:tcPr>
          <w:p w14:paraId="37B43546">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E</w:t>
            </w:r>
          </w:p>
        </w:tc>
        <w:tc>
          <w:tcPr>
            <w:tcW w:w="1170" w:type="dxa"/>
            <w:tcBorders>
              <w:tl2br w:val="nil"/>
              <w:tr2bl w:val="nil"/>
            </w:tcBorders>
            <w:noWrap w:val="0"/>
            <w:vAlign w:val="center"/>
          </w:tcPr>
          <w:p w14:paraId="236560BA">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F</w:t>
            </w:r>
          </w:p>
        </w:tc>
      </w:tr>
      <w:tr w14:paraId="7901A7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3542" w:type="dxa"/>
            <w:tcBorders>
              <w:tl2br w:val="nil"/>
              <w:tr2bl w:val="nil"/>
            </w:tcBorders>
            <w:noWrap w:val="0"/>
            <w:vAlign w:val="center"/>
          </w:tcPr>
          <w:p w14:paraId="573EA69F">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小风</w:t>
            </w:r>
            <w:r>
              <w:rPr>
                <w:rFonts w:hint="default" w:ascii="Times New Roman" w:hAnsi="Times New Roman" w:cs="Times New Roman"/>
                <w:color w:val="auto"/>
                <w:sz w:val="21"/>
                <w:szCs w:val="21"/>
                <w:highlight w:val="none"/>
                <w:lang w:val="nl-BE" w:eastAsia="zh-CN"/>
              </w:rPr>
              <w:t>（</w:t>
            </w:r>
            <w:r>
              <w:rPr>
                <w:rFonts w:hint="default" w:ascii="Times New Roman" w:hAnsi="Times New Roman" w:eastAsia="宋体" w:cs="Times New Roman"/>
                <w:color w:val="auto"/>
                <w:sz w:val="21"/>
                <w:szCs w:val="21"/>
                <w:highlight w:val="none"/>
                <w:lang w:val="nl-BE"/>
              </w:rPr>
              <w:t>1.5m/s</w:t>
            </w:r>
            <w:r>
              <w:rPr>
                <w:rFonts w:hint="default" w:ascii="Times New Roman" w:hAnsi="Times New Roman" w:cs="Times New Roman"/>
                <w:color w:val="auto"/>
                <w:sz w:val="21"/>
                <w:szCs w:val="21"/>
                <w:highlight w:val="none"/>
                <w:lang w:val="nl-BE" w:eastAsia="zh-CN"/>
              </w:rPr>
              <w:t>）</w:t>
            </w:r>
          </w:p>
        </w:tc>
        <w:tc>
          <w:tcPr>
            <w:tcW w:w="1166" w:type="dxa"/>
            <w:tcBorders>
              <w:tl2br w:val="nil"/>
              <w:tr2bl w:val="nil"/>
            </w:tcBorders>
            <w:noWrap w:val="0"/>
            <w:vAlign w:val="center"/>
          </w:tcPr>
          <w:p w14:paraId="28E4766F">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w:t>
            </w:r>
          </w:p>
        </w:tc>
        <w:tc>
          <w:tcPr>
            <w:tcW w:w="1167" w:type="dxa"/>
            <w:tcBorders>
              <w:tl2br w:val="nil"/>
              <w:tr2bl w:val="nil"/>
            </w:tcBorders>
            <w:noWrap w:val="0"/>
            <w:vAlign w:val="center"/>
          </w:tcPr>
          <w:p w14:paraId="44C8E1AC">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w:t>
            </w:r>
          </w:p>
        </w:tc>
        <w:tc>
          <w:tcPr>
            <w:tcW w:w="1166" w:type="dxa"/>
            <w:tcBorders>
              <w:tl2br w:val="nil"/>
              <w:tr2bl w:val="nil"/>
            </w:tcBorders>
            <w:noWrap w:val="0"/>
            <w:vAlign w:val="center"/>
          </w:tcPr>
          <w:p w14:paraId="2338B479">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w:t>
            </w:r>
          </w:p>
        </w:tc>
        <w:tc>
          <w:tcPr>
            <w:tcW w:w="1170" w:type="dxa"/>
            <w:tcBorders>
              <w:tl2br w:val="nil"/>
              <w:tr2bl w:val="nil"/>
            </w:tcBorders>
            <w:noWrap w:val="0"/>
            <w:vAlign w:val="center"/>
          </w:tcPr>
          <w:p w14:paraId="0AA0A25A">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0.0</w:t>
            </w:r>
            <w:r>
              <w:rPr>
                <w:rFonts w:hint="default" w:ascii="Times New Roman" w:hAnsi="Times New Roman" w:cs="Times New Roman"/>
                <w:color w:val="auto"/>
                <w:sz w:val="21"/>
                <w:szCs w:val="21"/>
                <w:highlight w:val="none"/>
                <w:lang w:val="en-US" w:eastAsia="zh-CN"/>
              </w:rPr>
              <w:t>47</w:t>
            </w:r>
          </w:p>
        </w:tc>
      </w:tr>
    </w:tbl>
    <w:p w14:paraId="283BB08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预测模型主要参数</w:t>
      </w:r>
    </w:p>
    <w:p w14:paraId="0F594BD3">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根据导则规定，</w:t>
      </w:r>
      <w:r>
        <w:rPr>
          <w:rFonts w:hint="default" w:ascii="Times New Roman" w:hAnsi="Times New Roman" w:eastAsia="宋体" w:cs="Times New Roman"/>
          <w:color w:val="auto"/>
          <w:sz w:val="24"/>
          <w:szCs w:val="24"/>
          <w:highlight w:val="none"/>
          <w:lang w:val="en-US" w:eastAsia="zh-CN"/>
        </w:rPr>
        <w:t>选取最不利气象条件进行预测，</w:t>
      </w:r>
      <w:r>
        <w:rPr>
          <w:rFonts w:hint="default" w:ascii="Times New Roman" w:hAnsi="Times New Roman" w:eastAsia="宋体" w:cs="Times New Roman"/>
          <w:color w:val="auto"/>
          <w:sz w:val="24"/>
          <w:szCs w:val="24"/>
          <w:highlight w:val="none"/>
        </w:rPr>
        <w:t>大气风险预测模型主要参数见</w:t>
      </w:r>
      <w:r>
        <w:rPr>
          <w:rFonts w:hint="default" w:ascii="Times New Roman" w:hAnsi="Times New Roman" w:eastAsia="宋体" w:cs="Times New Roman"/>
          <w:color w:val="auto"/>
          <w:sz w:val="24"/>
          <w:szCs w:val="24"/>
          <w:highlight w:val="none"/>
          <w:lang w:val="en-US" w:eastAsia="zh-CN"/>
        </w:rPr>
        <w:t>下表</w:t>
      </w:r>
      <w:r>
        <w:rPr>
          <w:rFonts w:hint="default" w:ascii="Times New Roman" w:hAnsi="Times New Roman" w:eastAsia="宋体" w:cs="Times New Roman"/>
          <w:color w:val="auto"/>
          <w:sz w:val="24"/>
          <w:szCs w:val="24"/>
          <w:highlight w:val="none"/>
        </w:rPr>
        <w:t>。</w:t>
      </w:r>
    </w:p>
    <w:p w14:paraId="7C393329">
      <w:pPr>
        <w:pStyle w:val="83"/>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textAlignment w:val="auto"/>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表</w:t>
      </w:r>
      <w:r>
        <w:rPr>
          <w:rFonts w:hint="default" w:ascii="Times New Roman" w:hAnsi="Times New Roman" w:eastAsia="宋体" w:cs="Times New Roman"/>
          <w:color w:val="auto"/>
          <w:sz w:val="24"/>
          <w:szCs w:val="28"/>
          <w:highlight w:val="none"/>
          <w:lang w:val="en-US" w:eastAsia="zh-CN"/>
        </w:rPr>
        <w:t>6-5</w:t>
      </w:r>
      <w:r>
        <w:rPr>
          <w:rFonts w:hint="default" w:ascii="Times New Roman" w:hAnsi="Times New Roman" w:eastAsia="宋体" w:cs="Times New Roman"/>
          <w:color w:val="auto"/>
          <w:sz w:val="24"/>
          <w:szCs w:val="28"/>
          <w:highlight w:val="none"/>
        </w:rPr>
        <w:t xml:space="preserve"> 大气风险预测模型主要参数表</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826"/>
        <w:gridCol w:w="2906"/>
        <w:gridCol w:w="3493"/>
      </w:tblGrid>
      <w:tr w14:paraId="671514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826" w:type="dxa"/>
            <w:tcBorders>
              <w:tl2br w:val="nil"/>
              <w:tr2bl w:val="nil"/>
            </w:tcBorders>
            <w:noWrap w:val="0"/>
            <w:vAlign w:val="center"/>
          </w:tcPr>
          <w:p w14:paraId="781AE684">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参数类型</w:t>
            </w:r>
          </w:p>
        </w:tc>
        <w:tc>
          <w:tcPr>
            <w:tcW w:w="2906" w:type="dxa"/>
            <w:tcBorders>
              <w:tl2br w:val="nil"/>
              <w:tr2bl w:val="nil"/>
            </w:tcBorders>
            <w:noWrap w:val="0"/>
            <w:vAlign w:val="center"/>
          </w:tcPr>
          <w:p w14:paraId="37058906">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选项</w:t>
            </w:r>
          </w:p>
        </w:tc>
        <w:tc>
          <w:tcPr>
            <w:tcW w:w="3493" w:type="dxa"/>
            <w:tcBorders>
              <w:tl2br w:val="nil"/>
              <w:tr2bl w:val="nil"/>
            </w:tcBorders>
            <w:noWrap w:val="0"/>
            <w:vAlign w:val="center"/>
          </w:tcPr>
          <w:p w14:paraId="34E16278">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参数</w:t>
            </w:r>
          </w:p>
        </w:tc>
      </w:tr>
      <w:tr w14:paraId="5172AB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826" w:type="dxa"/>
            <w:vMerge w:val="restart"/>
            <w:tcBorders>
              <w:tl2br w:val="nil"/>
              <w:tr2bl w:val="nil"/>
            </w:tcBorders>
            <w:noWrap w:val="0"/>
            <w:vAlign w:val="center"/>
          </w:tcPr>
          <w:p w14:paraId="330D9F13">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基本情况</w:t>
            </w:r>
          </w:p>
        </w:tc>
        <w:tc>
          <w:tcPr>
            <w:tcW w:w="2906" w:type="dxa"/>
            <w:tcBorders>
              <w:tl2br w:val="nil"/>
              <w:tr2bl w:val="nil"/>
            </w:tcBorders>
            <w:noWrap w:val="0"/>
            <w:vAlign w:val="center"/>
          </w:tcPr>
          <w:p w14:paraId="1012EF42">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事故源经度/（°）</w:t>
            </w:r>
          </w:p>
        </w:tc>
        <w:tc>
          <w:tcPr>
            <w:tcW w:w="3493" w:type="dxa"/>
            <w:tcBorders>
              <w:tl2br w:val="nil"/>
              <w:tr2bl w:val="nil"/>
            </w:tcBorders>
            <w:noWrap w:val="0"/>
            <w:vAlign w:val="center"/>
          </w:tcPr>
          <w:p w14:paraId="2B541C8E">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130.724376</w:t>
            </w:r>
          </w:p>
        </w:tc>
      </w:tr>
      <w:tr w14:paraId="389BA2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826" w:type="dxa"/>
            <w:vMerge w:val="continue"/>
            <w:tcBorders>
              <w:tl2br w:val="nil"/>
              <w:tr2bl w:val="nil"/>
            </w:tcBorders>
            <w:noWrap w:val="0"/>
            <w:vAlign w:val="center"/>
          </w:tcPr>
          <w:p w14:paraId="15DBAAAB">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p>
        </w:tc>
        <w:tc>
          <w:tcPr>
            <w:tcW w:w="2906" w:type="dxa"/>
            <w:tcBorders>
              <w:tl2br w:val="nil"/>
              <w:tr2bl w:val="nil"/>
            </w:tcBorders>
            <w:noWrap w:val="0"/>
            <w:vAlign w:val="center"/>
          </w:tcPr>
          <w:p w14:paraId="1D7280FB">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事故源纬度/（°）</w:t>
            </w:r>
          </w:p>
        </w:tc>
        <w:tc>
          <w:tcPr>
            <w:tcW w:w="3493" w:type="dxa"/>
            <w:tcBorders>
              <w:tl2br w:val="nil"/>
              <w:tr2bl w:val="nil"/>
            </w:tcBorders>
            <w:noWrap w:val="0"/>
            <w:vAlign w:val="center"/>
          </w:tcPr>
          <w:p w14:paraId="7BC6845C">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47.000144</w:t>
            </w:r>
          </w:p>
        </w:tc>
      </w:tr>
      <w:tr w14:paraId="549DD5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826" w:type="dxa"/>
            <w:vMerge w:val="continue"/>
            <w:tcBorders>
              <w:tl2br w:val="nil"/>
              <w:tr2bl w:val="nil"/>
            </w:tcBorders>
            <w:noWrap w:val="0"/>
            <w:vAlign w:val="center"/>
          </w:tcPr>
          <w:p w14:paraId="2F89525B">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p>
        </w:tc>
        <w:tc>
          <w:tcPr>
            <w:tcW w:w="2906" w:type="dxa"/>
            <w:tcBorders>
              <w:tl2br w:val="nil"/>
              <w:tr2bl w:val="nil"/>
            </w:tcBorders>
            <w:noWrap w:val="0"/>
            <w:vAlign w:val="center"/>
          </w:tcPr>
          <w:p w14:paraId="7516AE52">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事故源类型</w:t>
            </w:r>
          </w:p>
        </w:tc>
        <w:tc>
          <w:tcPr>
            <w:tcW w:w="3493" w:type="dxa"/>
            <w:tcBorders>
              <w:tl2br w:val="nil"/>
              <w:tr2bl w:val="nil"/>
            </w:tcBorders>
            <w:noWrap w:val="0"/>
            <w:vAlign w:val="center"/>
          </w:tcPr>
          <w:p w14:paraId="39B0BEA5">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en-US" w:eastAsia="zh-CN"/>
              </w:rPr>
              <w:t>正己烷</w:t>
            </w:r>
            <w:r>
              <w:rPr>
                <w:rFonts w:hint="default" w:ascii="Times New Roman" w:hAnsi="Times New Roman" w:eastAsia="宋体" w:cs="Times New Roman"/>
                <w:color w:val="auto"/>
                <w:sz w:val="21"/>
                <w:szCs w:val="21"/>
                <w:highlight w:val="none"/>
                <w:lang w:val="nl-BE"/>
              </w:rPr>
              <w:t>储罐泄漏</w:t>
            </w:r>
          </w:p>
        </w:tc>
      </w:tr>
      <w:tr w14:paraId="46F3BC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826" w:type="dxa"/>
            <w:vMerge w:val="restart"/>
            <w:tcBorders>
              <w:tl2br w:val="nil"/>
              <w:tr2bl w:val="nil"/>
            </w:tcBorders>
            <w:noWrap w:val="0"/>
            <w:vAlign w:val="center"/>
          </w:tcPr>
          <w:p w14:paraId="58005DF2">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气象参数</w:t>
            </w:r>
          </w:p>
        </w:tc>
        <w:tc>
          <w:tcPr>
            <w:tcW w:w="2906" w:type="dxa"/>
            <w:tcBorders>
              <w:tl2br w:val="nil"/>
              <w:tr2bl w:val="nil"/>
            </w:tcBorders>
            <w:noWrap w:val="0"/>
            <w:vAlign w:val="center"/>
          </w:tcPr>
          <w:p w14:paraId="769338DF">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气象条件类型</w:t>
            </w:r>
          </w:p>
        </w:tc>
        <w:tc>
          <w:tcPr>
            <w:tcW w:w="3493" w:type="dxa"/>
            <w:tcBorders>
              <w:tl2br w:val="nil"/>
              <w:tr2bl w:val="nil"/>
            </w:tcBorders>
            <w:noWrap w:val="0"/>
            <w:vAlign w:val="center"/>
          </w:tcPr>
          <w:p w14:paraId="2C341829">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最不利气象</w:t>
            </w:r>
          </w:p>
        </w:tc>
      </w:tr>
      <w:tr w14:paraId="0EAF1A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826" w:type="dxa"/>
            <w:vMerge w:val="continue"/>
            <w:tcBorders>
              <w:tl2br w:val="nil"/>
              <w:tr2bl w:val="nil"/>
            </w:tcBorders>
            <w:noWrap w:val="0"/>
            <w:vAlign w:val="center"/>
          </w:tcPr>
          <w:p w14:paraId="43D28AE4">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p>
        </w:tc>
        <w:tc>
          <w:tcPr>
            <w:tcW w:w="2906" w:type="dxa"/>
            <w:tcBorders>
              <w:tl2br w:val="nil"/>
              <w:tr2bl w:val="nil"/>
            </w:tcBorders>
            <w:noWrap w:val="0"/>
            <w:vAlign w:val="center"/>
          </w:tcPr>
          <w:p w14:paraId="6C17AF7B">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风速/（m/s）</w:t>
            </w:r>
          </w:p>
        </w:tc>
        <w:tc>
          <w:tcPr>
            <w:tcW w:w="3493" w:type="dxa"/>
            <w:tcBorders>
              <w:tl2br w:val="nil"/>
              <w:tr2bl w:val="nil"/>
            </w:tcBorders>
            <w:noWrap w:val="0"/>
            <w:vAlign w:val="center"/>
          </w:tcPr>
          <w:p w14:paraId="45BB2040">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nl-BE"/>
              </w:rPr>
              <w:t>1.50</w:t>
            </w:r>
          </w:p>
        </w:tc>
      </w:tr>
      <w:tr w14:paraId="2BCA57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826" w:type="dxa"/>
            <w:vMerge w:val="continue"/>
            <w:tcBorders>
              <w:tl2br w:val="nil"/>
              <w:tr2bl w:val="nil"/>
            </w:tcBorders>
            <w:noWrap w:val="0"/>
            <w:vAlign w:val="center"/>
          </w:tcPr>
          <w:p w14:paraId="2F4C097B">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p>
        </w:tc>
        <w:tc>
          <w:tcPr>
            <w:tcW w:w="2906" w:type="dxa"/>
            <w:tcBorders>
              <w:tl2br w:val="nil"/>
              <w:tr2bl w:val="nil"/>
            </w:tcBorders>
            <w:noWrap w:val="0"/>
            <w:vAlign w:val="center"/>
          </w:tcPr>
          <w:p w14:paraId="28F38E2B">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环境温度/℃</w:t>
            </w:r>
          </w:p>
        </w:tc>
        <w:tc>
          <w:tcPr>
            <w:tcW w:w="3493" w:type="dxa"/>
            <w:tcBorders>
              <w:tl2br w:val="nil"/>
              <w:tr2bl w:val="nil"/>
            </w:tcBorders>
            <w:noWrap w:val="0"/>
            <w:vAlign w:val="center"/>
          </w:tcPr>
          <w:p w14:paraId="2CAAF615">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nl-BE"/>
              </w:rPr>
              <w:t>25.0</w:t>
            </w:r>
          </w:p>
        </w:tc>
      </w:tr>
      <w:tr w14:paraId="511399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826" w:type="dxa"/>
            <w:vMerge w:val="continue"/>
            <w:tcBorders>
              <w:tl2br w:val="nil"/>
              <w:tr2bl w:val="nil"/>
            </w:tcBorders>
            <w:noWrap w:val="0"/>
            <w:vAlign w:val="center"/>
          </w:tcPr>
          <w:p w14:paraId="63AF7330">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p>
        </w:tc>
        <w:tc>
          <w:tcPr>
            <w:tcW w:w="2906" w:type="dxa"/>
            <w:tcBorders>
              <w:tl2br w:val="nil"/>
              <w:tr2bl w:val="nil"/>
            </w:tcBorders>
            <w:noWrap w:val="0"/>
            <w:vAlign w:val="center"/>
          </w:tcPr>
          <w:p w14:paraId="5D5456F0">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相对湿度/%</w:t>
            </w:r>
          </w:p>
        </w:tc>
        <w:tc>
          <w:tcPr>
            <w:tcW w:w="3493" w:type="dxa"/>
            <w:tcBorders>
              <w:tl2br w:val="nil"/>
              <w:tr2bl w:val="nil"/>
            </w:tcBorders>
            <w:noWrap w:val="0"/>
            <w:vAlign w:val="center"/>
          </w:tcPr>
          <w:p w14:paraId="3A782093">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50</w:t>
            </w:r>
          </w:p>
        </w:tc>
      </w:tr>
      <w:tr w14:paraId="7A9C29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826" w:type="dxa"/>
            <w:vMerge w:val="continue"/>
            <w:tcBorders>
              <w:tl2br w:val="nil"/>
              <w:tr2bl w:val="nil"/>
            </w:tcBorders>
            <w:noWrap w:val="0"/>
            <w:vAlign w:val="center"/>
          </w:tcPr>
          <w:p w14:paraId="32DB16C1">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p>
        </w:tc>
        <w:tc>
          <w:tcPr>
            <w:tcW w:w="2906" w:type="dxa"/>
            <w:tcBorders>
              <w:tl2br w:val="nil"/>
              <w:tr2bl w:val="nil"/>
            </w:tcBorders>
            <w:noWrap w:val="0"/>
            <w:vAlign w:val="center"/>
          </w:tcPr>
          <w:p w14:paraId="6A2BA40C">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稳定度</w:t>
            </w:r>
          </w:p>
        </w:tc>
        <w:tc>
          <w:tcPr>
            <w:tcW w:w="3493" w:type="dxa"/>
            <w:tcBorders>
              <w:tl2br w:val="nil"/>
              <w:tr2bl w:val="nil"/>
            </w:tcBorders>
            <w:noWrap w:val="0"/>
            <w:vAlign w:val="center"/>
          </w:tcPr>
          <w:p w14:paraId="21AF1E45">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F</w:t>
            </w:r>
          </w:p>
        </w:tc>
      </w:tr>
      <w:tr w14:paraId="2EC980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826" w:type="dxa"/>
            <w:vMerge w:val="restart"/>
            <w:tcBorders>
              <w:tl2br w:val="nil"/>
              <w:tr2bl w:val="nil"/>
            </w:tcBorders>
            <w:noWrap w:val="0"/>
            <w:vAlign w:val="center"/>
          </w:tcPr>
          <w:p w14:paraId="624FDA1B">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其他参数</w:t>
            </w:r>
          </w:p>
        </w:tc>
        <w:tc>
          <w:tcPr>
            <w:tcW w:w="2906" w:type="dxa"/>
            <w:tcBorders>
              <w:tl2br w:val="nil"/>
              <w:tr2bl w:val="nil"/>
            </w:tcBorders>
            <w:noWrap w:val="0"/>
            <w:vAlign w:val="center"/>
          </w:tcPr>
          <w:p w14:paraId="00FE198A">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地表粗糙度/m</w:t>
            </w:r>
          </w:p>
        </w:tc>
        <w:tc>
          <w:tcPr>
            <w:tcW w:w="3493" w:type="dxa"/>
            <w:tcBorders>
              <w:tl2br w:val="nil"/>
              <w:tr2bl w:val="nil"/>
            </w:tcBorders>
            <w:noWrap w:val="0"/>
            <w:vAlign w:val="center"/>
          </w:tcPr>
          <w:p w14:paraId="16295FCC">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1m</w:t>
            </w:r>
          </w:p>
        </w:tc>
      </w:tr>
      <w:tr w14:paraId="5AD5A1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826" w:type="dxa"/>
            <w:vMerge w:val="continue"/>
            <w:tcBorders>
              <w:tl2br w:val="nil"/>
              <w:tr2bl w:val="nil"/>
            </w:tcBorders>
            <w:noWrap w:val="0"/>
            <w:vAlign w:val="center"/>
          </w:tcPr>
          <w:p w14:paraId="4BF5DF8C">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p>
        </w:tc>
        <w:tc>
          <w:tcPr>
            <w:tcW w:w="2906" w:type="dxa"/>
            <w:tcBorders>
              <w:tl2br w:val="nil"/>
              <w:tr2bl w:val="nil"/>
            </w:tcBorders>
            <w:noWrap w:val="0"/>
            <w:vAlign w:val="center"/>
          </w:tcPr>
          <w:p w14:paraId="223EEA7C">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是否考虑地形</w:t>
            </w:r>
          </w:p>
        </w:tc>
        <w:tc>
          <w:tcPr>
            <w:tcW w:w="3493" w:type="dxa"/>
            <w:tcBorders>
              <w:tl2br w:val="nil"/>
              <w:tr2bl w:val="nil"/>
            </w:tcBorders>
            <w:noWrap w:val="0"/>
            <w:vAlign w:val="center"/>
          </w:tcPr>
          <w:p w14:paraId="075A69BE">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w:t>
            </w:r>
          </w:p>
        </w:tc>
      </w:tr>
      <w:tr w14:paraId="06B23C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826" w:type="dxa"/>
            <w:vMerge w:val="continue"/>
            <w:tcBorders>
              <w:tl2br w:val="nil"/>
              <w:tr2bl w:val="nil"/>
            </w:tcBorders>
            <w:noWrap w:val="0"/>
            <w:vAlign w:val="center"/>
          </w:tcPr>
          <w:p w14:paraId="2C967A78">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p>
        </w:tc>
        <w:tc>
          <w:tcPr>
            <w:tcW w:w="2906" w:type="dxa"/>
            <w:tcBorders>
              <w:tl2br w:val="nil"/>
              <w:tr2bl w:val="nil"/>
            </w:tcBorders>
            <w:noWrap w:val="0"/>
            <w:vAlign w:val="center"/>
          </w:tcPr>
          <w:p w14:paraId="6CE63241">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地形数据精度/m</w:t>
            </w:r>
          </w:p>
        </w:tc>
        <w:tc>
          <w:tcPr>
            <w:tcW w:w="3493" w:type="dxa"/>
            <w:tcBorders>
              <w:tl2br w:val="nil"/>
              <w:tr2bl w:val="nil"/>
            </w:tcBorders>
            <w:noWrap w:val="0"/>
            <w:vAlign w:val="center"/>
          </w:tcPr>
          <w:p w14:paraId="7FE734BF">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nl-BE"/>
              </w:rPr>
            </w:pPr>
            <w:r>
              <w:rPr>
                <w:rFonts w:hint="default" w:ascii="Times New Roman" w:hAnsi="Times New Roman" w:eastAsia="宋体" w:cs="Times New Roman"/>
                <w:color w:val="auto"/>
                <w:sz w:val="21"/>
                <w:szCs w:val="21"/>
                <w:highlight w:val="none"/>
                <w:lang w:val="nl-BE"/>
              </w:rPr>
              <w:t>/</w:t>
            </w:r>
          </w:p>
        </w:tc>
      </w:tr>
    </w:tbl>
    <w:p w14:paraId="39DE8962">
      <w:pPr>
        <w:pStyle w:val="4"/>
        <w:pageBreakBefore w:val="0"/>
        <w:numPr>
          <w:ilvl w:val="2"/>
          <w:numId w:val="0"/>
        </w:numPr>
        <w:kinsoku/>
        <w:wordWrap/>
        <w:overflowPunct/>
        <w:topLinePunct w:val="0"/>
        <w:autoSpaceDE/>
        <w:autoSpaceDN/>
        <w:bidi w:val="0"/>
        <w:adjustRightInd w:val="0"/>
        <w:snapToGrid w:val="0"/>
        <w:spacing w:before="0" w:line="360" w:lineRule="auto"/>
        <w:ind w:left="0" w:leftChars="0" w:firstLine="0" w:firstLineChars="0"/>
        <w:textAlignment w:val="auto"/>
        <w:outlineLvl w:val="2"/>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kern w:val="2"/>
          <w:sz w:val="24"/>
          <w:szCs w:val="24"/>
          <w:highlight w:val="none"/>
          <w:lang w:val="en-US" w:eastAsia="zh-CN" w:bidi="ar-SA"/>
        </w:rPr>
        <w:t>6</w:t>
      </w:r>
      <w:r>
        <w:rPr>
          <w:rFonts w:hint="default" w:ascii="Times New Roman" w:hAnsi="Times New Roman" w:eastAsia="宋体" w:cs="Times New Roman"/>
          <w:color w:val="auto"/>
          <w:sz w:val="24"/>
          <w:szCs w:val="24"/>
          <w:highlight w:val="none"/>
          <w:lang w:val="en-US" w:eastAsia="zh-CN"/>
        </w:rPr>
        <w:t>.1.3</w:t>
      </w:r>
      <w:r>
        <w:rPr>
          <w:rFonts w:hint="default" w:ascii="Times New Roman" w:hAnsi="Times New Roman" w:eastAsia="宋体" w:cs="Times New Roman"/>
          <w:color w:val="auto"/>
          <w:sz w:val="24"/>
          <w:szCs w:val="24"/>
          <w:highlight w:val="none"/>
        </w:rPr>
        <w:t>风险预测与评价</w:t>
      </w:r>
    </w:p>
    <w:p w14:paraId="529BCCD5">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
          <w:bCs w:val="0"/>
          <w:color w:val="auto"/>
          <w:sz w:val="24"/>
          <w:szCs w:val="24"/>
          <w:highlight w:val="none"/>
        </w:rPr>
      </w:pPr>
      <w:r>
        <w:rPr>
          <w:rFonts w:hint="default" w:ascii="Times New Roman" w:hAnsi="Times New Roman" w:eastAsia="宋体" w:cs="Times New Roman"/>
          <w:b/>
          <w:bCs w:val="0"/>
          <w:color w:val="auto"/>
          <w:sz w:val="24"/>
          <w:szCs w:val="24"/>
          <w:highlight w:val="none"/>
          <w:lang w:val="en-US" w:eastAsia="zh-CN"/>
        </w:rPr>
        <w:t>（1）泄漏</w:t>
      </w:r>
      <w:r>
        <w:rPr>
          <w:rFonts w:hint="default" w:ascii="Times New Roman" w:hAnsi="Times New Roman" w:eastAsia="宋体" w:cs="Times New Roman"/>
          <w:b/>
          <w:bCs w:val="0"/>
          <w:color w:val="auto"/>
          <w:sz w:val="24"/>
          <w:szCs w:val="24"/>
          <w:highlight w:val="none"/>
        </w:rPr>
        <w:t>风险预测</w:t>
      </w:r>
    </w:p>
    <w:p w14:paraId="7EB7C183">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1）预测模型筛选</w:t>
      </w:r>
    </w:p>
    <w:p w14:paraId="1FC7BBF0">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根据《建设项目环境风险评价技术导则》</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HJ169-2018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，预测采用AFTOX模型。</w:t>
      </w:r>
    </w:p>
    <w:p w14:paraId="26376D97">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2）预测范围与计算点</w:t>
      </w:r>
    </w:p>
    <w:p w14:paraId="177B932A">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选择适用的数值方法进行分析预测，给出风险事故情形下危险物质释放可能造成的大气环境影响范围与程度。经计算，预测范围为以厂区为中心，外延5000m的区域；计算点分为特殊计算点和一般计算点，一般计算点指下风向不同距离点，距风险源500m范围内间距为50m，大于500m范围间距为100m。特殊计算点指大气环境敏感目标等关心点。</w:t>
      </w:r>
    </w:p>
    <w:p w14:paraId="24F21E50">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3）气象参数</w:t>
      </w:r>
    </w:p>
    <w:p w14:paraId="452690AB">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根据《建设项目环境风险评价技术导则》</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HJ169-2018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要求，</w:t>
      </w:r>
      <w:r>
        <w:rPr>
          <w:rFonts w:hint="default" w:ascii="Times New Roman" w:hAnsi="Times New Roman" w:eastAsia="宋体" w:cs="Times New Roman"/>
          <w:color w:val="auto"/>
          <w:sz w:val="24"/>
          <w:szCs w:val="24"/>
          <w:highlight w:val="none"/>
          <w:lang w:eastAsia="zh-CN"/>
        </w:rPr>
        <w:t>二</w:t>
      </w:r>
      <w:r>
        <w:rPr>
          <w:rFonts w:hint="default" w:ascii="Times New Roman" w:hAnsi="Times New Roman" w:eastAsia="宋体" w:cs="Times New Roman"/>
          <w:color w:val="auto"/>
          <w:sz w:val="24"/>
          <w:szCs w:val="24"/>
          <w:highlight w:val="none"/>
        </w:rPr>
        <w:t>级评价需选取最不利气象条件进行后果预测。其中最不利气象条件去F类稳定度，1.5m/s风速，温度25℃，相对湿度50%。</w:t>
      </w:r>
    </w:p>
    <w:p w14:paraId="0B10683F">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4）大气毒性终点浓度值选取</w:t>
      </w:r>
    </w:p>
    <w:p w14:paraId="5AF9BDFA">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大气毒性终点浓度即为预测评价标准，根据《建设项目环境风险评价技术导则》</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HJ169-2018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附录H.1，确定危险物质大气毒性终点浓度值见</w:t>
      </w:r>
      <w:r>
        <w:rPr>
          <w:rFonts w:hint="default" w:ascii="Times New Roman" w:hAnsi="Times New Roman" w:eastAsia="宋体" w:cs="Times New Roman"/>
          <w:color w:val="auto"/>
          <w:sz w:val="24"/>
          <w:szCs w:val="24"/>
          <w:highlight w:val="none"/>
          <w:lang w:val="en-US" w:eastAsia="zh-CN"/>
        </w:rPr>
        <w:t>下表</w:t>
      </w:r>
      <w:r>
        <w:rPr>
          <w:rFonts w:hint="default" w:ascii="Times New Roman" w:hAnsi="Times New Roman" w:eastAsia="宋体" w:cs="Times New Roman"/>
          <w:color w:val="auto"/>
          <w:sz w:val="24"/>
          <w:szCs w:val="24"/>
          <w:highlight w:val="none"/>
        </w:rPr>
        <w:t>。</w:t>
      </w:r>
    </w:p>
    <w:p w14:paraId="6B750A67">
      <w:pPr>
        <w:pStyle w:val="83"/>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textAlignment w:val="auto"/>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表</w:t>
      </w:r>
      <w:r>
        <w:rPr>
          <w:rFonts w:hint="default" w:ascii="Times New Roman" w:hAnsi="Times New Roman" w:eastAsia="宋体" w:cs="Times New Roman"/>
          <w:color w:val="auto"/>
          <w:sz w:val="24"/>
          <w:szCs w:val="28"/>
          <w:highlight w:val="none"/>
          <w:lang w:val="en-US" w:eastAsia="zh-CN"/>
        </w:rPr>
        <w:t>6-6</w:t>
      </w:r>
      <w:r>
        <w:rPr>
          <w:rFonts w:hint="default" w:ascii="Times New Roman" w:hAnsi="Times New Roman" w:eastAsia="宋体" w:cs="Times New Roman"/>
          <w:color w:val="auto"/>
          <w:sz w:val="24"/>
          <w:szCs w:val="28"/>
          <w:highlight w:val="none"/>
        </w:rPr>
        <w:t>危险物质大气毒性终点浓度值选取一览表</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307"/>
        <w:gridCol w:w="4390"/>
        <w:gridCol w:w="2672"/>
      </w:tblGrid>
      <w:tr w14:paraId="53C2B8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307" w:type="dxa"/>
            <w:tcBorders>
              <w:tl2br w:val="nil"/>
              <w:tr2bl w:val="nil"/>
            </w:tcBorders>
            <w:noWrap w:val="0"/>
            <w:vAlign w:val="center"/>
          </w:tcPr>
          <w:p w14:paraId="685FA063">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物质</w:t>
            </w:r>
          </w:p>
        </w:tc>
        <w:tc>
          <w:tcPr>
            <w:tcW w:w="4390" w:type="dxa"/>
            <w:tcBorders>
              <w:tl2br w:val="nil"/>
              <w:tr2bl w:val="nil"/>
            </w:tcBorders>
            <w:noWrap w:val="0"/>
            <w:vAlign w:val="center"/>
          </w:tcPr>
          <w:p w14:paraId="1312465C">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项    目</w:t>
            </w:r>
          </w:p>
        </w:tc>
        <w:tc>
          <w:tcPr>
            <w:tcW w:w="2672" w:type="dxa"/>
            <w:tcBorders>
              <w:tl2br w:val="nil"/>
              <w:tr2bl w:val="nil"/>
            </w:tcBorders>
            <w:noWrap w:val="0"/>
            <w:vAlign w:val="center"/>
          </w:tcPr>
          <w:p w14:paraId="4D1F19C3">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浓度</w:t>
            </w:r>
            <w:r>
              <w:rPr>
                <w:rFonts w:hint="default" w:ascii="Times New Roman" w:hAnsi="Times New Roman" w:cs="Times New Roman"/>
                <w:color w:val="auto"/>
                <w:highlight w:val="none"/>
                <w:lang w:val="nl-BE" w:eastAsia="zh-CN"/>
              </w:rPr>
              <w:t>（</w:t>
            </w:r>
            <w:r>
              <w:rPr>
                <w:rFonts w:hint="default" w:ascii="Times New Roman" w:hAnsi="Times New Roman" w:eastAsia="宋体" w:cs="Times New Roman"/>
                <w:color w:val="auto"/>
                <w:highlight w:val="none"/>
                <w:lang w:val="nl-BE"/>
              </w:rPr>
              <w:t>mg/m</w:t>
            </w:r>
            <w:r>
              <w:rPr>
                <w:rFonts w:hint="default" w:ascii="Times New Roman" w:hAnsi="Times New Roman" w:eastAsia="宋体" w:cs="Times New Roman"/>
                <w:color w:val="auto"/>
                <w:highlight w:val="none"/>
                <w:vertAlign w:val="superscript"/>
                <w:lang w:val="nl-BE"/>
              </w:rPr>
              <w:t>3</w:t>
            </w:r>
            <w:r>
              <w:rPr>
                <w:rFonts w:hint="default" w:ascii="Times New Roman" w:hAnsi="Times New Roman" w:cs="Times New Roman"/>
                <w:color w:val="auto"/>
                <w:highlight w:val="none"/>
                <w:vertAlign w:val="superscript"/>
                <w:lang w:val="nl-BE" w:eastAsia="zh-CN"/>
              </w:rPr>
              <w:t>）</w:t>
            </w:r>
          </w:p>
        </w:tc>
      </w:tr>
      <w:tr w14:paraId="462067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307" w:type="dxa"/>
            <w:vMerge w:val="restart"/>
            <w:tcBorders>
              <w:tl2br w:val="nil"/>
              <w:tr2bl w:val="nil"/>
            </w:tcBorders>
            <w:noWrap w:val="0"/>
            <w:vAlign w:val="center"/>
          </w:tcPr>
          <w:p w14:paraId="325D79E6">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lang w:val="nl-BE" w:eastAsia="zh-CN"/>
              </w:rPr>
            </w:pPr>
            <w:r>
              <w:rPr>
                <w:rFonts w:hint="default" w:ascii="Times New Roman" w:hAnsi="Times New Roman" w:eastAsia="宋体" w:cs="Times New Roman"/>
                <w:color w:val="auto"/>
                <w:highlight w:val="none"/>
                <w:lang w:val="en-US" w:eastAsia="zh-CN"/>
              </w:rPr>
              <w:t>正己烷</w:t>
            </w:r>
          </w:p>
        </w:tc>
        <w:tc>
          <w:tcPr>
            <w:tcW w:w="4390" w:type="dxa"/>
            <w:tcBorders>
              <w:tl2br w:val="nil"/>
              <w:tr2bl w:val="nil"/>
            </w:tcBorders>
            <w:noWrap w:val="0"/>
            <w:vAlign w:val="center"/>
          </w:tcPr>
          <w:p w14:paraId="4465C78E">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毒性终点浓度-1</w:t>
            </w:r>
          </w:p>
        </w:tc>
        <w:tc>
          <w:tcPr>
            <w:tcW w:w="2672" w:type="dxa"/>
            <w:tcBorders>
              <w:tl2br w:val="nil"/>
              <w:tr2bl w:val="nil"/>
            </w:tcBorders>
            <w:noWrap w:val="0"/>
            <w:vAlign w:val="center"/>
          </w:tcPr>
          <w:p w14:paraId="0CE59236">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30000</w:t>
            </w:r>
          </w:p>
        </w:tc>
      </w:tr>
      <w:tr w14:paraId="541B25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307" w:type="dxa"/>
            <w:vMerge w:val="continue"/>
            <w:tcBorders>
              <w:tl2br w:val="nil"/>
              <w:tr2bl w:val="nil"/>
            </w:tcBorders>
            <w:noWrap w:val="0"/>
            <w:vAlign w:val="center"/>
          </w:tcPr>
          <w:p w14:paraId="18D9B8BE">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lang w:val="nl-BE"/>
              </w:rPr>
            </w:pPr>
          </w:p>
        </w:tc>
        <w:tc>
          <w:tcPr>
            <w:tcW w:w="4390" w:type="dxa"/>
            <w:tcBorders>
              <w:tl2br w:val="nil"/>
              <w:tr2bl w:val="nil"/>
            </w:tcBorders>
            <w:noWrap w:val="0"/>
            <w:vAlign w:val="center"/>
          </w:tcPr>
          <w:p w14:paraId="77B9ECB0">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lang w:val="nl-BE"/>
              </w:rPr>
            </w:pPr>
            <w:r>
              <w:rPr>
                <w:rFonts w:hint="default" w:ascii="Times New Roman" w:hAnsi="Times New Roman" w:eastAsia="宋体" w:cs="Times New Roman"/>
                <w:color w:val="auto"/>
                <w:highlight w:val="none"/>
                <w:lang w:val="nl-BE"/>
              </w:rPr>
              <w:t>毒性终点浓度-2</w:t>
            </w:r>
          </w:p>
        </w:tc>
        <w:tc>
          <w:tcPr>
            <w:tcW w:w="2672" w:type="dxa"/>
            <w:tcBorders>
              <w:tl2br w:val="nil"/>
              <w:tr2bl w:val="nil"/>
            </w:tcBorders>
            <w:noWrap w:val="0"/>
            <w:vAlign w:val="center"/>
          </w:tcPr>
          <w:p w14:paraId="52B31A24">
            <w:pPr>
              <w:pStyle w:val="86"/>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10000</w:t>
            </w:r>
          </w:p>
        </w:tc>
      </w:tr>
    </w:tbl>
    <w:p w14:paraId="6C6FA775">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5）预测结果</w:t>
      </w:r>
    </w:p>
    <w:p w14:paraId="1A1C313E">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a.下风向不同距离处有毒有害物质最大浓度及最大影响范围</w:t>
      </w:r>
    </w:p>
    <w:p w14:paraId="1C087701">
      <w:pPr>
        <w:pStyle w:val="83"/>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表</w:t>
      </w:r>
      <w:r>
        <w:rPr>
          <w:rFonts w:hint="default" w:ascii="Times New Roman" w:hAnsi="Times New Roman" w:eastAsia="宋体" w:cs="Times New Roman"/>
          <w:color w:val="auto"/>
          <w:sz w:val="24"/>
          <w:szCs w:val="24"/>
          <w:highlight w:val="none"/>
          <w:lang w:val="en-US" w:eastAsia="zh-CN"/>
        </w:rPr>
        <w:t>6-7</w:t>
      </w:r>
      <w:r>
        <w:rPr>
          <w:rFonts w:hint="default" w:ascii="Times New Roman" w:hAnsi="Times New Roman" w:eastAsia="宋体" w:cs="Times New Roman"/>
          <w:color w:val="auto"/>
          <w:sz w:val="24"/>
          <w:szCs w:val="24"/>
          <w:highlight w:val="none"/>
        </w:rPr>
        <w:t>下风向不同距离处有毒有害物质最大浓度</w:t>
      </w:r>
    </w:p>
    <w:p w14:paraId="7D30924F">
      <w:pPr>
        <w:pStyle w:val="83"/>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（F稳定度，1.5m/s，湿度50%）</w:t>
      </w:r>
    </w:p>
    <w:tbl>
      <w:tblPr>
        <w:tblStyle w:val="30"/>
        <w:tblW w:w="4877"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72"/>
        <w:gridCol w:w="2773"/>
        <w:gridCol w:w="2774"/>
      </w:tblGrid>
      <w:tr w14:paraId="6E4EB1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666" w:type="pct"/>
            <w:tcBorders>
              <w:tl2br w:val="nil"/>
              <w:tr2bl w:val="nil"/>
            </w:tcBorders>
            <w:noWrap w:val="0"/>
            <w:vAlign w:val="center"/>
          </w:tcPr>
          <w:p w14:paraId="2A45AE82">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距离 （m）</w:t>
            </w:r>
          </w:p>
        </w:tc>
        <w:tc>
          <w:tcPr>
            <w:tcW w:w="1666" w:type="pct"/>
            <w:tcBorders>
              <w:tl2br w:val="nil"/>
              <w:tr2bl w:val="nil"/>
            </w:tcBorders>
            <w:noWrap w:val="0"/>
            <w:vAlign w:val="center"/>
          </w:tcPr>
          <w:p w14:paraId="5B6F92AC">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浓度出现时间（s）</w:t>
            </w:r>
          </w:p>
        </w:tc>
        <w:tc>
          <w:tcPr>
            <w:tcW w:w="1667" w:type="pct"/>
            <w:tcBorders>
              <w:tl2br w:val="nil"/>
              <w:tr2bl w:val="nil"/>
            </w:tcBorders>
            <w:noWrap w:val="0"/>
            <w:vAlign w:val="center"/>
          </w:tcPr>
          <w:p w14:paraId="70003AA8">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高峰浓度（mg/m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w:t>
            </w:r>
          </w:p>
        </w:tc>
      </w:tr>
      <w:tr w14:paraId="136DD8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1666" w:type="pct"/>
            <w:tcBorders>
              <w:tl2br w:val="nil"/>
              <w:tr2bl w:val="nil"/>
            </w:tcBorders>
            <w:noWrap w:val="0"/>
            <w:vAlign w:val="center"/>
          </w:tcPr>
          <w:p w14:paraId="04D98926">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666" w:type="pct"/>
            <w:tcBorders>
              <w:tl2br w:val="nil"/>
              <w:tr2bl w:val="nil"/>
            </w:tcBorders>
            <w:noWrap w:val="0"/>
            <w:vAlign w:val="center"/>
          </w:tcPr>
          <w:p w14:paraId="21B1DEC1">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302</w:t>
            </w:r>
          </w:p>
        </w:tc>
        <w:tc>
          <w:tcPr>
            <w:tcW w:w="1667" w:type="pct"/>
            <w:tcBorders>
              <w:tl2br w:val="nil"/>
              <w:tr2bl w:val="nil"/>
            </w:tcBorders>
            <w:noWrap w:val="0"/>
            <w:vAlign w:val="center"/>
          </w:tcPr>
          <w:p w14:paraId="53E3D267">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1327.179087</w:t>
            </w:r>
          </w:p>
        </w:tc>
      </w:tr>
      <w:tr w14:paraId="5FE8D4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1666" w:type="pct"/>
            <w:tcBorders>
              <w:tl2br w:val="nil"/>
              <w:tr2bl w:val="nil"/>
            </w:tcBorders>
            <w:noWrap w:val="0"/>
            <w:vAlign w:val="center"/>
          </w:tcPr>
          <w:p w14:paraId="3806E415">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1666" w:type="pct"/>
            <w:tcBorders>
              <w:tl2br w:val="nil"/>
              <w:tr2bl w:val="nil"/>
            </w:tcBorders>
            <w:noWrap w:val="0"/>
            <w:vAlign w:val="center"/>
          </w:tcPr>
          <w:p w14:paraId="28F1AA9F">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305</w:t>
            </w:r>
          </w:p>
        </w:tc>
        <w:tc>
          <w:tcPr>
            <w:tcW w:w="1667" w:type="pct"/>
            <w:tcBorders>
              <w:tl2br w:val="nil"/>
              <w:tr2bl w:val="nil"/>
            </w:tcBorders>
            <w:noWrap w:val="0"/>
            <w:vAlign w:val="center"/>
          </w:tcPr>
          <w:p w14:paraId="7BDA75BA">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1430.459016</w:t>
            </w:r>
          </w:p>
        </w:tc>
      </w:tr>
      <w:tr w14:paraId="5EEEE5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1666" w:type="pct"/>
            <w:tcBorders>
              <w:tl2br w:val="nil"/>
              <w:tr2bl w:val="nil"/>
            </w:tcBorders>
            <w:noWrap w:val="0"/>
            <w:vAlign w:val="center"/>
          </w:tcPr>
          <w:p w14:paraId="1B81ADA7">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1666" w:type="pct"/>
            <w:tcBorders>
              <w:tl2br w:val="nil"/>
              <w:tr2bl w:val="nil"/>
            </w:tcBorders>
            <w:noWrap w:val="0"/>
            <w:vAlign w:val="center"/>
          </w:tcPr>
          <w:p w14:paraId="73514A95">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320</w:t>
            </w:r>
          </w:p>
        </w:tc>
        <w:tc>
          <w:tcPr>
            <w:tcW w:w="1667" w:type="pct"/>
            <w:tcBorders>
              <w:tl2br w:val="nil"/>
              <w:tr2bl w:val="nil"/>
            </w:tcBorders>
            <w:noWrap w:val="0"/>
            <w:vAlign w:val="center"/>
          </w:tcPr>
          <w:p w14:paraId="56646F47">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561.077956</w:t>
            </w:r>
          </w:p>
        </w:tc>
      </w:tr>
      <w:tr w14:paraId="56964E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1666" w:type="pct"/>
            <w:tcBorders>
              <w:tl2br w:val="nil"/>
              <w:tr2bl w:val="nil"/>
            </w:tcBorders>
            <w:noWrap w:val="0"/>
            <w:vAlign w:val="center"/>
          </w:tcPr>
          <w:p w14:paraId="6DE68BE3">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1666" w:type="pct"/>
            <w:tcBorders>
              <w:tl2br w:val="nil"/>
              <w:tr2bl w:val="nil"/>
            </w:tcBorders>
            <w:noWrap w:val="0"/>
            <w:vAlign w:val="center"/>
          </w:tcPr>
          <w:p w14:paraId="32A53867">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408</w:t>
            </w:r>
          </w:p>
        </w:tc>
        <w:tc>
          <w:tcPr>
            <w:tcW w:w="1667" w:type="pct"/>
            <w:tcBorders>
              <w:tl2br w:val="nil"/>
              <w:tr2bl w:val="nil"/>
            </w:tcBorders>
            <w:noWrap w:val="0"/>
            <w:vAlign w:val="center"/>
          </w:tcPr>
          <w:p w14:paraId="3611F15E">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116.489848</w:t>
            </w:r>
          </w:p>
        </w:tc>
      </w:tr>
      <w:tr w14:paraId="04E15D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1666" w:type="pct"/>
            <w:tcBorders>
              <w:tl2br w:val="nil"/>
              <w:tr2bl w:val="nil"/>
            </w:tcBorders>
            <w:noWrap w:val="0"/>
            <w:vAlign w:val="center"/>
          </w:tcPr>
          <w:p w14:paraId="782AEABB">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w:t>
            </w:r>
          </w:p>
        </w:tc>
        <w:tc>
          <w:tcPr>
            <w:tcW w:w="1666" w:type="pct"/>
            <w:tcBorders>
              <w:tl2br w:val="nil"/>
              <w:tr2bl w:val="nil"/>
            </w:tcBorders>
            <w:noWrap w:val="0"/>
            <w:vAlign w:val="center"/>
          </w:tcPr>
          <w:p w14:paraId="5D11D9FF">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499</w:t>
            </w:r>
          </w:p>
        </w:tc>
        <w:tc>
          <w:tcPr>
            <w:tcW w:w="1667" w:type="pct"/>
            <w:tcBorders>
              <w:tl2br w:val="nil"/>
              <w:tr2bl w:val="nil"/>
            </w:tcBorders>
            <w:noWrap w:val="0"/>
            <w:vAlign w:val="center"/>
          </w:tcPr>
          <w:p w14:paraId="1426A774">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61.851956</w:t>
            </w:r>
          </w:p>
        </w:tc>
      </w:tr>
      <w:tr w14:paraId="29B0FC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1666" w:type="pct"/>
            <w:tcBorders>
              <w:tl2br w:val="nil"/>
              <w:tr2bl w:val="nil"/>
            </w:tcBorders>
            <w:noWrap w:val="0"/>
            <w:vAlign w:val="center"/>
          </w:tcPr>
          <w:p w14:paraId="3BFAA095">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200</w:t>
            </w:r>
          </w:p>
        </w:tc>
        <w:tc>
          <w:tcPr>
            <w:tcW w:w="1666" w:type="pct"/>
            <w:tcBorders>
              <w:tl2br w:val="nil"/>
              <w:tr2bl w:val="nil"/>
            </w:tcBorders>
            <w:noWrap w:val="0"/>
            <w:vAlign w:val="center"/>
          </w:tcPr>
          <w:p w14:paraId="7CF324AD">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652</w:t>
            </w:r>
          </w:p>
        </w:tc>
        <w:tc>
          <w:tcPr>
            <w:tcW w:w="1667" w:type="pct"/>
            <w:tcBorders>
              <w:tl2br w:val="nil"/>
              <w:tr2bl w:val="nil"/>
            </w:tcBorders>
            <w:noWrap w:val="0"/>
            <w:vAlign w:val="center"/>
          </w:tcPr>
          <w:p w14:paraId="59474CB4">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28.321814</w:t>
            </w:r>
          </w:p>
        </w:tc>
      </w:tr>
      <w:tr w14:paraId="12E51A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1666" w:type="pct"/>
            <w:tcBorders>
              <w:tl2br w:val="nil"/>
              <w:tr2bl w:val="nil"/>
            </w:tcBorders>
            <w:noWrap w:val="0"/>
            <w:vAlign w:val="center"/>
          </w:tcPr>
          <w:p w14:paraId="6A008249">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300</w:t>
            </w:r>
          </w:p>
        </w:tc>
        <w:tc>
          <w:tcPr>
            <w:tcW w:w="1666" w:type="pct"/>
            <w:tcBorders>
              <w:tl2br w:val="nil"/>
              <w:tr2bl w:val="nil"/>
            </w:tcBorders>
            <w:noWrap w:val="0"/>
            <w:vAlign w:val="center"/>
          </w:tcPr>
          <w:p w14:paraId="4A39BBEE">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794</w:t>
            </w:r>
          </w:p>
        </w:tc>
        <w:tc>
          <w:tcPr>
            <w:tcW w:w="1667" w:type="pct"/>
            <w:tcBorders>
              <w:tl2br w:val="nil"/>
              <w:tr2bl w:val="nil"/>
            </w:tcBorders>
            <w:noWrap w:val="0"/>
            <w:vAlign w:val="center"/>
          </w:tcPr>
          <w:p w14:paraId="694E0E35">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14.345574</w:t>
            </w:r>
          </w:p>
        </w:tc>
      </w:tr>
      <w:tr w14:paraId="7A9A5B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1666" w:type="pct"/>
            <w:tcBorders>
              <w:tl2br w:val="nil"/>
              <w:tr2bl w:val="nil"/>
            </w:tcBorders>
            <w:noWrap w:val="0"/>
            <w:vAlign w:val="center"/>
          </w:tcPr>
          <w:p w14:paraId="6E5776E9">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400</w:t>
            </w:r>
          </w:p>
        </w:tc>
        <w:tc>
          <w:tcPr>
            <w:tcW w:w="1666" w:type="pct"/>
            <w:tcBorders>
              <w:tl2br w:val="nil"/>
              <w:tr2bl w:val="nil"/>
            </w:tcBorders>
            <w:noWrap w:val="0"/>
            <w:vAlign w:val="center"/>
          </w:tcPr>
          <w:p w14:paraId="55C6620C">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896</w:t>
            </w:r>
          </w:p>
        </w:tc>
        <w:tc>
          <w:tcPr>
            <w:tcW w:w="1667" w:type="pct"/>
            <w:tcBorders>
              <w:tl2br w:val="nil"/>
              <w:tr2bl w:val="nil"/>
            </w:tcBorders>
            <w:noWrap w:val="0"/>
            <w:vAlign w:val="center"/>
          </w:tcPr>
          <w:p w14:paraId="48E80C87">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10.0089453</w:t>
            </w:r>
          </w:p>
        </w:tc>
      </w:tr>
      <w:tr w14:paraId="4D1EFC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1666" w:type="pct"/>
            <w:tcBorders>
              <w:tl2br w:val="nil"/>
              <w:tr2bl w:val="nil"/>
            </w:tcBorders>
            <w:noWrap w:val="0"/>
            <w:vAlign w:val="center"/>
          </w:tcPr>
          <w:p w14:paraId="073B7460">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500</w:t>
            </w:r>
          </w:p>
        </w:tc>
        <w:tc>
          <w:tcPr>
            <w:tcW w:w="1666" w:type="pct"/>
            <w:tcBorders>
              <w:tl2br w:val="nil"/>
              <w:tr2bl w:val="nil"/>
            </w:tcBorders>
            <w:noWrap w:val="0"/>
            <w:vAlign w:val="center"/>
          </w:tcPr>
          <w:p w14:paraId="2895AEA3">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1010</w:t>
            </w:r>
          </w:p>
        </w:tc>
        <w:tc>
          <w:tcPr>
            <w:tcW w:w="1667" w:type="pct"/>
            <w:tcBorders>
              <w:tl2br w:val="nil"/>
              <w:tr2bl w:val="nil"/>
            </w:tcBorders>
            <w:noWrap w:val="0"/>
            <w:vAlign w:val="center"/>
          </w:tcPr>
          <w:p w14:paraId="3BE76763">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6.841578</w:t>
            </w:r>
          </w:p>
        </w:tc>
      </w:tr>
      <w:tr w14:paraId="56AFD8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1666" w:type="pct"/>
            <w:tcBorders>
              <w:tl2br w:val="nil"/>
              <w:tr2bl w:val="nil"/>
            </w:tcBorders>
            <w:noWrap w:val="0"/>
            <w:vAlign w:val="center"/>
          </w:tcPr>
          <w:p w14:paraId="3AD4428E">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1000</w:t>
            </w:r>
          </w:p>
        </w:tc>
        <w:tc>
          <w:tcPr>
            <w:tcW w:w="1666" w:type="pct"/>
            <w:tcBorders>
              <w:tl2br w:val="nil"/>
              <w:tr2bl w:val="nil"/>
            </w:tcBorders>
            <w:noWrap w:val="0"/>
            <w:vAlign w:val="center"/>
          </w:tcPr>
          <w:p w14:paraId="1E734E19">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1560</w:t>
            </w:r>
          </w:p>
        </w:tc>
        <w:tc>
          <w:tcPr>
            <w:tcW w:w="1667" w:type="pct"/>
            <w:tcBorders>
              <w:tl2br w:val="nil"/>
              <w:tr2bl w:val="nil"/>
            </w:tcBorders>
            <w:noWrap w:val="0"/>
            <w:vAlign w:val="center"/>
          </w:tcPr>
          <w:p w14:paraId="6311FEE1">
            <w:pPr>
              <w:pStyle w:val="86"/>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1.950782</w:t>
            </w:r>
          </w:p>
        </w:tc>
      </w:tr>
    </w:tbl>
    <w:p w14:paraId="7464FC32">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由上表分析可知，</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储存罐泄漏造成污染事故发生后</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地面浓度没有出现超过毒性终点浓度-1及毒性终点浓度-2的区域。</w:t>
      </w:r>
    </w:p>
    <w:p w14:paraId="523AE596">
      <w:pPr>
        <w:pStyle w:val="83"/>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4"/>
          <w:szCs w:val="28"/>
          <w:highlight w:val="none"/>
          <w:lang w:val="en-US" w:eastAsia="zh-CN"/>
        </w:rPr>
      </w:pPr>
      <w:r>
        <w:rPr>
          <w:rFonts w:hint="default" w:ascii="Times New Roman" w:hAnsi="Times New Roman" w:eastAsia="宋体" w:cs="Times New Roman"/>
          <w:color w:val="auto"/>
          <w:sz w:val="24"/>
          <w:szCs w:val="28"/>
          <w:highlight w:val="none"/>
          <w:lang w:val="en-US" w:eastAsia="zh-CN"/>
        </w:rPr>
        <w:t>表6-8常见气象条件下项目事故情况下正己烷阈值的廓线对应的位置一览表</w:t>
      </w:r>
    </w:p>
    <w:tbl>
      <w:tblPr>
        <w:tblStyle w:val="30"/>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04"/>
        <w:gridCol w:w="1445"/>
        <w:gridCol w:w="1845"/>
        <w:gridCol w:w="1680"/>
        <w:gridCol w:w="2247"/>
      </w:tblGrid>
      <w:tr w14:paraId="6BCC83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04" w:type="dxa"/>
            <w:tcBorders>
              <w:tl2br w:val="nil"/>
              <w:tr2bl w:val="nil"/>
            </w:tcBorders>
            <w:noWrap w:val="0"/>
            <w:vAlign w:val="top"/>
          </w:tcPr>
          <w:p w14:paraId="2532BCBC">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阈值（mg/m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w:t>
            </w:r>
          </w:p>
        </w:tc>
        <w:tc>
          <w:tcPr>
            <w:tcW w:w="1445" w:type="dxa"/>
            <w:tcBorders>
              <w:tl2br w:val="nil"/>
              <w:tr2bl w:val="nil"/>
            </w:tcBorders>
            <w:noWrap w:val="0"/>
            <w:vAlign w:val="top"/>
          </w:tcPr>
          <w:p w14:paraId="3D24263A">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X起点（m）</w:t>
            </w:r>
          </w:p>
        </w:tc>
        <w:tc>
          <w:tcPr>
            <w:tcW w:w="1845" w:type="dxa"/>
            <w:tcBorders>
              <w:tl2br w:val="nil"/>
              <w:tr2bl w:val="nil"/>
            </w:tcBorders>
            <w:noWrap w:val="0"/>
            <w:vAlign w:val="top"/>
          </w:tcPr>
          <w:p w14:paraId="64CBFC88">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X终点（m）</w:t>
            </w:r>
          </w:p>
        </w:tc>
        <w:tc>
          <w:tcPr>
            <w:tcW w:w="1680" w:type="dxa"/>
            <w:tcBorders>
              <w:tl2br w:val="nil"/>
              <w:tr2bl w:val="nil"/>
            </w:tcBorders>
            <w:noWrap w:val="0"/>
            <w:vAlign w:val="top"/>
          </w:tcPr>
          <w:p w14:paraId="09B12D7B">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最大半宽（m）</w:t>
            </w:r>
          </w:p>
        </w:tc>
        <w:tc>
          <w:tcPr>
            <w:tcW w:w="2247" w:type="dxa"/>
            <w:tcBorders>
              <w:tl2br w:val="nil"/>
              <w:tr2bl w:val="nil"/>
            </w:tcBorders>
            <w:noWrap w:val="0"/>
            <w:vAlign w:val="top"/>
          </w:tcPr>
          <w:p w14:paraId="195DAB62">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最大半宽对应X（m）</w:t>
            </w:r>
          </w:p>
        </w:tc>
      </w:tr>
      <w:tr w14:paraId="246961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04" w:type="dxa"/>
            <w:tcBorders>
              <w:tl2br w:val="nil"/>
              <w:tr2bl w:val="nil"/>
            </w:tcBorders>
            <w:noWrap w:val="0"/>
            <w:vAlign w:val="top"/>
          </w:tcPr>
          <w:p w14:paraId="0282E528">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10000</w:t>
            </w:r>
          </w:p>
        </w:tc>
        <w:tc>
          <w:tcPr>
            <w:tcW w:w="7217" w:type="dxa"/>
            <w:gridSpan w:val="4"/>
            <w:tcBorders>
              <w:tl2br w:val="nil"/>
              <w:tr2bl w:val="nil"/>
            </w:tcBorders>
            <w:noWrap w:val="0"/>
            <w:vAlign w:val="top"/>
          </w:tcPr>
          <w:p w14:paraId="45C4A4F9">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zh-CN" w:eastAsia="zh-CN"/>
              </w:rPr>
              <w:t xml:space="preserve">  此阈值及以上，无对应位置，因计算浓度均小于此阈值</w:t>
            </w:r>
          </w:p>
        </w:tc>
      </w:tr>
    </w:tbl>
    <w:p w14:paraId="688A0A1C">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b.各关心点有毒有害物质浓度随时间变化情况</w:t>
      </w:r>
    </w:p>
    <w:p w14:paraId="4A081FE2">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经预测，各关心点均未出现浓度大于毒性终点浓度-1及毒性终点浓度-2的时刻，不会对附近村庄居民造成中毒、死亡等严重后果。</w:t>
      </w:r>
    </w:p>
    <w:p w14:paraId="2F1F86AC">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
          <w:bCs w:val="0"/>
          <w:color w:val="auto"/>
          <w:sz w:val="24"/>
          <w:szCs w:val="24"/>
          <w:highlight w:val="none"/>
          <w:lang w:eastAsia="zh-CN"/>
        </w:rPr>
      </w:pPr>
      <w:r>
        <w:rPr>
          <w:rFonts w:hint="default" w:ascii="Times New Roman" w:hAnsi="Times New Roman" w:eastAsia="宋体" w:cs="Times New Roman"/>
          <w:b/>
          <w:bCs w:val="0"/>
          <w:color w:val="auto"/>
          <w:sz w:val="24"/>
          <w:szCs w:val="24"/>
          <w:highlight w:val="none"/>
          <w:lang w:val="en-US" w:eastAsia="zh-CN"/>
        </w:rPr>
        <w:t>（2）泄漏</w:t>
      </w:r>
      <w:r>
        <w:rPr>
          <w:rFonts w:hint="default" w:ascii="Times New Roman" w:hAnsi="Times New Roman" w:eastAsia="宋体" w:cs="Times New Roman"/>
          <w:b/>
          <w:bCs w:val="0"/>
          <w:color w:val="auto"/>
          <w:sz w:val="24"/>
          <w:szCs w:val="24"/>
          <w:highlight w:val="none"/>
          <w:lang w:eastAsia="zh-CN"/>
        </w:rPr>
        <w:t>预测结果</w:t>
      </w:r>
    </w:p>
    <w:p w14:paraId="2E4F010A">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根据大气环境风险预测结果，本项目环境风险危害范围较小，影响程度较低，各关心点均未出现危险物质对应的毒性终点浓度-1及毒性终点浓度-2的时刻，不会对附近居住区居民产生明显影响。</w:t>
      </w:r>
    </w:p>
    <w:p w14:paraId="4EDCB320">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（3）火灾、爆炸后产生次生污染物的预测</w:t>
      </w:r>
    </w:p>
    <w:p w14:paraId="07DC5B40">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火灾爆炸事故中产生的烟气是物质在燃烧过程分解产生的气态、液态、固态物质与空气的混合物，烟气对人体的危害主要是燃烧产生的有毒有害气体所引起的窒息和对人体器官造成的毒害作用，可见火灾爆炸事故不可避免地造成大气污染。由于火灾燃烧为不充分燃烧，本评价选取有代表性的 CO 作为火灾次生污染物进行风险评价</w:t>
      </w:r>
      <w:r>
        <w:rPr>
          <w:rFonts w:hint="default" w:ascii="Times New Roman" w:hAnsi="Times New Roman" w:eastAsia="宋体" w:cs="Times New Roman"/>
          <w:color w:val="auto"/>
          <w:sz w:val="24"/>
          <w:szCs w:val="24"/>
          <w:highlight w:val="none"/>
          <w:lang w:eastAsia="zh-CN"/>
        </w:rPr>
        <w:t>。</w:t>
      </w:r>
    </w:p>
    <w:p w14:paraId="0896B832">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 xml:space="preserve">）火灾事故次生大气污染源强 </w:t>
      </w:r>
    </w:p>
    <w:p w14:paraId="0669ACA9">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根据《建设项目环境风险评价技术导则》，火灾伴生/次生中一氧化碳产生源强的计算见公式：</w:t>
      </w:r>
    </w:p>
    <w:p w14:paraId="2F6CABA2">
      <w:pPr>
        <w:pStyle w:val="87"/>
        <w:pageBreakBefore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G一氧化碳=2330qCQ</w:t>
      </w:r>
    </w:p>
    <w:p w14:paraId="6811A206">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 xml:space="preserve">式中：  G一氧化碳—— 一氧化碳的产生量，kg/s； </w:t>
      </w:r>
    </w:p>
    <w:p w14:paraId="3F09BD50">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 xml:space="preserve">C——正己烷中碳的质量百分比含量，%。取83.7%； </w:t>
      </w:r>
    </w:p>
    <w:p w14:paraId="1A5B3C6A">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 xml:space="preserve">q——化学不完全燃烧值，%。取 1.5%-6%，本次取中间值3%； </w:t>
      </w:r>
    </w:p>
    <w:p w14:paraId="196B0E33">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Q——参与燃烧的物质量，t/s；正己烷的燃烧速率取3.65kg/s。</w:t>
      </w:r>
    </w:p>
    <w:p w14:paraId="44E3A0FD">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G一氧化碳=2330×0.03×0.84×</w:t>
      </w:r>
      <w:r>
        <w:rPr>
          <w:rFonts w:hint="default" w:ascii="Times New Roman" w:hAnsi="Times New Roman" w:eastAsia="宋体" w:cs="Times New Roman"/>
          <w:color w:val="auto"/>
          <w:sz w:val="24"/>
          <w:szCs w:val="24"/>
          <w:highlight w:val="none"/>
          <w:lang w:val="en-US" w:eastAsia="zh-CN"/>
        </w:rPr>
        <w:t>1.5</w:t>
      </w:r>
      <w:r>
        <w:rPr>
          <w:rFonts w:hint="default" w:ascii="Times New Roman" w:hAnsi="Times New Roman" w:eastAsia="宋体" w:cs="Times New Roman"/>
          <w:color w:val="auto"/>
          <w:sz w:val="24"/>
          <w:szCs w:val="24"/>
          <w:highlight w:val="none"/>
          <w:lang w:eastAsia="zh-CN"/>
        </w:rPr>
        <w:t>×10</w:t>
      </w:r>
      <w:r>
        <w:rPr>
          <w:rFonts w:hint="default" w:ascii="Times New Roman" w:hAnsi="Times New Roman" w:eastAsia="宋体" w:cs="Times New Roman"/>
          <w:color w:val="auto"/>
          <w:sz w:val="24"/>
          <w:szCs w:val="24"/>
          <w:highlight w:val="none"/>
          <w:vertAlign w:val="superscript"/>
          <w:lang w:eastAsia="zh-CN"/>
        </w:rPr>
        <w:t>-3</w:t>
      </w:r>
      <w:r>
        <w:rPr>
          <w:rFonts w:hint="default" w:ascii="Times New Roman" w:hAnsi="Times New Roman" w:eastAsia="宋体" w:cs="Times New Roman"/>
          <w:color w:val="auto"/>
          <w:sz w:val="24"/>
          <w:szCs w:val="24"/>
          <w:highlight w:val="none"/>
          <w:lang w:eastAsia="zh-CN"/>
        </w:rPr>
        <w:t xml:space="preserve"> =0.</w:t>
      </w:r>
      <w:r>
        <w:rPr>
          <w:rFonts w:hint="default" w:ascii="Times New Roman" w:hAnsi="Times New Roman" w:eastAsia="宋体" w:cs="Times New Roman"/>
          <w:color w:val="auto"/>
          <w:sz w:val="24"/>
          <w:szCs w:val="24"/>
          <w:highlight w:val="none"/>
          <w:lang w:val="en-US" w:eastAsia="zh-CN"/>
        </w:rPr>
        <w:t>09</w:t>
      </w:r>
      <w:r>
        <w:rPr>
          <w:rFonts w:hint="default" w:ascii="Times New Roman" w:hAnsi="Times New Roman" w:eastAsia="宋体" w:cs="Times New Roman"/>
          <w:color w:val="auto"/>
          <w:sz w:val="24"/>
          <w:szCs w:val="24"/>
          <w:highlight w:val="none"/>
          <w:lang w:eastAsia="zh-CN"/>
        </w:rPr>
        <w:t>kg/s。若30min后火灾被扑灭，则CO的产生量为</w:t>
      </w:r>
      <w:r>
        <w:rPr>
          <w:rFonts w:hint="default" w:ascii="Times New Roman" w:hAnsi="Times New Roman" w:eastAsia="宋体" w:cs="Times New Roman"/>
          <w:color w:val="auto"/>
          <w:sz w:val="24"/>
          <w:szCs w:val="24"/>
          <w:highlight w:val="none"/>
          <w:lang w:val="en-US" w:eastAsia="zh-CN"/>
        </w:rPr>
        <w:t>16</w:t>
      </w:r>
      <w:r>
        <w:rPr>
          <w:rFonts w:hint="default" w:ascii="Times New Roman" w:hAnsi="Times New Roman" w:eastAsia="宋体" w:cs="Times New Roman"/>
          <w:color w:val="auto"/>
          <w:sz w:val="24"/>
          <w:szCs w:val="24"/>
          <w:highlight w:val="none"/>
          <w:lang w:eastAsia="zh-CN"/>
        </w:rPr>
        <w:t>2kg。</w:t>
      </w:r>
    </w:p>
    <w:p w14:paraId="344C2BA1">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）预测参数及模型</w:t>
      </w:r>
    </w:p>
    <w:p w14:paraId="1EB7398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评价采用 AFTOX 模型来预测下风向落地浓度，气象条件选取对污染物的扩散最不利的条件：F类稳定度、风速0.5m/s、温度25℃、湿度50%。</w:t>
      </w:r>
    </w:p>
    <w:p w14:paraId="78E4216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 xml:space="preserve">评价标准 </w:t>
      </w:r>
    </w:p>
    <w:p w14:paraId="002DC290">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CO大气毒性浓度风险评价标准见下表。 </w:t>
      </w:r>
    </w:p>
    <w:p w14:paraId="7EA5FBCC">
      <w:pPr>
        <w:pStyle w:val="83"/>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textAlignment w:val="auto"/>
        <w:rPr>
          <w:rFonts w:hint="default" w:ascii="Times New Roman" w:hAnsi="Times New Roman" w:eastAsia="宋体" w:cs="Times New Roman"/>
          <w:color w:val="auto"/>
          <w:sz w:val="24"/>
          <w:szCs w:val="28"/>
          <w:highlight w:val="none"/>
          <w:vertAlign w:val="superscript"/>
          <w:lang w:val="en-US" w:eastAsia="zh-CN"/>
        </w:rPr>
      </w:pPr>
      <w:r>
        <w:rPr>
          <w:rFonts w:hint="default" w:ascii="Times New Roman" w:hAnsi="Times New Roman" w:eastAsia="宋体" w:cs="Times New Roman"/>
          <w:color w:val="auto"/>
          <w:sz w:val="24"/>
          <w:szCs w:val="28"/>
          <w:highlight w:val="none"/>
          <w:lang w:val="en-US" w:eastAsia="zh-CN"/>
        </w:rPr>
        <w:t>表6-9 一氧化碳大气毒性浓度风险评价标准 mg/m</w:t>
      </w:r>
      <w:r>
        <w:rPr>
          <w:rFonts w:hint="default" w:ascii="Times New Roman" w:hAnsi="Times New Roman" w:eastAsia="宋体" w:cs="Times New Roman"/>
          <w:color w:val="auto"/>
          <w:sz w:val="24"/>
          <w:szCs w:val="28"/>
          <w:highlight w:val="none"/>
          <w:vertAlign w:val="superscript"/>
          <w:lang w:val="en-US" w:eastAsia="zh-CN"/>
        </w:rPr>
        <w:t>3</w:t>
      </w:r>
    </w:p>
    <w:tbl>
      <w:tblPr>
        <w:tblStyle w:val="3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25"/>
        <w:gridCol w:w="2726"/>
        <w:gridCol w:w="2727"/>
      </w:tblGrid>
      <w:tr w14:paraId="541962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2725" w:type="dxa"/>
            <w:tcBorders>
              <w:tl2br w:val="nil"/>
              <w:tr2bl w:val="nil"/>
            </w:tcBorders>
            <w:noWrap w:val="0"/>
            <w:vAlign w:val="center"/>
          </w:tcPr>
          <w:p w14:paraId="7E4755BA">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名称</w:t>
            </w:r>
          </w:p>
        </w:tc>
        <w:tc>
          <w:tcPr>
            <w:tcW w:w="2726" w:type="dxa"/>
            <w:tcBorders>
              <w:tl2br w:val="nil"/>
              <w:tr2bl w:val="nil"/>
            </w:tcBorders>
            <w:noWrap w:val="0"/>
            <w:vAlign w:val="center"/>
          </w:tcPr>
          <w:p w14:paraId="49F85C49">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毒性终点浓度-1</w:t>
            </w:r>
          </w:p>
        </w:tc>
        <w:tc>
          <w:tcPr>
            <w:tcW w:w="2727" w:type="dxa"/>
            <w:tcBorders>
              <w:tl2br w:val="nil"/>
              <w:tr2bl w:val="nil"/>
            </w:tcBorders>
            <w:noWrap w:val="0"/>
            <w:vAlign w:val="center"/>
          </w:tcPr>
          <w:p w14:paraId="72CAD4BE">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毒性终点浓度-2</w:t>
            </w:r>
          </w:p>
        </w:tc>
      </w:tr>
      <w:tr w14:paraId="222F58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725" w:type="dxa"/>
            <w:tcBorders>
              <w:tl2br w:val="nil"/>
              <w:tr2bl w:val="nil"/>
            </w:tcBorders>
            <w:noWrap w:val="0"/>
            <w:vAlign w:val="center"/>
          </w:tcPr>
          <w:p w14:paraId="50562D78">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一氧化碳</w:t>
            </w:r>
          </w:p>
        </w:tc>
        <w:tc>
          <w:tcPr>
            <w:tcW w:w="2726" w:type="dxa"/>
            <w:tcBorders>
              <w:tl2br w:val="nil"/>
              <w:tr2bl w:val="nil"/>
            </w:tcBorders>
            <w:noWrap w:val="0"/>
            <w:vAlign w:val="center"/>
          </w:tcPr>
          <w:p w14:paraId="7AC58377">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380</w:t>
            </w:r>
          </w:p>
        </w:tc>
        <w:tc>
          <w:tcPr>
            <w:tcW w:w="2727" w:type="dxa"/>
            <w:tcBorders>
              <w:tl2br w:val="nil"/>
              <w:tr2bl w:val="nil"/>
            </w:tcBorders>
            <w:noWrap w:val="0"/>
            <w:vAlign w:val="center"/>
          </w:tcPr>
          <w:p w14:paraId="5A0D220B">
            <w:pPr>
              <w:pStyle w:val="95"/>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95</w:t>
            </w:r>
          </w:p>
        </w:tc>
      </w:tr>
    </w:tbl>
    <w:p w14:paraId="202B2292">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 xml:space="preserve">预测结果 </w:t>
      </w:r>
    </w:p>
    <w:p w14:paraId="7FA6EADF">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在F类稳定度、风速0.5m/s、温度25℃、湿度50%气象条件下，一氧化碳泄漏10min后一氧化碳轴线各点的最大浓度及出现时刻和质心的高度、最大浓度及出现时刻见下表。</w:t>
      </w:r>
    </w:p>
    <w:p w14:paraId="54D753F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表6-10 一氧化碳最不利气象条件下模型计算结果一览表</w:t>
      </w:r>
    </w:p>
    <w:tbl>
      <w:tblPr>
        <w:tblStyle w:val="29"/>
        <w:tblW w:w="8527"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 w:type="dxa"/>
          <w:bottom w:w="0" w:type="dxa"/>
          <w:right w:w="10" w:type="dxa"/>
        </w:tblCellMar>
      </w:tblPr>
      <w:tblGrid>
        <w:gridCol w:w="820"/>
        <w:gridCol w:w="3693"/>
        <w:gridCol w:w="2153"/>
        <w:gridCol w:w="1861"/>
      </w:tblGrid>
      <w:tr w14:paraId="0B35A46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23" w:hRule="atLeast"/>
        </w:trPr>
        <w:tc>
          <w:tcPr>
            <w:tcW w:w="0" w:type="dxa"/>
            <w:gridSpan w:val="2"/>
            <w:tcBorders>
              <w:tl2br w:val="nil"/>
              <w:tr2bl w:val="nil"/>
            </w:tcBorders>
            <w:vAlign w:val="center"/>
          </w:tcPr>
          <w:p w14:paraId="15C3C8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大气环境影响-气象条件名称-模型类型</w:t>
            </w:r>
          </w:p>
        </w:tc>
        <w:tc>
          <w:tcPr>
            <w:tcW w:w="0" w:type="dxa"/>
            <w:gridSpan w:val="2"/>
            <w:tcBorders>
              <w:tl2br w:val="nil"/>
              <w:tr2bl w:val="nil"/>
            </w:tcBorders>
            <w:vAlign w:val="center"/>
          </w:tcPr>
          <w:p w14:paraId="35590B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最不利气象条件-aftox模型</w:t>
            </w:r>
          </w:p>
        </w:tc>
      </w:tr>
      <w:tr w14:paraId="0A54090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23" w:hRule="atLeast"/>
        </w:trPr>
        <w:tc>
          <w:tcPr>
            <w:tcW w:w="0" w:type="dxa"/>
            <w:tcBorders>
              <w:tl2br w:val="nil"/>
              <w:tr2bl w:val="nil"/>
            </w:tcBorders>
            <w:vAlign w:val="center"/>
          </w:tcPr>
          <w:p w14:paraId="2EC35ED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指标</w:t>
            </w:r>
          </w:p>
        </w:tc>
        <w:tc>
          <w:tcPr>
            <w:tcW w:w="0" w:type="dxa"/>
            <w:tcBorders>
              <w:tl2br w:val="nil"/>
              <w:tr2bl w:val="nil"/>
            </w:tcBorders>
            <w:vAlign w:val="center"/>
          </w:tcPr>
          <w:p w14:paraId="07DB5F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浓度值</w:t>
            </w:r>
            <w:r>
              <w:rPr>
                <w:rFonts w:hint="default" w:ascii="Times New Roman" w:hAnsi="Times New Roman" w:eastAsia="宋体" w:cs="Times New Roman"/>
                <w:b w:val="0"/>
                <w:color w:val="auto"/>
                <w:sz w:val="21"/>
                <w:szCs w:val="21"/>
                <w:highlight w:val="none"/>
                <w:lang w:eastAsia="zh-CN"/>
              </w:rPr>
              <w:t>（</w:t>
            </w:r>
            <w:r>
              <w:rPr>
                <w:rFonts w:hint="default" w:ascii="Times New Roman" w:hAnsi="Times New Roman" w:eastAsia="宋体" w:cs="Times New Roman"/>
                <w:b w:val="0"/>
                <w:color w:val="auto"/>
                <w:sz w:val="21"/>
                <w:szCs w:val="21"/>
                <w:highlight w:val="none"/>
              </w:rPr>
              <w:t>mg/m3</w:t>
            </w:r>
            <w:r>
              <w:rPr>
                <w:rFonts w:hint="default" w:ascii="Times New Roman" w:hAnsi="Times New Roman" w:eastAsia="宋体" w:cs="Times New Roman"/>
                <w:b w:val="0"/>
                <w:color w:val="auto"/>
                <w:sz w:val="21"/>
                <w:szCs w:val="21"/>
                <w:highlight w:val="none"/>
                <w:lang w:eastAsia="zh-CN"/>
              </w:rPr>
              <w:t>）</w:t>
            </w:r>
          </w:p>
        </w:tc>
        <w:tc>
          <w:tcPr>
            <w:tcW w:w="0" w:type="dxa"/>
            <w:tcBorders>
              <w:tl2br w:val="nil"/>
              <w:tr2bl w:val="nil"/>
            </w:tcBorders>
            <w:vAlign w:val="center"/>
          </w:tcPr>
          <w:p w14:paraId="6AE246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最远影响距离</w:t>
            </w:r>
            <w:r>
              <w:rPr>
                <w:rFonts w:hint="default" w:ascii="Times New Roman" w:hAnsi="Times New Roman" w:eastAsia="宋体" w:cs="Times New Roman"/>
                <w:b w:val="0"/>
                <w:color w:val="auto"/>
                <w:sz w:val="21"/>
                <w:szCs w:val="21"/>
                <w:highlight w:val="none"/>
                <w:lang w:eastAsia="zh-CN"/>
              </w:rPr>
              <w:t>（</w:t>
            </w:r>
            <w:r>
              <w:rPr>
                <w:rFonts w:hint="default" w:ascii="Times New Roman" w:hAnsi="Times New Roman" w:eastAsia="宋体" w:cs="Times New Roman"/>
                <w:b w:val="0"/>
                <w:color w:val="auto"/>
                <w:sz w:val="21"/>
                <w:szCs w:val="21"/>
                <w:highlight w:val="none"/>
              </w:rPr>
              <w:t>m</w:t>
            </w:r>
            <w:r>
              <w:rPr>
                <w:rFonts w:hint="default" w:ascii="Times New Roman" w:hAnsi="Times New Roman" w:eastAsia="宋体" w:cs="Times New Roman"/>
                <w:b w:val="0"/>
                <w:color w:val="auto"/>
                <w:sz w:val="21"/>
                <w:szCs w:val="21"/>
                <w:highlight w:val="none"/>
                <w:lang w:eastAsia="zh-CN"/>
              </w:rPr>
              <w:t>）</w:t>
            </w:r>
          </w:p>
        </w:tc>
        <w:tc>
          <w:tcPr>
            <w:tcW w:w="0" w:type="dxa"/>
            <w:tcBorders>
              <w:tl2br w:val="nil"/>
              <w:tr2bl w:val="nil"/>
            </w:tcBorders>
            <w:vAlign w:val="center"/>
          </w:tcPr>
          <w:p w14:paraId="13D211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到达时间</w:t>
            </w:r>
            <w:r>
              <w:rPr>
                <w:rFonts w:hint="default" w:ascii="Times New Roman" w:hAnsi="Times New Roman" w:eastAsia="宋体" w:cs="Times New Roman"/>
                <w:b w:val="0"/>
                <w:color w:val="auto"/>
                <w:sz w:val="21"/>
                <w:szCs w:val="21"/>
                <w:highlight w:val="none"/>
                <w:lang w:eastAsia="zh-CN"/>
              </w:rPr>
              <w:t>（</w:t>
            </w:r>
            <w:r>
              <w:rPr>
                <w:rFonts w:hint="default" w:ascii="Times New Roman" w:hAnsi="Times New Roman" w:eastAsia="宋体" w:cs="Times New Roman"/>
                <w:b w:val="0"/>
                <w:color w:val="auto"/>
                <w:sz w:val="21"/>
                <w:szCs w:val="21"/>
                <w:highlight w:val="none"/>
                <w:lang w:val="en-US" w:eastAsia="zh-CN"/>
              </w:rPr>
              <w:t>s</w:t>
            </w:r>
            <w:r>
              <w:rPr>
                <w:rFonts w:hint="default" w:ascii="Times New Roman" w:hAnsi="Times New Roman" w:eastAsia="宋体" w:cs="Times New Roman"/>
                <w:b w:val="0"/>
                <w:color w:val="auto"/>
                <w:sz w:val="21"/>
                <w:szCs w:val="21"/>
                <w:highlight w:val="none"/>
                <w:lang w:eastAsia="zh-CN"/>
              </w:rPr>
              <w:t>）</w:t>
            </w:r>
          </w:p>
        </w:tc>
      </w:tr>
      <w:tr w14:paraId="375A6CA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23" w:hRule="atLeast"/>
        </w:trPr>
        <w:tc>
          <w:tcPr>
            <w:tcW w:w="0" w:type="dxa"/>
            <w:tcBorders>
              <w:tl2br w:val="nil"/>
              <w:tr2bl w:val="nil"/>
            </w:tcBorders>
            <w:vAlign w:val="center"/>
          </w:tcPr>
          <w:p w14:paraId="34B9C10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大气毒性终点浓度-1</w:t>
            </w:r>
          </w:p>
        </w:tc>
        <w:tc>
          <w:tcPr>
            <w:tcW w:w="0" w:type="dxa"/>
            <w:tcBorders>
              <w:tl2br w:val="nil"/>
              <w:tr2bl w:val="nil"/>
            </w:tcBorders>
            <w:vAlign w:val="center"/>
          </w:tcPr>
          <w:p w14:paraId="15EEA9A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380.000000</w:t>
            </w:r>
          </w:p>
        </w:tc>
        <w:tc>
          <w:tcPr>
            <w:tcW w:w="0" w:type="dxa"/>
            <w:tcBorders>
              <w:tl2br w:val="nil"/>
              <w:tr2bl w:val="nil"/>
            </w:tcBorders>
            <w:vAlign w:val="center"/>
          </w:tcPr>
          <w:p w14:paraId="78B0AA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color w:val="auto"/>
                <w:sz w:val="21"/>
                <w:szCs w:val="21"/>
                <w:highlight w:val="none"/>
                <w:lang w:val="en-US" w:eastAsia="zh-CN"/>
              </w:rPr>
              <w:t>133.90</w:t>
            </w:r>
          </w:p>
        </w:tc>
        <w:tc>
          <w:tcPr>
            <w:tcW w:w="0" w:type="dxa"/>
            <w:tcBorders>
              <w:tl2br w:val="nil"/>
              <w:tr2bl w:val="nil"/>
            </w:tcBorders>
            <w:vAlign w:val="center"/>
          </w:tcPr>
          <w:p w14:paraId="685D49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color w:val="auto"/>
                <w:sz w:val="21"/>
                <w:szCs w:val="21"/>
                <w:highlight w:val="none"/>
                <w:lang w:val="en-US" w:eastAsia="zh-CN"/>
              </w:rPr>
              <w:t>90</w:t>
            </w:r>
          </w:p>
        </w:tc>
      </w:tr>
      <w:tr w14:paraId="5F428AD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23" w:hRule="atLeast"/>
        </w:trPr>
        <w:tc>
          <w:tcPr>
            <w:tcW w:w="0" w:type="dxa"/>
            <w:tcBorders>
              <w:tl2br w:val="nil"/>
              <w:tr2bl w:val="nil"/>
            </w:tcBorders>
            <w:vAlign w:val="center"/>
          </w:tcPr>
          <w:p w14:paraId="6D0D39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大气毒性终点浓度-2</w:t>
            </w:r>
          </w:p>
        </w:tc>
        <w:tc>
          <w:tcPr>
            <w:tcW w:w="0" w:type="dxa"/>
            <w:tcBorders>
              <w:tl2br w:val="nil"/>
              <w:tr2bl w:val="nil"/>
            </w:tcBorders>
            <w:vAlign w:val="center"/>
          </w:tcPr>
          <w:p w14:paraId="4B8A19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95.000000</w:t>
            </w:r>
          </w:p>
        </w:tc>
        <w:tc>
          <w:tcPr>
            <w:tcW w:w="0" w:type="dxa"/>
            <w:tcBorders>
              <w:tl2br w:val="nil"/>
              <w:tr2bl w:val="nil"/>
            </w:tcBorders>
            <w:vAlign w:val="center"/>
          </w:tcPr>
          <w:p w14:paraId="44F4339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color w:val="auto"/>
                <w:sz w:val="21"/>
                <w:szCs w:val="21"/>
                <w:highlight w:val="none"/>
                <w:lang w:val="en-US" w:eastAsia="zh-CN"/>
              </w:rPr>
              <w:t>211.10</w:t>
            </w:r>
          </w:p>
        </w:tc>
        <w:tc>
          <w:tcPr>
            <w:tcW w:w="0" w:type="dxa"/>
            <w:tcBorders>
              <w:tl2br w:val="nil"/>
              <w:tr2bl w:val="nil"/>
            </w:tcBorders>
            <w:vAlign w:val="center"/>
          </w:tcPr>
          <w:p w14:paraId="39803A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color w:val="auto"/>
                <w:sz w:val="21"/>
                <w:szCs w:val="21"/>
                <w:highlight w:val="none"/>
                <w:lang w:val="en-US" w:eastAsia="zh-CN"/>
              </w:rPr>
              <w:t>150</w:t>
            </w:r>
          </w:p>
        </w:tc>
      </w:tr>
    </w:tbl>
    <w:p w14:paraId="3A00D0F9">
      <w:pPr>
        <w:pStyle w:val="83"/>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drawing>
          <wp:inline distT="0" distB="0" distL="114300" distR="114300">
            <wp:extent cx="5275580" cy="4379595"/>
            <wp:effectExtent l="0" t="0" r="1270" b="1905"/>
            <wp:docPr id="19" name="图片 19" descr="Out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OutImage"/>
                    <pic:cNvPicPr>
                      <a:picLocks noChangeAspect="1"/>
                    </pic:cNvPicPr>
                  </pic:nvPicPr>
                  <pic:blipFill>
                    <a:blip r:embed="rId83"/>
                    <a:stretch>
                      <a:fillRect/>
                    </a:stretch>
                  </pic:blipFill>
                  <pic:spPr>
                    <a:xfrm>
                      <a:off x="0" y="0"/>
                      <a:ext cx="5275580" cy="4379595"/>
                    </a:xfrm>
                    <a:prstGeom prst="rect">
                      <a:avLst/>
                    </a:prstGeom>
                  </pic:spPr>
                </pic:pic>
              </a:graphicData>
            </a:graphic>
          </wp:inline>
        </w:drawing>
      </w:r>
    </w:p>
    <w:p w14:paraId="6EBF1A4C">
      <w:pPr>
        <w:pStyle w:val="83"/>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图4-1 一氧化碳最大影响区域图</w:t>
      </w:r>
    </w:p>
    <w:p w14:paraId="553E6648">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根据大气环境风险后果预测结果，</w:t>
      </w:r>
      <w:r>
        <w:rPr>
          <w:rFonts w:hint="default" w:ascii="Times New Roman" w:hAnsi="Times New Roman" w:eastAsia="宋体" w:cs="Times New Roman"/>
          <w:color w:val="auto"/>
          <w:sz w:val="24"/>
          <w:szCs w:val="24"/>
          <w:highlight w:val="none"/>
          <w:lang w:eastAsia="zh-CN"/>
        </w:rPr>
        <w:t>在</w:t>
      </w:r>
      <w:r>
        <w:rPr>
          <w:rFonts w:hint="default" w:ascii="Times New Roman" w:hAnsi="Times New Roman" w:eastAsia="宋体" w:cs="Times New Roman"/>
          <w:color w:val="auto"/>
          <w:sz w:val="24"/>
          <w:szCs w:val="24"/>
          <w:highlight w:val="none"/>
          <w:lang w:val="en-US" w:eastAsia="zh-CN"/>
        </w:rPr>
        <w:t>F类稳定度、风速0.5m/s、温度25℃、湿度50%气象条件下，</w:t>
      </w:r>
      <w:r>
        <w:rPr>
          <w:rFonts w:hint="default" w:ascii="Times New Roman" w:hAnsi="Times New Roman" w:eastAsia="宋体" w:cs="Times New Roman"/>
          <w:color w:val="auto"/>
          <w:sz w:val="24"/>
          <w:szCs w:val="24"/>
          <w:highlight w:val="none"/>
        </w:rPr>
        <w:t>大气毒性终点浓度-1的最远影响距离为</w:t>
      </w:r>
      <w:r>
        <w:rPr>
          <w:rFonts w:hint="default" w:ascii="Times New Roman" w:hAnsi="Times New Roman" w:eastAsia="宋体" w:cs="Times New Roman"/>
          <w:color w:val="auto"/>
          <w:sz w:val="24"/>
          <w:szCs w:val="24"/>
          <w:highlight w:val="none"/>
          <w:lang w:val="en-US" w:eastAsia="zh-CN"/>
        </w:rPr>
        <w:t>133.9</w:t>
      </w:r>
      <w:r>
        <w:rPr>
          <w:rFonts w:hint="default" w:ascii="Times New Roman" w:hAnsi="Times New Roman" w:eastAsia="宋体" w:cs="Times New Roman"/>
          <w:color w:val="auto"/>
          <w:sz w:val="24"/>
          <w:szCs w:val="24"/>
          <w:highlight w:val="none"/>
        </w:rPr>
        <w:t>m（正己烷发生火灾、爆炸事故时次生CO的最远影响距离），大气毒性终点浓度-2的最远影响距离为</w:t>
      </w:r>
      <w:r>
        <w:rPr>
          <w:rFonts w:hint="default" w:ascii="Times New Roman" w:hAnsi="Times New Roman" w:eastAsia="宋体" w:cs="Times New Roman"/>
          <w:color w:val="auto"/>
          <w:sz w:val="24"/>
          <w:szCs w:val="24"/>
          <w:highlight w:val="none"/>
          <w:lang w:val="en-US" w:eastAsia="zh-CN"/>
        </w:rPr>
        <w:t>211.1</w:t>
      </w:r>
      <w:r>
        <w:rPr>
          <w:rFonts w:hint="default" w:ascii="Times New Roman" w:hAnsi="Times New Roman" w:eastAsia="宋体" w:cs="Times New Roman"/>
          <w:color w:val="auto"/>
          <w:sz w:val="24"/>
          <w:szCs w:val="24"/>
          <w:highlight w:val="none"/>
        </w:rPr>
        <w:t>m（正己烷发生火灾、爆炸事故时次生CO的最远影响距离）。大气毒性终点浓度-2最大影响范围内敏感点</w:t>
      </w:r>
      <w:r>
        <w:rPr>
          <w:rFonts w:hint="default" w:ascii="Times New Roman" w:hAnsi="Times New Roman" w:eastAsia="宋体" w:cs="Times New Roman"/>
          <w:color w:val="auto"/>
          <w:sz w:val="24"/>
          <w:szCs w:val="24"/>
          <w:highlight w:val="none"/>
          <w:lang w:eastAsia="zh-CN"/>
        </w:rPr>
        <w:t>主要为</w:t>
      </w:r>
      <w:r>
        <w:rPr>
          <w:rFonts w:hint="default" w:ascii="Times New Roman" w:hAnsi="Times New Roman" w:eastAsia="宋体" w:cs="Times New Roman"/>
          <w:color w:val="auto"/>
          <w:sz w:val="24"/>
          <w:szCs w:val="24"/>
          <w:highlight w:val="none"/>
          <w:lang w:val="en-US" w:eastAsia="zh-CN"/>
        </w:rPr>
        <w:t>下风向企业</w:t>
      </w:r>
      <w:r>
        <w:rPr>
          <w:rFonts w:hint="default" w:ascii="Times New Roman" w:hAnsi="Times New Roman" w:eastAsia="宋体" w:cs="Times New Roman"/>
          <w:color w:val="auto"/>
          <w:sz w:val="24"/>
          <w:szCs w:val="24"/>
          <w:highlight w:val="none"/>
          <w:lang w:eastAsia="zh-CN"/>
        </w:rPr>
        <w:t>，影响人数为</w:t>
      </w:r>
      <w:r>
        <w:rPr>
          <w:rFonts w:hint="default" w:ascii="Times New Roman" w:hAnsi="Times New Roman" w:eastAsia="宋体" w:cs="Times New Roman"/>
          <w:color w:val="auto"/>
          <w:sz w:val="24"/>
          <w:szCs w:val="24"/>
          <w:highlight w:val="none"/>
          <w:lang w:val="en-US" w:eastAsia="zh-CN"/>
        </w:rPr>
        <w:t>200人</w:t>
      </w:r>
      <w:r>
        <w:rPr>
          <w:rFonts w:hint="default" w:ascii="Times New Roman" w:hAnsi="Times New Roman" w:eastAsia="宋体" w:cs="Times New Roman"/>
          <w:color w:val="auto"/>
          <w:sz w:val="24"/>
          <w:szCs w:val="24"/>
          <w:highlight w:val="none"/>
        </w:rPr>
        <w:t>。</w:t>
      </w:r>
    </w:p>
    <w:p w14:paraId="5DCC2B06">
      <w:pPr>
        <w:pStyle w:val="3"/>
        <w:pageBreakBefore w:val="0"/>
        <w:widowControl w:val="0"/>
        <w:numPr>
          <w:ilvl w:val="1"/>
          <w:numId w:val="0"/>
        </w:numPr>
        <w:kinsoku/>
        <w:wordWrap/>
        <w:overflowPunct/>
        <w:topLinePunct w:val="0"/>
        <w:autoSpaceDE/>
        <w:autoSpaceDN/>
        <w:bidi w:val="0"/>
        <w:adjustRightInd w:val="0"/>
        <w:snapToGrid w:val="0"/>
        <w:spacing w:beforeLines="0" w:afterLines="0" w:line="360" w:lineRule="auto"/>
        <w:ind w:left="0" w:leftChars="0" w:firstLine="0" w:firstLineChars="0"/>
        <w:textAlignment w:val="auto"/>
        <w:outlineLvl w:val="1"/>
        <w:rPr>
          <w:rFonts w:hint="default" w:ascii="Times New Roman" w:hAnsi="Times New Roman" w:eastAsia="宋体" w:cs="Times New Roman"/>
          <w:color w:val="auto"/>
          <w:sz w:val="24"/>
          <w:szCs w:val="24"/>
          <w:highlight w:val="none"/>
        </w:rPr>
      </w:pPr>
      <w:bookmarkStart w:id="99" w:name="_Toc6155"/>
      <w:r>
        <w:rPr>
          <w:rFonts w:hint="default" w:ascii="Times New Roman" w:hAnsi="Times New Roman" w:eastAsia="宋体" w:cs="Times New Roman"/>
          <w:b/>
          <w:bCs/>
          <w:color w:val="auto"/>
          <w:kern w:val="2"/>
          <w:sz w:val="24"/>
          <w:szCs w:val="24"/>
          <w:highlight w:val="none"/>
          <w:lang w:val="en-US" w:eastAsia="zh-CN" w:bidi="ar-SA"/>
        </w:rPr>
        <w:t>6</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地表水环境风险分析</w:t>
      </w:r>
      <w:bookmarkEnd w:id="99"/>
    </w:p>
    <w:p w14:paraId="3B72D830">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本项目可能</w:t>
      </w:r>
      <w:r>
        <w:rPr>
          <w:rFonts w:hint="default" w:ascii="Times New Roman" w:hAnsi="Times New Roman" w:eastAsia="宋体" w:cs="Times New Roman"/>
          <w:color w:val="auto"/>
          <w:sz w:val="24"/>
          <w:szCs w:val="24"/>
          <w:highlight w:val="none"/>
          <w:lang w:eastAsia="zh-CN"/>
        </w:rPr>
        <w:t>泄漏</w:t>
      </w:r>
      <w:r>
        <w:rPr>
          <w:rFonts w:hint="default" w:ascii="Times New Roman" w:hAnsi="Times New Roman" w:eastAsia="宋体" w:cs="Times New Roman"/>
          <w:color w:val="auto"/>
          <w:sz w:val="24"/>
          <w:szCs w:val="24"/>
          <w:highlight w:val="none"/>
        </w:rPr>
        <w:t>的危险液态物料以及</w:t>
      </w:r>
      <w:r>
        <w:rPr>
          <w:rFonts w:hint="default" w:ascii="Times New Roman" w:hAnsi="Times New Roman" w:eastAsia="宋体" w:cs="Times New Roman"/>
          <w:color w:val="auto"/>
          <w:sz w:val="24"/>
          <w:szCs w:val="24"/>
          <w:highlight w:val="none"/>
          <w:lang w:val="en-US" w:eastAsia="zh-CN"/>
        </w:rPr>
        <w:t>生产废水</w:t>
      </w:r>
      <w:r>
        <w:rPr>
          <w:rFonts w:hint="default" w:ascii="Times New Roman" w:hAnsi="Times New Roman" w:eastAsia="宋体" w:cs="Times New Roman"/>
          <w:color w:val="auto"/>
          <w:sz w:val="24"/>
          <w:szCs w:val="24"/>
          <w:highlight w:val="none"/>
        </w:rPr>
        <w:t>等，发生事故</w:t>
      </w:r>
      <w:r>
        <w:rPr>
          <w:rFonts w:hint="default" w:ascii="Times New Roman" w:hAnsi="Times New Roman" w:eastAsia="宋体" w:cs="Times New Roman"/>
          <w:color w:val="auto"/>
          <w:sz w:val="24"/>
          <w:szCs w:val="24"/>
          <w:highlight w:val="none"/>
          <w:lang w:eastAsia="zh-CN"/>
        </w:rPr>
        <w:t>泄漏</w:t>
      </w:r>
      <w:r>
        <w:rPr>
          <w:rFonts w:hint="default" w:ascii="Times New Roman" w:hAnsi="Times New Roman" w:eastAsia="宋体" w:cs="Times New Roman"/>
          <w:color w:val="auto"/>
          <w:sz w:val="24"/>
          <w:szCs w:val="24"/>
          <w:highlight w:val="none"/>
        </w:rPr>
        <w:t>后，可能会直接或与雨水系统排出各自厂区，对地表水环境产生影响。</w:t>
      </w:r>
    </w:p>
    <w:p w14:paraId="065BB90C">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本项目物料储存区及装置区均按相关要求设置围堰及事故水池，设置的事故水收集设施容积满足事故废水暂存的需要，不会造成携带污染物的废水进入外环境。</w:t>
      </w:r>
    </w:p>
    <w:p w14:paraId="4304C45E">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本评价建议建设单位对各厂区物料围堰及事故水池进行定期检查，出现破碎及时修补</w:t>
      </w:r>
      <w:r>
        <w:rPr>
          <w:rFonts w:hint="default" w:ascii="Times New Roman" w:hAnsi="Times New Roman" w:cs="Times New Roman"/>
          <w:color w:val="auto"/>
          <w:sz w:val="24"/>
          <w:szCs w:val="24"/>
          <w:highlight w:val="none"/>
          <w:lang w:eastAsia="zh-CN"/>
        </w:rPr>
        <w:t>；在</w:t>
      </w:r>
      <w:r>
        <w:rPr>
          <w:rFonts w:hint="default" w:ascii="Times New Roman" w:hAnsi="Times New Roman" w:eastAsia="宋体" w:cs="Times New Roman"/>
          <w:color w:val="auto"/>
          <w:sz w:val="24"/>
          <w:szCs w:val="24"/>
          <w:highlight w:val="none"/>
        </w:rPr>
        <w:t>落实相应风险事故污水措施的情况下，在发生风险事故时污水不会流入外环境。</w:t>
      </w:r>
    </w:p>
    <w:p w14:paraId="06BDA841">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综上所述，本项目不会对所在区域地表水产生污染影响。</w:t>
      </w:r>
    </w:p>
    <w:p w14:paraId="6D71BE3B">
      <w:pPr>
        <w:pStyle w:val="3"/>
        <w:pageBreakBefore w:val="0"/>
        <w:widowControl w:val="0"/>
        <w:numPr>
          <w:ilvl w:val="1"/>
          <w:numId w:val="0"/>
        </w:numPr>
        <w:kinsoku/>
        <w:wordWrap/>
        <w:overflowPunct/>
        <w:topLinePunct w:val="0"/>
        <w:autoSpaceDE/>
        <w:autoSpaceDN/>
        <w:bidi w:val="0"/>
        <w:adjustRightInd w:val="0"/>
        <w:snapToGrid w:val="0"/>
        <w:spacing w:beforeLines="0" w:afterLines="0" w:line="360" w:lineRule="auto"/>
        <w:ind w:left="0" w:leftChars="0" w:firstLine="0" w:firstLineChars="0"/>
        <w:textAlignment w:val="auto"/>
        <w:outlineLvl w:val="1"/>
        <w:rPr>
          <w:rFonts w:hint="default" w:ascii="Times New Roman" w:hAnsi="Times New Roman" w:eastAsia="宋体" w:cs="Times New Roman"/>
          <w:color w:val="auto"/>
          <w:sz w:val="24"/>
          <w:szCs w:val="24"/>
          <w:highlight w:val="none"/>
        </w:rPr>
      </w:pPr>
      <w:bookmarkStart w:id="100" w:name="_Toc19156"/>
      <w:r>
        <w:rPr>
          <w:rFonts w:hint="default" w:ascii="Times New Roman" w:hAnsi="Times New Roman" w:eastAsia="宋体" w:cs="Times New Roman"/>
          <w:color w:val="auto"/>
          <w:sz w:val="24"/>
          <w:szCs w:val="24"/>
          <w:highlight w:val="none"/>
          <w:lang w:val="en-US" w:eastAsia="zh-CN"/>
        </w:rPr>
        <w:t>6.3</w:t>
      </w:r>
      <w:r>
        <w:rPr>
          <w:rFonts w:hint="default" w:ascii="Times New Roman" w:hAnsi="Times New Roman" w:eastAsia="宋体" w:cs="Times New Roman"/>
          <w:color w:val="auto"/>
          <w:sz w:val="24"/>
          <w:szCs w:val="24"/>
          <w:highlight w:val="none"/>
        </w:rPr>
        <w:t>地下水环境风险分析</w:t>
      </w:r>
      <w:bookmarkEnd w:id="100"/>
    </w:p>
    <w:p w14:paraId="779E6D09">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地下水防控措施：为防止废水下渗污染地下水，根据</w:t>
      </w:r>
      <w:r>
        <w:rPr>
          <w:rFonts w:hint="default" w:ascii="Times New Roman" w:hAnsi="Times New Roman" w:eastAsia="宋体" w:cs="Times New Roman"/>
          <w:color w:val="auto"/>
          <w:sz w:val="24"/>
          <w:szCs w:val="24"/>
          <w:highlight w:val="none"/>
          <w:lang w:val="en-US" w:eastAsia="zh-CN"/>
        </w:rPr>
        <w:t>厂区</w:t>
      </w:r>
      <w:r>
        <w:rPr>
          <w:rFonts w:hint="default" w:ascii="Times New Roman" w:hAnsi="Times New Roman" w:eastAsia="宋体" w:cs="Times New Roman"/>
          <w:color w:val="auto"/>
          <w:sz w:val="24"/>
          <w:szCs w:val="24"/>
          <w:highlight w:val="none"/>
        </w:rPr>
        <w:t>各生产、生活功能单元可能产生污染的地区，厂区设置分区防渗，依据《环境影响评价技术导则—地下水环境》（HJ610-2016），厂区内地面均进行地面硬化，污水处理站、溶剂储罐区、储油罐区、危险废物贮存库</w:t>
      </w:r>
      <w:r>
        <w:rPr>
          <w:rFonts w:hint="default" w:ascii="Times New Roman" w:hAnsi="Times New Roman" w:cs="Times New Roman"/>
          <w:color w:val="auto"/>
          <w:sz w:val="24"/>
          <w:szCs w:val="24"/>
          <w:highlight w:val="none"/>
          <w:lang w:eastAsia="zh-CN"/>
        </w:rPr>
        <w:t>进行重点防渗</w:t>
      </w:r>
      <w:r>
        <w:rPr>
          <w:rFonts w:hint="default" w:ascii="Times New Roman" w:hAnsi="Times New Roman" w:eastAsia="宋体" w:cs="Times New Roman"/>
          <w:color w:val="auto"/>
          <w:sz w:val="24"/>
          <w:szCs w:val="24"/>
          <w:highlight w:val="none"/>
        </w:rPr>
        <w:t>，确保防渗技术能达到等效粘土防渗层Mb≥6.0m，K≤1×10</w:t>
      </w:r>
      <w:r>
        <w:rPr>
          <w:rFonts w:hint="default" w:ascii="Times New Roman" w:hAnsi="Times New Roman" w:eastAsia="宋体" w:cs="Times New Roman"/>
          <w:color w:val="auto"/>
          <w:sz w:val="24"/>
          <w:szCs w:val="24"/>
          <w:highlight w:val="none"/>
          <w:vertAlign w:val="superscript"/>
        </w:rPr>
        <w:t>-10</w:t>
      </w:r>
      <w:r>
        <w:rPr>
          <w:rFonts w:hint="default" w:ascii="Times New Roman" w:hAnsi="Times New Roman" w:eastAsia="宋体" w:cs="Times New Roman"/>
          <w:color w:val="auto"/>
          <w:sz w:val="24"/>
          <w:szCs w:val="24"/>
          <w:highlight w:val="none"/>
        </w:rPr>
        <w:t>cm/s的要求</w:t>
      </w:r>
      <w:r>
        <w:rPr>
          <w:rFonts w:hint="default" w:ascii="Times New Roman" w:hAnsi="Times New Roman" w:eastAsia="宋体" w:cs="Times New Roman"/>
          <w:color w:val="auto"/>
          <w:sz w:val="24"/>
          <w:szCs w:val="24"/>
          <w:highlight w:val="none"/>
          <w:lang w:eastAsia="zh-CN"/>
        </w:rPr>
        <w:t>；</w:t>
      </w:r>
    </w:p>
    <w:p w14:paraId="35638AB5">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综上所述，本项目不会对所在区域地</w:t>
      </w:r>
      <w:r>
        <w:rPr>
          <w:rFonts w:hint="default" w:ascii="Times New Roman" w:hAnsi="Times New Roman" w:eastAsia="宋体" w:cs="Times New Roman"/>
          <w:color w:val="auto"/>
          <w:sz w:val="24"/>
          <w:szCs w:val="24"/>
          <w:highlight w:val="none"/>
          <w:lang w:val="en-US" w:eastAsia="zh-CN"/>
        </w:rPr>
        <w:t>下</w:t>
      </w:r>
      <w:r>
        <w:rPr>
          <w:rFonts w:hint="default" w:ascii="Times New Roman" w:hAnsi="Times New Roman" w:eastAsia="宋体" w:cs="Times New Roman"/>
          <w:color w:val="auto"/>
          <w:sz w:val="24"/>
          <w:szCs w:val="24"/>
          <w:highlight w:val="none"/>
        </w:rPr>
        <w:t>水产生污染影响。</w:t>
      </w:r>
    </w:p>
    <w:p w14:paraId="43B89446">
      <w:pPr>
        <w:pStyle w:val="2"/>
        <w:pageBreakBefore w:val="0"/>
        <w:widowControl w:val="0"/>
        <w:numPr>
          <w:ilvl w:val="0"/>
          <w:numId w:val="0"/>
        </w:numPr>
        <w:kinsoku/>
        <w:wordWrap/>
        <w:overflowPunct/>
        <w:topLinePunct w:val="0"/>
        <w:autoSpaceDE/>
        <w:autoSpaceDN/>
        <w:bidi w:val="0"/>
        <w:adjustRightInd w:val="0"/>
        <w:snapToGrid w:val="0"/>
        <w:spacing w:before="0" w:after="0" w:line="360" w:lineRule="auto"/>
        <w:ind w:left="0" w:leftChars="0" w:firstLine="0" w:firstLineChars="0"/>
        <w:textAlignment w:val="auto"/>
        <w:outlineLvl w:val="0"/>
        <w:rPr>
          <w:rFonts w:hint="default" w:ascii="Times New Roman" w:hAnsi="Times New Roman" w:eastAsia="宋体" w:cs="Times New Roman"/>
          <w:color w:val="auto"/>
          <w:sz w:val="28"/>
          <w:szCs w:val="28"/>
          <w:highlight w:val="none"/>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type="linesAndChars" w:linePitch="312" w:charSpace="0"/>
        </w:sectPr>
      </w:pPr>
      <w:bookmarkStart w:id="101" w:name="_Toc28556"/>
    </w:p>
    <w:p w14:paraId="3257C46E">
      <w:pPr>
        <w:pStyle w:val="2"/>
        <w:pageBreakBefore w:val="0"/>
        <w:widowControl w:val="0"/>
        <w:numPr>
          <w:ilvl w:val="0"/>
          <w:numId w:val="0"/>
        </w:numPr>
        <w:kinsoku/>
        <w:wordWrap/>
        <w:overflowPunct/>
        <w:topLinePunct w:val="0"/>
        <w:autoSpaceDE/>
        <w:autoSpaceDN/>
        <w:bidi w:val="0"/>
        <w:adjustRightInd w:val="0"/>
        <w:snapToGrid w:val="0"/>
        <w:spacing w:before="0" w:after="0" w:line="360" w:lineRule="auto"/>
        <w:ind w:left="0" w:leftChars="0" w:firstLine="0" w:firstLineChars="0"/>
        <w:textAlignment w:val="auto"/>
        <w:outlineLvl w:val="0"/>
        <w:rPr>
          <w:rFonts w:hint="default" w:ascii="Times New Roman" w:hAnsi="Times New Roman" w:eastAsia="宋体" w:cs="Times New Roman"/>
          <w:color w:val="auto"/>
          <w:sz w:val="28"/>
          <w:szCs w:val="28"/>
          <w:highlight w:val="none"/>
          <w:lang w:val="en-US" w:eastAsia="zh-CN"/>
        </w:rPr>
      </w:pPr>
      <w:bookmarkStart w:id="102" w:name="_Toc2368"/>
      <w:r>
        <w:rPr>
          <w:rFonts w:hint="default" w:ascii="Times New Roman" w:hAnsi="Times New Roman" w:eastAsia="宋体" w:cs="Times New Roman"/>
          <w:color w:val="auto"/>
          <w:sz w:val="28"/>
          <w:szCs w:val="28"/>
          <w:highlight w:val="none"/>
          <w:lang w:val="en-US" w:eastAsia="zh-CN"/>
        </w:rPr>
        <w:t>7环境风险防范措施</w:t>
      </w:r>
      <w:bookmarkEnd w:id="101"/>
      <w:bookmarkEnd w:id="102"/>
    </w:p>
    <w:p w14:paraId="450B3BF8">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为使环境风险减小到最低限度，必须加强劳动安全卫生管理，制定完备、有效的安全防范措施，尽可能降低项目环境风险事故发生的概率。</w:t>
      </w:r>
    </w:p>
    <w:p w14:paraId="070AF658">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为使环境风险减小到最低限度，必须加强劳动安全卫生管理，制定完备、有效的安全防范措施，尽可能降低项目环境风险事故发生的概率。</w:t>
      </w:r>
    </w:p>
    <w:p w14:paraId="57C9998E">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储罐是本项目风险事故预防的重点区域，因此</w:t>
      </w:r>
      <w:r>
        <w:rPr>
          <w:rFonts w:hint="default" w:ascii="Times New Roman" w:hAnsi="Times New Roman" w:eastAsia="宋体" w:cs="Times New Roman"/>
          <w:color w:val="auto"/>
          <w:sz w:val="24"/>
          <w:szCs w:val="24"/>
          <w:highlight w:val="none"/>
          <w:lang w:val="en-US" w:eastAsia="zh-CN"/>
        </w:rPr>
        <w:t>正己烷</w:t>
      </w:r>
      <w:r>
        <w:rPr>
          <w:rFonts w:hint="default" w:ascii="Times New Roman" w:hAnsi="Times New Roman" w:eastAsia="宋体" w:cs="Times New Roman"/>
          <w:color w:val="auto"/>
          <w:sz w:val="24"/>
          <w:szCs w:val="24"/>
          <w:highlight w:val="none"/>
        </w:rPr>
        <w:t>存储以及使用的风险管理及事故预防措施是企业风险管理及事故预防的重要内容。项目应采取合理的风险防范措施以降低事故发生的概率，而环境风险评价内容是事故发生后对外界环境造成的危害，因此在</w:t>
      </w:r>
      <w:r>
        <w:rPr>
          <w:rFonts w:hint="default" w:ascii="Times New Roman" w:hAnsi="Times New Roman" w:cs="Times New Roman"/>
          <w:color w:val="auto"/>
          <w:sz w:val="24"/>
          <w:szCs w:val="24"/>
          <w:highlight w:val="none"/>
          <w:lang w:eastAsia="zh-CN"/>
        </w:rPr>
        <w:t>采取</w:t>
      </w:r>
      <w:r>
        <w:rPr>
          <w:rFonts w:hint="default" w:ascii="Times New Roman" w:hAnsi="Times New Roman" w:eastAsia="宋体" w:cs="Times New Roman"/>
          <w:color w:val="auto"/>
          <w:sz w:val="24"/>
          <w:szCs w:val="24"/>
          <w:highlight w:val="none"/>
        </w:rPr>
        <w:t>一系列的风险防范措施的基础上，还需采取一定的环境风险防范措施，以降低事故对外界环境造成的影响。</w:t>
      </w:r>
    </w:p>
    <w:p w14:paraId="347C06C3">
      <w:pPr>
        <w:pStyle w:val="3"/>
        <w:pageBreakBefore w:val="0"/>
        <w:widowControl w:val="0"/>
        <w:numPr>
          <w:ilvl w:val="1"/>
          <w:numId w:val="0"/>
        </w:numPr>
        <w:kinsoku/>
        <w:wordWrap/>
        <w:overflowPunct/>
        <w:topLinePunct w:val="0"/>
        <w:autoSpaceDE/>
        <w:autoSpaceDN/>
        <w:bidi w:val="0"/>
        <w:adjustRightInd w:val="0"/>
        <w:snapToGrid w:val="0"/>
        <w:spacing w:beforeLines="0" w:afterLines="0" w:line="360" w:lineRule="auto"/>
        <w:ind w:left="0" w:leftChars="0" w:firstLine="0" w:firstLineChars="0"/>
        <w:textAlignment w:val="auto"/>
        <w:outlineLvl w:val="1"/>
        <w:rPr>
          <w:rFonts w:hint="default" w:ascii="Times New Roman" w:hAnsi="Times New Roman" w:eastAsia="宋体" w:cs="Times New Roman"/>
          <w:color w:val="auto"/>
          <w:sz w:val="24"/>
          <w:szCs w:val="24"/>
          <w:highlight w:val="none"/>
          <w:lang w:val="zh-CN" w:eastAsia="zh-CN"/>
        </w:rPr>
      </w:pPr>
      <w:bookmarkStart w:id="103" w:name="_Toc3297"/>
      <w:r>
        <w:rPr>
          <w:rFonts w:hint="default" w:ascii="Times New Roman" w:hAnsi="Times New Roman" w:eastAsia="宋体" w:cs="Times New Roman"/>
          <w:b/>
          <w:bCs/>
          <w:color w:val="auto"/>
          <w:kern w:val="2"/>
          <w:sz w:val="24"/>
          <w:szCs w:val="24"/>
          <w:highlight w:val="none"/>
          <w:lang w:val="en-US" w:eastAsia="zh-CN" w:bidi="ar-SA"/>
        </w:rPr>
        <w:t>7</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zh-CN" w:eastAsia="zh-CN"/>
        </w:rPr>
        <w:t>选址、总图布置和建筑安全防范措施</w:t>
      </w:r>
      <w:bookmarkEnd w:id="103"/>
    </w:p>
    <w:p w14:paraId="4DEBD082">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rPr>
      </w:pPr>
      <w:r>
        <w:rPr>
          <w:rFonts w:hint="default" w:ascii="Times New Roman" w:hAnsi="Times New Roman" w:eastAsia="宋体" w:cs="Times New Roman"/>
          <w:color w:val="auto"/>
          <w:sz w:val="24"/>
          <w:szCs w:val="24"/>
          <w:highlight w:val="none"/>
          <w:lang w:val="zh-CN"/>
        </w:rPr>
        <w:t>① 设备应位于居民区夏季最小频率风向的上风侧。</w:t>
      </w:r>
    </w:p>
    <w:p w14:paraId="5B2FFA0F">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rPr>
      </w:pPr>
      <w:r>
        <w:rPr>
          <w:rFonts w:hint="default" w:ascii="Times New Roman" w:hAnsi="Times New Roman" w:eastAsia="宋体" w:cs="Times New Roman"/>
          <w:color w:val="auto"/>
          <w:sz w:val="24"/>
          <w:szCs w:val="24"/>
          <w:highlight w:val="none"/>
          <w:lang w:val="zh-CN"/>
        </w:rPr>
        <w:t>② 项目各装置总图布置中在满足工艺要求前提下，应采用流程式布置，兼顾同类设备相对集中，装置及设备间距、安全距离等均应满足《建筑设计防火规范》（GB50016）、《工业企业总平面设计规范》（GB50187）的要求。</w:t>
      </w:r>
    </w:p>
    <w:p w14:paraId="401317C5">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rPr>
      </w:pPr>
      <w:r>
        <w:rPr>
          <w:rFonts w:hint="default" w:ascii="Times New Roman" w:hAnsi="Times New Roman" w:eastAsia="宋体" w:cs="Times New Roman"/>
          <w:color w:val="auto"/>
          <w:sz w:val="24"/>
          <w:szCs w:val="24"/>
          <w:highlight w:val="none"/>
          <w:lang w:val="zh-CN"/>
        </w:rPr>
        <w:t>③ 本工程建设区域与四邻应预留相应的防火安全间距。</w:t>
      </w:r>
    </w:p>
    <w:p w14:paraId="6AD8A815">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rPr>
      </w:pPr>
      <w:r>
        <w:rPr>
          <w:rFonts w:hint="default" w:ascii="Times New Roman" w:hAnsi="Times New Roman" w:eastAsia="宋体" w:cs="Times New Roman"/>
          <w:color w:val="auto"/>
          <w:sz w:val="24"/>
          <w:szCs w:val="24"/>
          <w:highlight w:val="none"/>
          <w:lang w:val="zh-CN"/>
        </w:rPr>
        <w:t>④ 设计上应注意解决各储罐底部与基础之间的密封问题。</w:t>
      </w:r>
    </w:p>
    <w:p w14:paraId="393CCA38">
      <w:pPr>
        <w:pStyle w:val="3"/>
        <w:pageBreakBefore w:val="0"/>
        <w:widowControl w:val="0"/>
        <w:numPr>
          <w:ilvl w:val="1"/>
          <w:numId w:val="0"/>
        </w:numPr>
        <w:kinsoku/>
        <w:wordWrap/>
        <w:overflowPunct/>
        <w:topLinePunct w:val="0"/>
        <w:autoSpaceDE/>
        <w:autoSpaceDN/>
        <w:bidi w:val="0"/>
        <w:adjustRightInd w:val="0"/>
        <w:snapToGrid w:val="0"/>
        <w:spacing w:beforeLines="0" w:afterLines="0" w:line="360" w:lineRule="auto"/>
        <w:ind w:left="0" w:leftChars="0" w:firstLine="0" w:firstLineChars="0"/>
        <w:textAlignment w:val="auto"/>
        <w:outlineLvl w:val="1"/>
        <w:rPr>
          <w:rFonts w:hint="default" w:ascii="Times New Roman" w:hAnsi="Times New Roman" w:eastAsia="宋体" w:cs="Times New Roman"/>
          <w:color w:val="auto"/>
          <w:sz w:val="24"/>
          <w:szCs w:val="24"/>
          <w:highlight w:val="none"/>
          <w:lang w:val="zh-CN" w:eastAsia="zh-CN"/>
        </w:rPr>
      </w:pPr>
      <w:bookmarkStart w:id="104" w:name="_Toc2649"/>
      <w:r>
        <w:rPr>
          <w:rFonts w:hint="default" w:ascii="Times New Roman" w:hAnsi="Times New Roman" w:eastAsia="宋体" w:cs="Times New Roman"/>
          <w:b/>
          <w:bCs/>
          <w:color w:val="auto"/>
          <w:kern w:val="2"/>
          <w:sz w:val="24"/>
          <w:szCs w:val="24"/>
          <w:highlight w:val="none"/>
          <w:lang w:val="en-US" w:eastAsia="zh-CN" w:bidi="ar-SA"/>
        </w:rPr>
        <w:t>7</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zh-CN" w:eastAsia="zh-CN"/>
        </w:rPr>
        <w:t>危险化学品贮运安全防范措施</w:t>
      </w:r>
      <w:bookmarkEnd w:id="104"/>
    </w:p>
    <w:p w14:paraId="57ED17B7">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rPr>
      </w:pPr>
      <w:r>
        <w:rPr>
          <w:rFonts w:hint="default" w:ascii="Times New Roman" w:hAnsi="Times New Roman" w:eastAsia="宋体" w:cs="Times New Roman"/>
          <w:color w:val="auto"/>
          <w:sz w:val="24"/>
          <w:szCs w:val="24"/>
          <w:highlight w:val="none"/>
          <w:lang w:val="zh-CN"/>
        </w:rPr>
        <w:t>① 按有关规定在库房内设置强制通风，以防止有害气体的积聚。严格遵守防护工作制度、有毒物品管理制度和相应的环保、安全制度。</w:t>
      </w:r>
    </w:p>
    <w:p w14:paraId="1A6C0C89">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rPr>
      </w:pPr>
      <w:r>
        <w:rPr>
          <w:rFonts w:hint="default" w:ascii="Times New Roman" w:hAnsi="Times New Roman" w:eastAsia="宋体" w:cs="Times New Roman"/>
          <w:color w:val="auto"/>
          <w:sz w:val="24"/>
          <w:szCs w:val="24"/>
          <w:highlight w:val="none"/>
          <w:lang w:val="zh-CN"/>
        </w:rPr>
        <w:t>② 定期检修设备，改进密封结构和加强泄漏检验以消除设备、管道的跑、冒、滴、漏，尽可能采用机械</w:t>
      </w:r>
      <w:r>
        <w:rPr>
          <w:rFonts w:hint="default" w:ascii="Times New Roman" w:hAnsi="Times New Roman" w:cs="Times New Roman"/>
          <w:color w:val="auto"/>
          <w:sz w:val="24"/>
          <w:szCs w:val="24"/>
          <w:highlight w:val="none"/>
          <w:lang w:val="zh-CN"/>
        </w:rPr>
        <w:t>化和</w:t>
      </w:r>
      <w:r>
        <w:rPr>
          <w:rFonts w:hint="default" w:ascii="Times New Roman" w:hAnsi="Times New Roman" w:eastAsia="宋体" w:cs="Times New Roman"/>
          <w:color w:val="auto"/>
          <w:sz w:val="24"/>
          <w:szCs w:val="24"/>
          <w:highlight w:val="none"/>
          <w:lang w:val="zh-CN"/>
        </w:rPr>
        <w:t>自动化先进技术，以隔绝毒物与操作人员的接触。</w:t>
      </w:r>
    </w:p>
    <w:p w14:paraId="6920D3B3">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rPr>
      </w:pPr>
      <w:r>
        <w:rPr>
          <w:rFonts w:hint="default" w:ascii="Times New Roman" w:hAnsi="Times New Roman" w:eastAsia="宋体" w:cs="Times New Roman"/>
          <w:color w:val="auto"/>
          <w:sz w:val="24"/>
          <w:szCs w:val="24"/>
          <w:highlight w:val="none"/>
          <w:lang w:val="zh-CN"/>
        </w:rPr>
        <w:t xml:space="preserve">③ </w:t>
      </w:r>
      <w:r>
        <w:rPr>
          <w:rFonts w:hint="default" w:ascii="Times New Roman" w:hAnsi="Times New Roman" w:eastAsia="宋体" w:cs="Times New Roman"/>
          <w:color w:val="auto"/>
          <w:sz w:val="24"/>
          <w:szCs w:val="24"/>
          <w:highlight w:val="none"/>
          <w:lang w:val="zh-CN" w:eastAsia="zh-CN"/>
        </w:rPr>
        <w:t>原料存储库等</w:t>
      </w:r>
      <w:r>
        <w:rPr>
          <w:rFonts w:hint="default" w:ascii="Times New Roman" w:hAnsi="Times New Roman" w:eastAsia="宋体" w:cs="Times New Roman"/>
          <w:color w:val="auto"/>
          <w:sz w:val="24"/>
          <w:szCs w:val="24"/>
          <w:highlight w:val="none"/>
          <w:lang w:val="zh-CN"/>
        </w:rPr>
        <w:t>的防火间距、消防通道、消防设施等应满足要求。储罐与周围建筑物之间应有足够的防火距离。</w:t>
      </w:r>
    </w:p>
    <w:p w14:paraId="086B1AAB">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④ 对于新建的储存或输送腐蚀性物料的设备、管道及与其接触的仪表等，根据介质的特殊性采取防腐蚀、防泄漏措施。</w:t>
      </w:r>
    </w:p>
    <w:p w14:paraId="7EE0D5A7">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⑤ 储罐防火设施，包括储罐罐体、保温层等采用不燃材料，储罐配备液面计、呼吸阀和阻火器，储罐的进料管末端安装在储罐下部，防止液体冲击产生静电，储罐保持良好的接地，设置倒罐管线。</w:t>
      </w:r>
    </w:p>
    <w:p w14:paraId="3031F694">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⑥ 为防止储罐在日晒下温度过高所带来的爆炸危险，储罐上设置夏季冷却喷淋水系统，以及固定式泡沫灭火系统。</w:t>
      </w:r>
    </w:p>
    <w:p w14:paraId="74689ED0">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⑦ 危险物料在运输过程中，应严格按照危险货物包装和运输等相应法律法规进行操作。装运危险货物的罐（槽）应适合所装货物的性能，具有足够的强度，并应根据不同货物的需要配备泄压阀、防波板、遮阳物、压力表、液位计、导除静电等相应的安全装置；罐（槽）外部的附件应有可靠的防护设施，必须保证所装货物不发生“跑、冒、滴、漏”，并在阀门口装置积漏器。</w:t>
      </w:r>
    </w:p>
    <w:p w14:paraId="2D9A9C02">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⑧ 各种装卸机械、工具要有足够的安全系数，装卸易燃、易爆危险货物的机械和工具，必须有消除产生火花的措施。</w:t>
      </w:r>
    </w:p>
    <w:p w14:paraId="34AA3A90">
      <w:pPr>
        <w:pStyle w:val="3"/>
        <w:pageBreakBefore w:val="0"/>
        <w:widowControl w:val="0"/>
        <w:numPr>
          <w:ilvl w:val="1"/>
          <w:numId w:val="0"/>
        </w:numPr>
        <w:kinsoku/>
        <w:wordWrap/>
        <w:overflowPunct/>
        <w:topLinePunct w:val="0"/>
        <w:autoSpaceDE/>
        <w:autoSpaceDN/>
        <w:bidi w:val="0"/>
        <w:adjustRightInd w:val="0"/>
        <w:snapToGrid w:val="0"/>
        <w:spacing w:beforeLines="0" w:afterLines="0" w:line="360" w:lineRule="auto"/>
        <w:ind w:left="0" w:leftChars="0" w:firstLine="0" w:firstLineChars="0"/>
        <w:textAlignment w:val="auto"/>
        <w:outlineLvl w:val="1"/>
        <w:rPr>
          <w:rFonts w:hint="default" w:ascii="Times New Roman" w:hAnsi="Times New Roman" w:eastAsia="宋体" w:cs="Times New Roman"/>
          <w:color w:val="auto"/>
          <w:sz w:val="24"/>
          <w:szCs w:val="24"/>
          <w:highlight w:val="none"/>
          <w:lang w:val="zh-CN" w:eastAsia="zh-CN"/>
        </w:rPr>
      </w:pPr>
      <w:bookmarkStart w:id="105" w:name="_Toc27065"/>
      <w:r>
        <w:rPr>
          <w:rFonts w:hint="default" w:ascii="Times New Roman" w:hAnsi="Times New Roman" w:eastAsia="宋体" w:cs="Times New Roman"/>
          <w:b/>
          <w:bCs/>
          <w:color w:val="auto"/>
          <w:kern w:val="2"/>
          <w:sz w:val="24"/>
          <w:szCs w:val="24"/>
          <w:highlight w:val="none"/>
          <w:lang w:val="en-US" w:eastAsia="zh-CN" w:bidi="ar-SA"/>
        </w:rPr>
        <w:t>7</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zh-CN" w:eastAsia="zh-CN"/>
        </w:rPr>
        <w:t>工艺技术设计安全防范措施</w:t>
      </w:r>
      <w:bookmarkEnd w:id="105"/>
    </w:p>
    <w:p w14:paraId="3C9B6656">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① 根据工艺要求，本工程自控设计主要是对装置罐区、泵房、装卸车点的温度、流量、液位进行就地指示及参数检测。</w:t>
      </w:r>
    </w:p>
    <w:p w14:paraId="7106DF31">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针对甲类防爆区，按相关规范应设置相应可燃气体检测装置，可燃气体报警器应为集中显示。</w:t>
      </w:r>
    </w:p>
    <w:p w14:paraId="0E5F9DC6">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② 按《压力容器安全技术监察规程》等标准，在有压力的设备和管道上应设置压力表、安全阀以及报警系统，以防止设备与管道受到意外超压时损坏。当发生系统超压时，安全阀应能自动泄压。</w:t>
      </w:r>
    </w:p>
    <w:p w14:paraId="686A7E48">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③ 为防止泄漏，设备和管道应选择适宜的密封形式，并应采用适宜的连接方式以确保密封完好，杜绝有害气体的泄漏。在有可能泄漏可燃气体和有毒气体的部位均应设有可燃气体和有毒气体探测器，一旦发生泄漏可及时报警，报警信号送至控制室。定期对报警设备进行检测，保证其能够随时、准确地正常工作。</w:t>
      </w:r>
    </w:p>
    <w:p w14:paraId="00DF9902">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④ 本工程储罐与管道均应设置相应的防静电接地装置；储罐应采用防火花型液面计及防静电产品导入管，应设带阻火器的呼吸阀。在火灾危险性较大的场所应设置安全标志及信号装置。</w:t>
      </w:r>
    </w:p>
    <w:p w14:paraId="29771FC0">
      <w:pPr>
        <w:pStyle w:val="3"/>
        <w:pageBreakBefore w:val="0"/>
        <w:widowControl w:val="0"/>
        <w:numPr>
          <w:ilvl w:val="1"/>
          <w:numId w:val="0"/>
        </w:numPr>
        <w:kinsoku/>
        <w:wordWrap/>
        <w:overflowPunct/>
        <w:topLinePunct w:val="0"/>
        <w:autoSpaceDE/>
        <w:autoSpaceDN/>
        <w:bidi w:val="0"/>
        <w:adjustRightInd w:val="0"/>
        <w:snapToGrid w:val="0"/>
        <w:spacing w:beforeLines="0" w:afterLines="0" w:line="360" w:lineRule="auto"/>
        <w:ind w:left="0" w:leftChars="0" w:firstLine="0" w:firstLineChars="0"/>
        <w:textAlignment w:val="auto"/>
        <w:outlineLvl w:val="1"/>
        <w:rPr>
          <w:rFonts w:hint="default" w:ascii="Times New Roman" w:hAnsi="Times New Roman" w:eastAsia="宋体" w:cs="Times New Roman"/>
          <w:color w:val="auto"/>
          <w:sz w:val="24"/>
          <w:szCs w:val="24"/>
          <w:highlight w:val="none"/>
          <w:lang w:val="zh-CN" w:eastAsia="zh-CN"/>
        </w:rPr>
      </w:pPr>
      <w:bookmarkStart w:id="106" w:name="_Toc31667"/>
      <w:r>
        <w:rPr>
          <w:rFonts w:hint="default" w:ascii="Times New Roman" w:hAnsi="Times New Roman" w:eastAsia="宋体" w:cs="Times New Roman"/>
          <w:b/>
          <w:bCs/>
          <w:color w:val="auto"/>
          <w:kern w:val="2"/>
          <w:sz w:val="24"/>
          <w:szCs w:val="24"/>
          <w:highlight w:val="none"/>
          <w:lang w:val="en-US" w:eastAsia="zh-CN" w:bidi="ar-SA"/>
        </w:rPr>
        <w:t>7</w:t>
      </w: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zh-CN" w:eastAsia="zh-CN"/>
        </w:rPr>
        <w:t>自动控制设计安全防范措施</w:t>
      </w:r>
      <w:bookmarkEnd w:id="106"/>
    </w:p>
    <w:p w14:paraId="380EEAB6">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① 依据工艺流程的要求，本项目自控设计主要是对储罐的液位、压力、温度和装车流量参数进行监测，在防爆装置区内对可燃气体进行远传监控。现场安装的电子仪表和配线应符合危险区域划分标准，在防爆区域安装的现场仪表一般选用本安型仪表，需要时可选用隔爆型仪表，特殊场合可选用气动仪表。</w:t>
      </w:r>
    </w:p>
    <w:p w14:paraId="3DAA77A5">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②在装置区域内以及控制室和配电间等建筑物内应设置防爆火警按钮、感温、感烟检测器，通过设置在主控制室内的火灾报警系统监视装置内可能发生的火灾情况。</w:t>
      </w:r>
    </w:p>
    <w:p w14:paraId="7EC61B44">
      <w:pPr>
        <w:pStyle w:val="3"/>
        <w:pageBreakBefore w:val="0"/>
        <w:widowControl w:val="0"/>
        <w:numPr>
          <w:ilvl w:val="1"/>
          <w:numId w:val="0"/>
        </w:numPr>
        <w:kinsoku/>
        <w:wordWrap/>
        <w:overflowPunct/>
        <w:topLinePunct w:val="0"/>
        <w:autoSpaceDE/>
        <w:autoSpaceDN/>
        <w:bidi w:val="0"/>
        <w:adjustRightInd w:val="0"/>
        <w:snapToGrid w:val="0"/>
        <w:spacing w:beforeLines="0" w:afterLines="0" w:line="360" w:lineRule="auto"/>
        <w:ind w:left="0" w:leftChars="0" w:firstLine="0" w:firstLineChars="0"/>
        <w:textAlignment w:val="auto"/>
        <w:outlineLvl w:val="1"/>
        <w:rPr>
          <w:rFonts w:hint="default" w:ascii="Times New Roman" w:hAnsi="Times New Roman" w:eastAsia="宋体" w:cs="Times New Roman"/>
          <w:color w:val="auto"/>
          <w:sz w:val="24"/>
          <w:szCs w:val="24"/>
          <w:highlight w:val="none"/>
          <w:lang w:val="zh-CN" w:eastAsia="zh-CN"/>
        </w:rPr>
      </w:pPr>
      <w:bookmarkStart w:id="107" w:name="_Toc20260"/>
      <w:r>
        <w:rPr>
          <w:rFonts w:hint="default" w:ascii="Times New Roman" w:hAnsi="Times New Roman" w:eastAsia="宋体" w:cs="Times New Roman"/>
          <w:b/>
          <w:bCs/>
          <w:color w:val="auto"/>
          <w:kern w:val="2"/>
          <w:sz w:val="24"/>
          <w:szCs w:val="24"/>
          <w:highlight w:val="none"/>
          <w:lang w:val="en-US" w:eastAsia="zh-CN" w:bidi="ar-SA"/>
        </w:rPr>
        <w:t>7</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zh-CN" w:eastAsia="zh-CN"/>
        </w:rPr>
        <w:t>电气、电讯安全防范措施</w:t>
      </w:r>
      <w:bookmarkEnd w:id="107"/>
    </w:p>
    <w:p w14:paraId="5CF9BFE6">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① 企业应按《爆炸和火灾危险环境电力装置设计规范》（GB50058）的要求，根据燃、爆介质的类、级、组和火灾爆炸危险场所的类、级、范围、配置相应符合国家标准规定的防爆等级电气设备。</w:t>
      </w:r>
    </w:p>
    <w:p w14:paraId="0E1AB4AE">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② 电气设备通风系统的进气不应含有爆炸危险物质或其他有害物质，废气不应排入爆炸危险环境，通风系统必须用非燃烧型材料制成。</w:t>
      </w:r>
    </w:p>
    <w:p w14:paraId="4C9E9767">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③ 在爆炸和火灾危险场所应严格按照环境的危险类别或区域配置相应的</w:t>
      </w:r>
      <w:r>
        <w:rPr>
          <w:rFonts w:hint="default" w:ascii="Times New Roman" w:hAnsi="Times New Roman" w:cs="Times New Roman"/>
          <w:color w:val="auto"/>
          <w:sz w:val="24"/>
          <w:szCs w:val="24"/>
          <w:highlight w:val="none"/>
          <w:lang w:val="zh-CN" w:eastAsia="zh-CN"/>
        </w:rPr>
        <w:t>电气设备</w:t>
      </w:r>
      <w:r>
        <w:rPr>
          <w:rFonts w:hint="default" w:ascii="Times New Roman" w:hAnsi="Times New Roman" w:eastAsia="宋体" w:cs="Times New Roman"/>
          <w:color w:val="auto"/>
          <w:sz w:val="24"/>
          <w:szCs w:val="24"/>
          <w:highlight w:val="none"/>
          <w:lang w:val="zh-CN" w:eastAsia="zh-CN"/>
        </w:rPr>
        <w:t>和灯具。</w:t>
      </w:r>
    </w:p>
    <w:p w14:paraId="2D77F2D2">
      <w:pPr>
        <w:pStyle w:val="3"/>
        <w:pageBreakBefore w:val="0"/>
        <w:widowControl w:val="0"/>
        <w:numPr>
          <w:ilvl w:val="1"/>
          <w:numId w:val="0"/>
        </w:numPr>
        <w:kinsoku/>
        <w:wordWrap/>
        <w:overflowPunct/>
        <w:topLinePunct w:val="0"/>
        <w:autoSpaceDE/>
        <w:autoSpaceDN/>
        <w:bidi w:val="0"/>
        <w:adjustRightInd w:val="0"/>
        <w:snapToGrid w:val="0"/>
        <w:spacing w:beforeLines="0" w:afterLines="0" w:line="360" w:lineRule="auto"/>
        <w:ind w:left="0" w:leftChars="0" w:firstLine="0" w:firstLineChars="0"/>
        <w:textAlignment w:val="auto"/>
        <w:outlineLvl w:val="1"/>
        <w:rPr>
          <w:rFonts w:hint="default" w:ascii="Times New Roman" w:hAnsi="Times New Roman" w:eastAsia="宋体" w:cs="Times New Roman"/>
          <w:color w:val="auto"/>
          <w:sz w:val="24"/>
          <w:szCs w:val="24"/>
          <w:highlight w:val="none"/>
          <w:lang w:val="zh-CN" w:eastAsia="zh-CN"/>
        </w:rPr>
      </w:pPr>
      <w:bookmarkStart w:id="108" w:name="_Toc11170"/>
      <w:r>
        <w:rPr>
          <w:rFonts w:hint="default" w:ascii="Times New Roman" w:hAnsi="Times New Roman" w:eastAsia="宋体" w:cs="Times New Roman"/>
          <w:b/>
          <w:bCs/>
          <w:color w:val="auto"/>
          <w:kern w:val="2"/>
          <w:sz w:val="24"/>
          <w:szCs w:val="24"/>
          <w:highlight w:val="none"/>
          <w:lang w:val="en-US" w:eastAsia="zh-CN" w:bidi="ar-SA"/>
        </w:rPr>
        <w:t>7</w:t>
      </w:r>
      <w:r>
        <w:rPr>
          <w:rFonts w:hint="default"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lang w:val="zh-CN" w:eastAsia="zh-CN"/>
        </w:rPr>
        <w:t>应急设施及物资</w:t>
      </w:r>
      <w:bookmarkEnd w:id="108"/>
    </w:p>
    <w:p w14:paraId="7D3126BA">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zh-CN" w:eastAsia="zh-CN"/>
        </w:rPr>
        <w:t>根据《建筑设计防火规范》（50016-2006）等国家相关规定，在厂区内设置独立的消防给水、泡沫消防系统。消防水系统采用管网环状布置、固定式消防冷却喷淋，管网上设消火栓及消防水炮。配制泡沫用水管道和冷却用水管道连通，以保证泡沫混合装置的供水安全。</w:t>
      </w:r>
    </w:p>
    <w:p w14:paraId="3BD9B33C">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罐区周围及各附属建筑物内配置一定数量的推车式和手提式干粉灭火器，以扑灭初起零星火灾。库区内的办公楼、中心控制室、配电间、中心化验室等辅助房间均配置有小型灭火器材，扑救小型火灾，较大的火灾可用库区内的消防栓、箱式消火栓、手推消防车等移动消防设备进行灭火。</w:t>
      </w:r>
    </w:p>
    <w:p w14:paraId="2EDB2B63">
      <w:pPr>
        <w:pStyle w:val="3"/>
        <w:pageBreakBefore w:val="0"/>
        <w:widowControl w:val="0"/>
        <w:numPr>
          <w:ilvl w:val="1"/>
          <w:numId w:val="0"/>
        </w:numPr>
        <w:kinsoku/>
        <w:wordWrap/>
        <w:overflowPunct/>
        <w:topLinePunct w:val="0"/>
        <w:autoSpaceDE/>
        <w:autoSpaceDN/>
        <w:bidi w:val="0"/>
        <w:adjustRightInd w:val="0"/>
        <w:snapToGrid w:val="0"/>
        <w:spacing w:beforeLines="0" w:afterLines="0" w:line="360" w:lineRule="auto"/>
        <w:ind w:left="0" w:leftChars="0" w:firstLine="0" w:firstLineChars="0"/>
        <w:textAlignment w:val="auto"/>
        <w:outlineLvl w:val="1"/>
        <w:rPr>
          <w:rFonts w:hint="default" w:ascii="Times New Roman" w:hAnsi="Times New Roman" w:eastAsia="宋体" w:cs="Times New Roman"/>
          <w:color w:val="auto"/>
          <w:sz w:val="24"/>
          <w:szCs w:val="24"/>
          <w:highlight w:val="none"/>
          <w:lang w:val="zh-CN" w:eastAsia="zh-CN"/>
        </w:rPr>
      </w:pPr>
      <w:bookmarkStart w:id="109" w:name="_Toc30951"/>
      <w:r>
        <w:rPr>
          <w:rFonts w:hint="default" w:ascii="Times New Roman" w:hAnsi="Times New Roman" w:eastAsia="宋体" w:cs="Times New Roman"/>
          <w:b/>
          <w:bCs/>
          <w:color w:val="auto"/>
          <w:kern w:val="2"/>
          <w:sz w:val="24"/>
          <w:szCs w:val="24"/>
          <w:highlight w:val="none"/>
          <w:lang w:val="en-US" w:eastAsia="zh-CN" w:bidi="ar-SA"/>
        </w:rPr>
        <w:t>7</w:t>
      </w:r>
      <w:r>
        <w:rPr>
          <w:rFonts w:hint="default"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lang w:val="zh-CN" w:eastAsia="zh-CN"/>
        </w:rPr>
        <w:t>三级防控体系</w:t>
      </w:r>
      <w:bookmarkEnd w:id="109"/>
    </w:p>
    <w:p w14:paraId="20207646">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为避免事故工况下泄漏物料外排对外环境造成恶劣影响，针对项目污染物来源及其特性，以实现达标排放和满足应急处置为原则，建立污染源头、处理过程和最终排放的“三级防控”机制，具体包括：</w:t>
      </w:r>
    </w:p>
    <w:p w14:paraId="7EDA121C">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① 一级污染应急防控</w:t>
      </w:r>
    </w:p>
    <w:p w14:paraId="3127B505">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本项目要求企业在</w:t>
      </w:r>
      <w:r>
        <w:rPr>
          <w:rFonts w:hint="default" w:ascii="Times New Roman" w:hAnsi="Times New Roman" w:eastAsia="宋体" w:cs="Times New Roman"/>
          <w:color w:val="auto"/>
          <w:sz w:val="24"/>
          <w:szCs w:val="24"/>
          <w:highlight w:val="none"/>
          <w:lang w:val="zh-CN"/>
        </w:rPr>
        <w:t>装置和构筑物相关地面</w:t>
      </w:r>
      <w:r>
        <w:rPr>
          <w:rFonts w:hint="default" w:ascii="Times New Roman" w:hAnsi="Times New Roman" w:eastAsia="宋体" w:cs="Times New Roman"/>
          <w:color w:val="auto"/>
          <w:sz w:val="24"/>
          <w:szCs w:val="24"/>
          <w:highlight w:val="none"/>
          <w:lang w:val="zh-CN" w:eastAsia="zh-CN"/>
        </w:rPr>
        <w:t>按照相应规范要求设置围堰，</w:t>
      </w:r>
      <w:r>
        <w:rPr>
          <w:rFonts w:hint="default" w:ascii="Times New Roman" w:hAnsi="Times New Roman" w:eastAsia="宋体" w:cs="Times New Roman"/>
          <w:color w:val="auto"/>
          <w:sz w:val="24"/>
          <w:szCs w:val="24"/>
          <w:highlight w:val="none"/>
          <w:lang w:val="zh-CN"/>
        </w:rPr>
        <w:t>围堰高度不低于</w:t>
      </w:r>
      <w:r>
        <w:rPr>
          <w:rFonts w:hint="default"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lang w:val="zh-CN"/>
        </w:rPr>
        <w:t>0cm，</w:t>
      </w:r>
      <w:r>
        <w:rPr>
          <w:rFonts w:hint="default" w:ascii="Times New Roman" w:hAnsi="Times New Roman" w:eastAsia="宋体" w:cs="Times New Roman"/>
          <w:color w:val="auto"/>
          <w:sz w:val="24"/>
          <w:szCs w:val="24"/>
          <w:highlight w:val="none"/>
          <w:lang w:val="zh-CN" w:eastAsia="zh-CN"/>
        </w:rPr>
        <w:t>构筑生产过程中环境安全的第一层防控网，当发生少量物料泄漏时可以将泄漏的物料控制在围堤内。</w:t>
      </w:r>
      <w:r>
        <w:rPr>
          <w:rFonts w:hint="default" w:ascii="Times New Roman" w:hAnsi="Times New Roman" w:eastAsia="宋体" w:cs="Times New Roman"/>
          <w:color w:val="auto"/>
          <w:sz w:val="24"/>
          <w:szCs w:val="24"/>
          <w:highlight w:val="none"/>
          <w:lang w:val="zh-CN"/>
        </w:rPr>
        <w:t>在围堰周围设立排水沟，在排口设立正常排放和事故排放切换闸门，将含污染物的事故消防水切换至事故状态收集系统。</w:t>
      </w:r>
    </w:p>
    <w:p w14:paraId="0075C05C">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② 二级污染应急防控</w:t>
      </w:r>
    </w:p>
    <w:p w14:paraId="196783F1">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二级防控将污染物控制在事故池。事故消防水收集系统收集的</w:t>
      </w:r>
      <w:r>
        <w:rPr>
          <w:rFonts w:hint="default" w:ascii="Times New Roman" w:hAnsi="Times New Roman" w:cs="Times New Roman"/>
          <w:color w:val="auto"/>
          <w:sz w:val="24"/>
          <w:szCs w:val="24"/>
          <w:highlight w:val="none"/>
          <w:lang w:val="zh-CN" w:eastAsia="zh-CN"/>
        </w:rPr>
        <w:t>高浓度</w:t>
      </w:r>
      <w:r>
        <w:rPr>
          <w:rFonts w:hint="default" w:ascii="Times New Roman" w:hAnsi="Times New Roman" w:eastAsia="宋体" w:cs="Times New Roman"/>
          <w:color w:val="auto"/>
          <w:sz w:val="24"/>
          <w:szCs w:val="24"/>
          <w:highlight w:val="none"/>
          <w:lang w:val="zh-CN" w:eastAsia="zh-CN"/>
        </w:rPr>
        <w:t>废水排至事故池。本项目各装置的主要设备、储罐、管线均设有安全阀，出现一般性事故时，安全阀自动启跳泄压，通过管网排入事故系统。</w:t>
      </w:r>
    </w:p>
    <w:p w14:paraId="208AD254">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rPr>
      </w:pPr>
      <w:r>
        <w:rPr>
          <w:rFonts w:hint="default" w:ascii="Times New Roman" w:hAnsi="Times New Roman" w:eastAsia="宋体" w:cs="Times New Roman"/>
          <w:color w:val="auto"/>
          <w:sz w:val="24"/>
          <w:szCs w:val="24"/>
          <w:highlight w:val="none"/>
          <w:lang w:val="zh-CN"/>
        </w:rPr>
        <w:t>本评价要求：应急事故水池地下式设置，以有利于收集各类废水排水，并防止应急水到处漫流。当自流进入的事故池容积不能满足事故排水储存容量要求时，可通过事故池内配套的加压泵，将其排入</w:t>
      </w:r>
      <w:r>
        <w:rPr>
          <w:rFonts w:hint="default" w:ascii="Times New Roman" w:hAnsi="Times New Roman" w:cs="Times New Roman"/>
          <w:color w:val="auto"/>
          <w:sz w:val="24"/>
          <w:szCs w:val="24"/>
          <w:highlight w:val="none"/>
          <w:lang w:val="zh-CN"/>
        </w:rPr>
        <w:t>其他</w:t>
      </w:r>
      <w:r>
        <w:rPr>
          <w:rFonts w:hint="default" w:ascii="Times New Roman" w:hAnsi="Times New Roman" w:eastAsia="宋体" w:cs="Times New Roman"/>
          <w:color w:val="auto"/>
          <w:sz w:val="24"/>
          <w:szCs w:val="24"/>
          <w:highlight w:val="none"/>
          <w:lang w:val="zh-CN"/>
        </w:rPr>
        <w:t>储存设施中暂存。</w:t>
      </w:r>
    </w:p>
    <w:p w14:paraId="0C5D0639">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rPr>
      </w:pPr>
      <w:r>
        <w:rPr>
          <w:rFonts w:hint="default" w:ascii="Times New Roman" w:hAnsi="Times New Roman" w:eastAsia="宋体" w:cs="Times New Roman"/>
          <w:color w:val="auto"/>
          <w:sz w:val="24"/>
          <w:szCs w:val="24"/>
          <w:highlight w:val="none"/>
          <w:lang w:val="zh-CN"/>
        </w:rPr>
        <w:t>事故结束后，应对排入应急事故水池的废水，进行必要的监测，并视其水质情况区别对待，以免造成不必要的处理消耗或水资源浪费。可采取的处置措施如下：能够回用的应回用；对不符合回用要求，但符合排放标准的废水，可直接排放；对不符合污水处理厂进水要求的高浓度废液，应暂存并委外安全处置，外送时必须按照环保部门的有关规定执行，不得出现乱倒现象。</w:t>
      </w:r>
    </w:p>
    <w:p w14:paraId="435281EF">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③三级污染应急防控</w:t>
      </w:r>
    </w:p>
    <w:p w14:paraId="1A2747D1">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在厂区内集、排水系统管网中设置排污闸板。在厂区排水系统总排放口设置排污闸板，防止事故废水未经处理排入</w:t>
      </w:r>
      <w:r>
        <w:rPr>
          <w:rFonts w:hint="default" w:ascii="Times New Roman" w:hAnsi="Times New Roman" w:eastAsia="宋体" w:cs="Times New Roman"/>
          <w:color w:val="auto"/>
          <w:sz w:val="24"/>
          <w:szCs w:val="24"/>
          <w:highlight w:val="none"/>
          <w:lang w:val="en-US" w:eastAsia="zh-CN"/>
        </w:rPr>
        <w:t>明水经济开发区污水处理厂</w:t>
      </w:r>
      <w:r>
        <w:rPr>
          <w:rFonts w:hint="default" w:ascii="Times New Roman" w:hAnsi="Times New Roman" w:eastAsia="宋体" w:cs="Times New Roman"/>
          <w:color w:val="auto"/>
          <w:sz w:val="24"/>
          <w:szCs w:val="24"/>
          <w:highlight w:val="none"/>
          <w:lang w:val="zh-CN" w:eastAsia="zh-CN"/>
        </w:rPr>
        <w:t>而对其造成冲击负荷。当发生原料泄漏或火灾事故产生消防废水后能及时关闭雨水阀门同时开启污水阀门，保证事故废水能及时导入事故池，防止有毒物质或消防废水通过雨水管网排入外环境。本项目事故池可同时存储风险状况下本项目消防废水、储罐泄漏物料、泄漏废水、初期雨水等。总之，通过三级防控措施，确保事故状态下将污染控制在厂区内。</w:t>
      </w:r>
    </w:p>
    <w:p w14:paraId="4E675737">
      <w:pPr>
        <w:pStyle w:val="3"/>
        <w:pageBreakBefore w:val="0"/>
        <w:widowControl w:val="0"/>
        <w:numPr>
          <w:ilvl w:val="1"/>
          <w:numId w:val="0"/>
        </w:numPr>
        <w:kinsoku/>
        <w:wordWrap/>
        <w:overflowPunct/>
        <w:topLinePunct w:val="0"/>
        <w:autoSpaceDE/>
        <w:autoSpaceDN/>
        <w:bidi w:val="0"/>
        <w:adjustRightInd w:val="0"/>
        <w:snapToGrid w:val="0"/>
        <w:spacing w:beforeLines="0" w:afterLines="0" w:line="360" w:lineRule="auto"/>
        <w:ind w:left="0" w:leftChars="0" w:firstLine="0" w:firstLineChars="0"/>
        <w:textAlignment w:val="auto"/>
        <w:outlineLvl w:val="1"/>
        <w:rPr>
          <w:rFonts w:hint="default" w:ascii="Times New Roman" w:hAnsi="Times New Roman" w:eastAsia="宋体" w:cs="Times New Roman"/>
          <w:color w:val="auto"/>
          <w:sz w:val="24"/>
          <w:szCs w:val="24"/>
          <w:highlight w:val="none"/>
          <w:lang w:val="zh-CN" w:eastAsia="zh-CN"/>
        </w:rPr>
      </w:pPr>
      <w:bookmarkStart w:id="110" w:name="_Toc29515"/>
      <w:r>
        <w:rPr>
          <w:rFonts w:hint="default" w:ascii="Times New Roman" w:hAnsi="Times New Roman" w:eastAsia="宋体" w:cs="Times New Roman"/>
          <w:b/>
          <w:bCs/>
          <w:color w:val="auto"/>
          <w:kern w:val="2"/>
          <w:sz w:val="24"/>
          <w:szCs w:val="24"/>
          <w:highlight w:val="none"/>
          <w:lang w:val="en-US" w:eastAsia="zh-CN" w:bidi="ar-SA"/>
        </w:rPr>
        <w:t>7</w:t>
      </w:r>
      <w:r>
        <w:rPr>
          <w:rFonts w:hint="default"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lang w:val="zh-CN" w:eastAsia="zh-CN"/>
        </w:rPr>
        <w:t>地下水环境风险防范措施</w:t>
      </w:r>
      <w:bookmarkEnd w:id="110"/>
    </w:p>
    <w:p w14:paraId="3BDDD6EE">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rPr>
      </w:pPr>
      <w:r>
        <w:rPr>
          <w:rFonts w:hint="default" w:ascii="Times New Roman" w:hAnsi="Times New Roman" w:eastAsia="宋体" w:cs="Times New Roman"/>
          <w:color w:val="auto"/>
          <w:sz w:val="24"/>
          <w:szCs w:val="24"/>
          <w:highlight w:val="none"/>
          <w:lang w:val="zh-CN" w:eastAsia="zh-CN"/>
        </w:rPr>
        <w:t xml:space="preserve"> </w:t>
      </w:r>
      <w:r>
        <w:rPr>
          <w:rFonts w:hint="default" w:ascii="Times New Roman" w:hAnsi="Times New Roman" w:eastAsia="宋体" w:cs="Times New Roman"/>
          <w:color w:val="auto"/>
          <w:sz w:val="24"/>
          <w:szCs w:val="24"/>
          <w:highlight w:val="none"/>
          <w:lang w:val="zh-CN" w:eastAsia="zh-CN"/>
        </w:rPr>
        <w:fldChar w:fldCharType="begin"/>
      </w:r>
      <w:r>
        <w:rPr>
          <w:rFonts w:hint="default" w:ascii="Times New Roman" w:hAnsi="Times New Roman" w:eastAsia="宋体" w:cs="Times New Roman"/>
          <w:color w:val="auto"/>
          <w:sz w:val="24"/>
          <w:szCs w:val="24"/>
          <w:highlight w:val="none"/>
          <w:lang w:val="zh-CN" w:eastAsia="zh-CN"/>
        </w:rPr>
        <w:instrText xml:space="preserve"> = 1 \* GB3 \* MERGEFORMAT </w:instrText>
      </w:r>
      <w:r>
        <w:rPr>
          <w:rFonts w:hint="default" w:ascii="Times New Roman" w:hAnsi="Times New Roman" w:eastAsia="宋体" w:cs="Times New Roman"/>
          <w:color w:val="auto"/>
          <w:sz w:val="24"/>
          <w:szCs w:val="24"/>
          <w:highlight w:val="none"/>
          <w:lang w:val="zh-CN" w:eastAsia="zh-CN"/>
        </w:rPr>
        <w:fldChar w:fldCharType="separate"/>
      </w:r>
      <w:r>
        <w:rPr>
          <w:rFonts w:hint="default" w:ascii="Times New Roman" w:hAnsi="Times New Roman" w:eastAsia="宋体" w:cs="Times New Roman"/>
          <w:color w:val="auto"/>
          <w:sz w:val="24"/>
          <w:szCs w:val="24"/>
          <w:highlight w:val="none"/>
          <w:lang w:val="zh-CN" w:eastAsia="zh-CN"/>
        </w:rPr>
        <w:t>①</w:t>
      </w:r>
      <w:r>
        <w:rPr>
          <w:rFonts w:hint="default" w:ascii="Times New Roman" w:hAnsi="Times New Roman" w:eastAsia="宋体" w:cs="Times New Roman"/>
          <w:color w:val="auto"/>
          <w:sz w:val="24"/>
          <w:szCs w:val="24"/>
          <w:highlight w:val="none"/>
          <w:lang w:val="zh-CN" w:eastAsia="zh-CN"/>
        </w:rPr>
        <w:fldChar w:fldCharType="end"/>
      </w:r>
      <w:r>
        <w:rPr>
          <w:rFonts w:hint="default" w:ascii="Times New Roman" w:hAnsi="Times New Roman" w:eastAsia="宋体" w:cs="Times New Roman"/>
          <w:color w:val="auto"/>
          <w:sz w:val="24"/>
          <w:szCs w:val="24"/>
          <w:highlight w:val="none"/>
          <w:lang w:val="zh-CN" w:eastAsia="zh-CN"/>
        </w:rPr>
        <w:t>本项目通过建立完善的生产废水、雨水、事故消防废水等切换、排放系统，</w:t>
      </w:r>
      <w:r>
        <w:rPr>
          <w:rFonts w:hint="default" w:ascii="Times New Roman" w:hAnsi="Times New Roman" w:eastAsia="宋体" w:cs="Times New Roman"/>
          <w:color w:val="auto"/>
          <w:sz w:val="24"/>
          <w:szCs w:val="24"/>
          <w:highlight w:val="none"/>
          <w:lang w:val="zh-CN"/>
        </w:rPr>
        <w:t>分级把关，并对厂区地下水污染防治采取分区防控措施，从源头上防止了事故污水向地下水环境转移。</w:t>
      </w:r>
    </w:p>
    <w:p w14:paraId="5F2CC080">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zh-CN" w:eastAsia="zh-CN"/>
        </w:rPr>
        <w:t>②本项目事故废水控制在厂区内</w:t>
      </w:r>
      <w:r>
        <w:rPr>
          <w:rFonts w:hint="default" w:ascii="Times New Roman" w:hAnsi="Times New Roman" w:eastAsia="宋体" w:cs="Times New Roman"/>
          <w:color w:val="auto"/>
          <w:sz w:val="24"/>
          <w:szCs w:val="24"/>
          <w:highlight w:val="none"/>
          <w:lang w:val="en-US" w:eastAsia="zh-CN"/>
        </w:rPr>
        <w:t>事故池内，不会对周边环境造成影响。</w:t>
      </w:r>
    </w:p>
    <w:p w14:paraId="0FEF547E">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③一旦事故液体污染物进入陆域环境，采取构筑围堤、挖坑收容或分层拦截等措施，把液体污染物拦截住，并用抽吸软管移除液体污染物，或用防爆泵转移至槽车或专用收集器内，回收或运至废物处理场处置；少量液体污染物可用防爆泵送至污水管网，由污水站处理。迅速将被污染的土地收集，转移到安全地方，并进一步对污染陆域环境</w:t>
      </w:r>
      <w:r>
        <w:rPr>
          <w:rFonts w:hint="default" w:ascii="Times New Roman" w:hAnsi="Times New Roman" w:cs="Times New Roman"/>
          <w:color w:val="auto"/>
          <w:sz w:val="24"/>
          <w:szCs w:val="24"/>
          <w:highlight w:val="none"/>
          <w:lang w:val="zh-CN" w:eastAsia="zh-CN"/>
        </w:rPr>
        <w:t>做</w:t>
      </w:r>
      <w:r>
        <w:rPr>
          <w:rFonts w:hint="default" w:ascii="Times New Roman" w:hAnsi="Times New Roman" w:eastAsia="宋体" w:cs="Times New Roman"/>
          <w:color w:val="auto"/>
          <w:sz w:val="24"/>
          <w:szCs w:val="24"/>
          <w:highlight w:val="none"/>
          <w:lang w:val="zh-CN" w:eastAsia="zh-CN"/>
        </w:rPr>
        <w:t>降解消除污染物处置。</w:t>
      </w:r>
    </w:p>
    <w:p w14:paraId="6F7E097E">
      <w:pPr>
        <w:pStyle w:val="3"/>
        <w:pageBreakBefore w:val="0"/>
        <w:widowControl w:val="0"/>
        <w:numPr>
          <w:ilvl w:val="1"/>
          <w:numId w:val="0"/>
        </w:numPr>
        <w:kinsoku/>
        <w:wordWrap/>
        <w:overflowPunct/>
        <w:topLinePunct w:val="0"/>
        <w:autoSpaceDE/>
        <w:autoSpaceDN/>
        <w:bidi w:val="0"/>
        <w:adjustRightInd w:val="0"/>
        <w:snapToGrid w:val="0"/>
        <w:spacing w:beforeLines="0" w:afterLines="0" w:line="360" w:lineRule="auto"/>
        <w:ind w:left="0" w:leftChars="0" w:firstLine="0" w:firstLineChars="0"/>
        <w:textAlignment w:val="auto"/>
        <w:outlineLvl w:val="1"/>
        <w:rPr>
          <w:rFonts w:hint="default" w:ascii="Times New Roman" w:hAnsi="Times New Roman" w:eastAsia="宋体" w:cs="Times New Roman"/>
          <w:color w:val="auto"/>
          <w:sz w:val="24"/>
          <w:szCs w:val="24"/>
          <w:highlight w:val="none"/>
          <w:lang w:val="zh-CN" w:eastAsia="zh-CN"/>
        </w:rPr>
      </w:pPr>
      <w:bookmarkStart w:id="111" w:name="_Toc32317"/>
      <w:r>
        <w:rPr>
          <w:rFonts w:hint="default" w:ascii="Times New Roman" w:hAnsi="Times New Roman" w:eastAsia="宋体" w:cs="Times New Roman"/>
          <w:b/>
          <w:bCs/>
          <w:color w:val="auto"/>
          <w:kern w:val="2"/>
          <w:sz w:val="24"/>
          <w:szCs w:val="24"/>
          <w:highlight w:val="none"/>
          <w:lang w:val="en-US" w:eastAsia="zh-CN" w:bidi="ar-SA"/>
        </w:rPr>
        <w:t>7</w:t>
      </w:r>
      <w:r>
        <w:rPr>
          <w:rFonts w:hint="default" w:ascii="Times New Roman" w:hAnsi="Times New Roman" w:eastAsia="宋体"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lang w:val="zh-CN" w:eastAsia="zh-CN"/>
        </w:rPr>
        <w:t>应急疏散通道及安全区</w:t>
      </w:r>
      <w:bookmarkEnd w:id="111"/>
    </w:p>
    <w:p w14:paraId="04877098">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根据工厂实际情况，制定了事故状态下的紧急疏散程序，如下：</w:t>
      </w:r>
    </w:p>
    <w:p w14:paraId="68B5DA3D">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 集合地点：工厂紧急疏散后的紧急避难所（集合地点）设置在厂区大门前的空地上。</w:t>
      </w:r>
    </w:p>
    <w:p w14:paraId="0FD35FD5">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 疏散路线：办公楼人员从就近的紧急出口撤离至指定紧急避难场所；生产区人员从就近的紧急出口撤离至指定紧急避难场所。</w:t>
      </w:r>
    </w:p>
    <w:p w14:paraId="02257C2F">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③ 人数清点：人员撤离至指定的紧急避难所后，由指定的人员在集合地点进行人数的清点，如有人员缺少，及时组织业余消防队员进行搜救工作。并将情况上报公司总经理。</w:t>
      </w:r>
    </w:p>
    <w:p w14:paraId="06D057DF">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在解除警报前，所有人员千万不要离开集合地点，以免为了寻找某人产生不必要的危险。所有部门按部门为单位列队集合，便于清点。</w:t>
      </w:r>
    </w:p>
    <w:p w14:paraId="3BB9A01A">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④警报解除：总经理在根据事故现场的处理和发展情况，并征得“事故应急救援指挥领导小组”相关人员的意见后，在保证人员安全的情况下宣布解除警报，疏散员工回到各自工作岗位恢复工作。</w:t>
      </w:r>
    </w:p>
    <w:p w14:paraId="2DE06F3A">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企业应定期组织应急事故状态演练，确保事故状态下厂区人员安全。</w:t>
      </w:r>
    </w:p>
    <w:p w14:paraId="6813E965">
      <w:pPr>
        <w:pStyle w:val="87"/>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本项目应急疏散通道示意图、紧急隔离及疏散范围示意见下图。</w:t>
      </w:r>
    </w:p>
    <w:p w14:paraId="76CD742F">
      <w:pPr>
        <w:pStyle w:val="87"/>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drawing>
          <wp:inline distT="0" distB="0" distL="114300" distR="114300">
            <wp:extent cx="5267960" cy="3526155"/>
            <wp:effectExtent l="0" t="0" r="8890" b="17145"/>
            <wp:docPr id="20" name="图片 20" descr="平面布置图原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平面布置图原件_02"/>
                    <pic:cNvPicPr>
                      <a:picLocks noChangeAspect="1"/>
                    </pic:cNvPicPr>
                  </pic:nvPicPr>
                  <pic:blipFill>
                    <a:blip r:embed="rId84"/>
                    <a:stretch>
                      <a:fillRect/>
                    </a:stretch>
                  </pic:blipFill>
                  <pic:spPr>
                    <a:xfrm>
                      <a:off x="0" y="0"/>
                      <a:ext cx="5267960" cy="3526155"/>
                    </a:xfrm>
                    <a:prstGeom prst="rect">
                      <a:avLst/>
                    </a:prstGeom>
                  </pic:spPr>
                </pic:pic>
              </a:graphicData>
            </a:graphic>
          </wp:inline>
        </w:drawing>
      </w:r>
    </w:p>
    <w:p w14:paraId="0ABCD7C4">
      <w:pPr>
        <w:pStyle w:val="83"/>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图7-1 应急疏散通道示意图</w:t>
      </w:r>
    </w:p>
    <w:p w14:paraId="31B8D324">
      <w:pPr>
        <w:pStyle w:val="83"/>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drawing>
          <wp:inline distT="0" distB="0" distL="114300" distR="114300">
            <wp:extent cx="4046855" cy="3925570"/>
            <wp:effectExtent l="9525" t="9525" r="20320" b="27305"/>
            <wp:docPr id="20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1"/>
                    <pic:cNvPicPr>
                      <a:picLocks noChangeAspect="1"/>
                    </pic:cNvPicPr>
                  </pic:nvPicPr>
                  <pic:blipFill>
                    <a:blip r:embed="rId85"/>
                    <a:stretch>
                      <a:fillRect/>
                    </a:stretch>
                  </pic:blipFill>
                  <pic:spPr>
                    <a:xfrm>
                      <a:off x="0" y="0"/>
                      <a:ext cx="4046855" cy="3925570"/>
                    </a:xfrm>
                    <a:prstGeom prst="rect">
                      <a:avLst/>
                    </a:prstGeom>
                    <a:noFill/>
                    <a:ln w="6350" cap="flat" cmpd="sng">
                      <a:solidFill>
                        <a:srgbClr val="000000"/>
                      </a:solidFill>
                      <a:prstDash val="solid"/>
                      <a:round/>
                      <a:headEnd type="none" w="med" len="med"/>
                      <a:tailEnd type="none" w="med" len="med"/>
                    </a:ln>
                  </pic:spPr>
                </pic:pic>
              </a:graphicData>
            </a:graphic>
          </wp:inline>
        </w:drawing>
      </w:r>
    </w:p>
    <w:p w14:paraId="76DE9526">
      <w:pPr>
        <w:pStyle w:val="83"/>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图7-2 紧急疏散俯视范围示意图</w:t>
      </w:r>
    </w:p>
    <w:p w14:paraId="69D22295">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疏散示意图说明：根据物料的泄漏量确定紧急隔离半径（R）和下风向疏散距离（L），以泄漏源为原点，R为半径的区域为紧急隔离区，L为半径的区域为泄漏最大影响范围。</w:t>
      </w:r>
    </w:p>
    <w:p w14:paraId="5F16F6C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疏散区域的确定：以下风向为正X轴，与X轴垂直方向为Y轴，与X轴成 30°角的直线和疏散界在下风向相交，确定两点（A、B），沿Y轴方向，长度为R确定两点（C、D），则A、B、C、D 包含的面积即为疏散区域。</w:t>
      </w:r>
    </w:p>
    <w:p w14:paraId="0E5E6F08">
      <w:pPr>
        <w:pStyle w:val="3"/>
        <w:pageBreakBefore w:val="0"/>
        <w:numPr>
          <w:ilvl w:val="1"/>
          <w:numId w:val="0"/>
        </w:numPr>
        <w:kinsoku/>
        <w:wordWrap/>
        <w:overflowPunct/>
        <w:topLinePunct w:val="0"/>
        <w:autoSpaceDE/>
        <w:autoSpaceDN/>
        <w:bidi w:val="0"/>
        <w:adjustRightInd w:val="0"/>
        <w:snapToGrid w:val="0"/>
        <w:spacing w:beforeLines="0" w:afterLines="0" w:line="360" w:lineRule="auto"/>
        <w:ind w:left="0" w:leftChars="0" w:firstLine="0" w:firstLineChars="0"/>
        <w:textAlignment w:val="auto"/>
        <w:outlineLvl w:val="1"/>
        <w:rPr>
          <w:rFonts w:hint="default" w:ascii="Times New Roman" w:hAnsi="Times New Roman" w:eastAsia="宋体" w:cs="Times New Roman"/>
          <w:color w:val="auto"/>
          <w:sz w:val="24"/>
          <w:szCs w:val="24"/>
          <w:highlight w:val="none"/>
          <w:lang w:val="zh-CN" w:eastAsia="zh-CN"/>
        </w:rPr>
      </w:pPr>
      <w:bookmarkStart w:id="112" w:name="_Toc19706"/>
      <w:r>
        <w:rPr>
          <w:rFonts w:hint="default" w:ascii="Times New Roman" w:hAnsi="Times New Roman" w:eastAsia="宋体" w:cs="Times New Roman"/>
          <w:b/>
          <w:bCs/>
          <w:color w:val="auto"/>
          <w:kern w:val="2"/>
          <w:sz w:val="24"/>
          <w:szCs w:val="24"/>
          <w:highlight w:val="none"/>
          <w:lang w:val="en-US" w:eastAsia="zh-CN" w:bidi="ar-SA"/>
        </w:rPr>
        <w:t>7</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lang w:val="zh-CN" w:eastAsia="zh-CN"/>
        </w:rPr>
        <w:t>应急救援管理</w:t>
      </w:r>
      <w:bookmarkEnd w:id="112"/>
    </w:p>
    <w:p w14:paraId="35433F77">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zh-CN" w:eastAsia="zh-CN"/>
        </w:rPr>
        <w:t xml:space="preserve"> </w:t>
      </w:r>
      <w:r>
        <w:rPr>
          <w:rFonts w:hint="default" w:ascii="Times New Roman" w:hAnsi="Times New Roman" w:eastAsia="宋体" w:cs="Times New Roman"/>
          <w:color w:val="auto"/>
          <w:sz w:val="24"/>
          <w:szCs w:val="24"/>
          <w:highlight w:val="none"/>
          <w:lang w:val="zh-CN" w:eastAsia="zh-CN"/>
        </w:rPr>
        <w:fldChar w:fldCharType="begin"/>
      </w:r>
      <w:r>
        <w:rPr>
          <w:rFonts w:hint="default" w:ascii="Times New Roman" w:hAnsi="Times New Roman" w:eastAsia="宋体" w:cs="Times New Roman"/>
          <w:color w:val="auto"/>
          <w:sz w:val="24"/>
          <w:szCs w:val="24"/>
          <w:highlight w:val="none"/>
          <w:lang w:val="zh-CN" w:eastAsia="zh-CN"/>
        </w:rPr>
        <w:instrText xml:space="preserve"> = 1 \* GB3 \* MERGEFORMAT </w:instrText>
      </w:r>
      <w:r>
        <w:rPr>
          <w:rFonts w:hint="default" w:ascii="Times New Roman" w:hAnsi="Times New Roman" w:eastAsia="宋体" w:cs="Times New Roman"/>
          <w:color w:val="auto"/>
          <w:sz w:val="24"/>
          <w:szCs w:val="24"/>
          <w:highlight w:val="none"/>
          <w:lang w:val="zh-CN" w:eastAsia="zh-CN"/>
        </w:rPr>
        <w:fldChar w:fldCharType="separate"/>
      </w:r>
      <w:r>
        <w:rPr>
          <w:rFonts w:hint="default" w:ascii="Times New Roman" w:hAnsi="Times New Roman" w:eastAsia="宋体" w:cs="Times New Roman"/>
          <w:color w:val="auto"/>
          <w:sz w:val="24"/>
          <w:szCs w:val="24"/>
          <w:highlight w:val="none"/>
          <w:lang w:val="zh-CN" w:eastAsia="zh-CN"/>
        </w:rPr>
        <w:t>①</w:t>
      </w:r>
      <w:r>
        <w:rPr>
          <w:rFonts w:hint="default" w:ascii="Times New Roman" w:hAnsi="Times New Roman" w:eastAsia="宋体" w:cs="Times New Roman"/>
          <w:color w:val="auto"/>
          <w:sz w:val="24"/>
          <w:szCs w:val="24"/>
          <w:highlight w:val="none"/>
          <w:lang w:val="zh-CN" w:eastAsia="zh-CN"/>
        </w:rPr>
        <w:fldChar w:fldCharType="end"/>
      </w:r>
      <w:r>
        <w:rPr>
          <w:rFonts w:hint="default" w:ascii="Times New Roman" w:hAnsi="Times New Roman" w:eastAsia="宋体" w:cs="Times New Roman"/>
          <w:color w:val="auto"/>
          <w:sz w:val="24"/>
          <w:szCs w:val="24"/>
          <w:highlight w:val="none"/>
          <w:lang w:val="en-US" w:eastAsia="zh-CN"/>
        </w:rPr>
        <w:t>应急救援队伍</w:t>
      </w:r>
    </w:p>
    <w:p w14:paraId="221A91CA">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公司应成立化学事故应急救援指挥领导小组，由公司总经理及安环部、生产部、保卫科等部门的有关领导和人员组成。下设应急救援办公室（调度室），发生重大事故时，以总经理为总指挥，负责全公司的应急救援工作。预案中将指挥机构分为总指挥、通讯组、治安保卫组、消防抢救组、避难引导组、医疗救护组、应急机动小组等，并明确了各部分的职责。</w:t>
      </w:r>
    </w:p>
    <w:p w14:paraId="7688ED29">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②报警、通讯联络方式</w:t>
      </w:r>
    </w:p>
    <w:p w14:paraId="0A1D8A87">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对内联络部分以表格形式列出了公司管理层、各职能部门、生产车间等各级领导办公室电话、住宅电话、手机号码等；对外部分涵盖了市政府、安监局、</w:t>
      </w:r>
      <w:r>
        <w:rPr>
          <w:rFonts w:hint="default" w:ascii="Times New Roman" w:hAnsi="Times New Roman" w:eastAsia="宋体" w:cs="Times New Roman"/>
          <w:color w:val="auto"/>
          <w:sz w:val="24"/>
          <w:szCs w:val="24"/>
          <w:highlight w:val="none"/>
          <w:lang w:val="en-US" w:eastAsia="zh-CN"/>
        </w:rPr>
        <w:t>生态环境</w:t>
      </w:r>
      <w:r>
        <w:rPr>
          <w:rFonts w:hint="default" w:ascii="Times New Roman" w:hAnsi="Times New Roman" w:eastAsia="宋体" w:cs="Times New Roman"/>
          <w:color w:val="auto"/>
          <w:sz w:val="24"/>
          <w:szCs w:val="24"/>
          <w:highlight w:val="none"/>
          <w:lang w:val="zh-CN" w:eastAsia="zh-CN"/>
        </w:rPr>
        <w:t>局、消防、急救、省市疾病控制中心等单位的联络方式和电话号码。</w:t>
      </w:r>
    </w:p>
    <w:p w14:paraId="559A77CB">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en-US" w:eastAsia="zh-CN"/>
        </w:rPr>
        <w:t>③</w:t>
      </w:r>
      <w:r>
        <w:rPr>
          <w:rFonts w:hint="default" w:ascii="Times New Roman" w:hAnsi="Times New Roman" w:eastAsia="宋体" w:cs="Times New Roman"/>
          <w:color w:val="auto"/>
          <w:sz w:val="24"/>
          <w:szCs w:val="24"/>
          <w:highlight w:val="none"/>
          <w:lang w:val="zh-CN" w:eastAsia="zh-CN"/>
        </w:rPr>
        <w:t>预防与预警机制</w:t>
      </w:r>
    </w:p>
    <w:p w14:paraId="558CBD5C">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对公司可能涉及风险源，对公司内储罐、生产车间、废气处理设施、危险品仓库等开展经常性的排查，提高排除某种可能事故的针对性和措施的科学性，实现关口前移，采取人防、技防和物防相结合的原则加以监测和控制，以预防事故的发生。</w:t>
      </w:r>
    </w:p>
    <w:p w14:paraId="00B1DA0F">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在发现事故前兆或事故发生后，由总指挥根据突发事件严重性、紧急程度和可能波及的范围及对公众安全威胁的程度，及时发布预警警报。</w:t>
      </w:r>
    </w:p>
    <w:p w14:paraId="336AF307">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④信息上报</w:t>
      </w:r>
    </w:p>
    <w:p w14:paraId="61C41530">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相关机构和领导接到报告后，判断可能造成的后果，决定采取应急措施或启动应急救援预案，报知总指挥，总指挥根据具体情况，在有必要的情况下，告知市有关部门，请求支援。</w:t>
      </w:r>
    </w:p>
    <w:p w14:paraId="635AFE87">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⑤应急响应与措施</w:t>
      </w:r>
    </w:p>
    <w:p w14:paraId="1D385B3B">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zh-CN" w:eastAsia="zh-CN"/>
        </w:rPr>
        <w:t>包括事故现场的先期处置、分级响应条件，以及其他具体事故应急处置措施：人员紧急疏散、撤离、危险区的隔离、事故现场处置、检测抢救及控制措施、受伤人员现场救护、救治与医院救治、现场保护与现场洗消、应急监测、事故应急救援终止条件；本项目应急监测计划见下表</w:t>
      </w:r>
      <w:r>
        <w:rPr>
          <w:rFonts w:hint="default" w:ascii="Times New Roman" w:hAnsi="Times New Roman" w:eastAsia="宋体" w:cs="Times New Roman"/>
          <w:color w:val="auto"/>
          <w:sz w:val="24"/>
          <w:szCs w:val="24"/>
          <w:highlight w:val="none"/>
          <w:lang w:val="en-US" w:eastAsia="zh-CN"/>
        </w:rPr>
        <w:t>。</w:t>
      </w:r>
    </w:p>
    <w:p w14:paraId="1F17EF8E">
      <w:pPr>
        <w:pStyle w:val="24"/>
        <w:keepNext w:val="0"/>
        <w:keepLines w:val="0"/>
        <w:pageBreakBefore w:val="0"/>
        <w:widowControl w:val="0"/>
        <w:kinsoku/>
        <w:wordWrap/>
        <w:overflowPunct/>
        <w:topLinePunct w:val="0"/>
        <w:autoSpaceDE/>
        <w:autoSpaceDN/>
        <w:bidi w:val="0"/>
        <w:adjustRightInd w:val="0"/>
        <w:snapToGrid w:val="0"/>
        <w:spacing w:before="0" w:after="0" w:line="24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表7-1 应急监测计划</w:t>
      </w:r>
    </w:p>
    <w:tbl>
      <w:tblPr>
        <w:tblStyle w:val="30"/>
        <w:tblW w:w="91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24"/>
        <w:gridCol w:w="1294"/>
        <w:gridCol w:w="2042"/>
        <w:gridCol w:w="2965"/>
        <w:gridCol w:w="992"/>
      </w:tblGrid>
      <w:tr w14:paraId="3813C4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24" w:type="dxa"/>
            <w:tcBorders>
              <w:tl2br w:val="nil"/>
              <w:tr2bl w:val="nil"/>
            </w:tcBorders>
            <w:vAlign w:val="center"/>
          </w:tcPr>
          <w:p w14:paraId="57B8F22D">
            <w:pPr>
              <w:pStyle w:val="86"/>
              <w:keepNext w:val="0"/>
              <w:keepLines w:val="0"/>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事故类型</w:t>
            </w:r>
          </w:p>
        </w:tc>
        <w:tc>
          <w:tcPr>
            <w:tcW w:w="1294" w:type="dxa"/>
            <w:tcBorders>
              <w:tl2br w:val="nil"/>
              <w:tr2bl w:val="nil"/>
            </w:tcBorders>
            <w:vAlign w:val="center"/>
          </w:tcPr>
          <w:p w14:paraId="7F3286A8">
            <w:pPr>
              <w:pStyle w:val="86"/>
              <w:keepNext w:val="0"/>
              <w:keepLines w:val="0"/>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监测</w:t>
            </w:r>
          </w:p>
          <w:p w14:paraId="6581B134">
            <w:pPr>
              <w:pStyle w:val="86"/>
              <w:keepNext w:val="0"/>
              <w:keepLines w:val="0"/>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w:t>
            </w:r>
          </w:p>
        </w:tc>
        <w:tc>
          <w:tcPr>
            <w:tcW w:w="2042" w:type="dxa"/>
            <w:tcBorders>
              <w:tl2br w:val="nil"/>
              <w:tr2bl w:val="nil"/>
            </w:tcBorders>
            <w:vAlign w:val="center"/>
          </w:tcPr>
          <w:p w14:paraId="2918E8E9">
            <w:pPr>
              <w:pStyle w:val="86"/>
              <w:keepNext w:val="0"/>
              <w:keepLines w:val="0"/>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频次</w:t>
            </w:r>
          </w:p>
        </w:tc>
        <w:tc>
          <w:tcPr>
            <w:tcW w:w="2965" w:type="dxa"/>
            <w:tcBorders>
              <w:tl2br w:val="nil"/>
              <w:tr2bl w:val="nil"/>
            </w:tcBorders>
            <w:vAlign w:val="center"/>
          </w:tcPr>
          <w:p w14:paraId="105E1FE0">
            <w:pPr>
              <w:pStyle w:val="86"/>
              <w:keepNext w:val="0"/>
              <w:keepLines w:val="0"/>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监测点位</w:t>
            </w:r>
          </w:p>
        </w:tc>
        <w:tc>
          <w:tcPr>
            <w:tcW w:w="992" w:type="dxa"/>
            <w:tcBorders>
              <w:tl2br w:val="nil"/>
              <w:tr2bl w:val="nil"/>
            </w:tcBorders>
            <w:vAlign w:val="center"/>
          </w:tcPr>
          <w:p w14:paraId="727BFAE9">
            <w:pPr>
              <w:pStyle w:val="86"/>
              <w:keepNext w:val="0"/>
              <w:keepLines w:val="0"/>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监测单位</w:t>
            </w:r>
          </w:p>
        </w:tc>
      </w:tr>
      <w:tr w14:paraId="2927A7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24" w:type="dxa"/>
            <w:tcBorders>
              <w:tl2br w:val="nil"/>
              <w:tr2bl w:val="nil"/>
            </w:tcBorders>
            <w:vAlign w:val="center"/>
          </w:tcPr>
          <w:p w14:paraId="63121777">
            <w:pPr>
              <w:pStyle w:val="86"/>
              <w:keepNext w:val="0"/>
              <w:keepLines w:val="0"/>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爆炸、泄漏</w:t>
            </w:r>
          </w:p>
        </w:tc>
        <w:tc>
          <w:tcPr>
            <w:tcW w:w="1294" w:type="dxa"/>
            <w:tcBorders>
              <w:tl2br w:val="nil"/>
              <w:tr2bl w:val="nil"/>
            </w:tcBorders>
            <w:vAlign w:val="center"/>
          </w:tcPr>
          <w:p w14:paraId="736E1CEF">
            <w:pPr>
              <w:pStyle w:val="86"/>
              <w:keepNext w:val="0"/>
              <w:keepLines w:val="0"/>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非甲烷总烃、CO、CO</w:t>
            </w:r>
            <w:r>
              <w:rPr>
                <w:rFonts w:hint="default" w:ascii="Times New Roman" w:hAnsi="Times New Roman" w:eastAsia="宋体" w:cs="Times New Roman"/>
                <w:color w:val="auto"/>
                <w:sz w:val="21"/>
                <w:szCs w:val="21"/>
                <w:highlight w:val="none"/>
                <w:vertAlign w:val="subscript"/>
                <w:lang w:val="en-US" w:eastAsia="zh-CN"/>
              </w:rPr>
              <w:t>2</w:t>
            </w:r>
          </w:p>
        </w:tc>
        <w:tc>
          <w:tcPr>
            <w:tcW w:w="2042" w:type="dxa"/>
            <w:tcBorders>
              <w:tl2br w:val="nil"/>
              <w:tr2bl w:val="nil"/>
            </w:tcBorders>
            <w:vAlign w:val="center"/>
          </w:tcPr>
          <w:p w14:paraId="035E02E2">
            <w:pPr>
              <w:pStyle w:val="86"/>
              <w:keepNext w:val="0"/>
              <w:keepLines w:val="0"/>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监测频次为1天4次，紧急情况时可增加为1次/2 小时</w:t>
            </w:r>
          </w:p>
        </w:tc>
        <w:tc>
          <w:tcPr>
            <w:tcW w:w="2965" w:type="dxa"/>
            <w:tcBorders>
              <w:tl2br w:val="nil"/>
              <w:tr2bl w:val="nil"/>
            </w:tcBorders>
            <w:vAlign w:val="center"/>
          </w:tcPr>
          <w:p w14:paraId="56208225">
            <w:pPr>
              <w:pStyle w:val="86"/>
              <w:keepNext w:val="0"/>
              <w:keepLines w:val="0"/>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生产装置或储罐的最近厂界或上风向对照点、事故装置的下风向厂界、下风向最近的敏感保护目标处各设置一个大气环境监测点</w:t>
            </w:r>
          </w:p>
        </w:tc>
        <w:tc>
          <w:tcPr>
            <w:tcW w:w="992" w:type="dxa"/>
            <w:vMerge w:val="restart"/>
            <w:tcBorders>
              <w:tl2br w:val="nil"/>
              <w:tr2bl w:val="nil"/>
            </w:tcBorders>
            <w:vAlign w:val="center"/>
          </w:tcPr>
          <w:p w14:paraId="788319C7">
            <w:pPr>
              <w:pStyle w:val="86"/>
              <w:keepNext w:val="0"/>
              <w:keepLines w:val="0"/>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委托有资质单位进行监测</w:t>
            </w:r>
          </w:p>
        </w:tc>
      </w:tr>
      <w:tr w14:paraId="0BDEC6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24" w:type="dxa"/>
            <w:tcBorders>
              <w:tl2br w:val="nil"/>
              <w:tr2bl w:val="nil"/>
            </w:tcBorders>
            <w:vAlign w:val="center"/>
          </w:tcPr>
          <w:p w14:paraId="4578C8C8">
            <w:pPr>
              <w:pStyle w:val="86"/>
              <w:keepNext w:val="0"/>
              <w:keepLines w:val="0"/>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物料泄漏产生废水</w:t>
            </w:r>
          </w:p>
        </w:tc>
        <w:tc>
          <w:tcPr>
            <w:tcW w:w="1294" w:type="dxa"/>
            <w:tcBorders>
              <w:tl2br w:val="nil"/>
              <w:tr2bl w:val="nil"/>
            </w:tcBorders>
            <w:vAlign w:val="center"/>
          </w:tcPr>
          <w:p w14:paraId="5C1676B3">
            <w:pPr>
              <w:pStyle w:val="86"/>
              <w:keepNext w:val="0"/>
              <w:keepLines w:val="0"/>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pH、COD、石油类、氯化物</w:t>
            </w:r>
          </w:p>
        </w:tc>
        <w:tc>
          <w:tcPr>
            <w:tcW w:w="2042" w:type="dxa"/>
            <w:tcBorders>
              <w:tl2br w:val="nil"/>
              <w:tr2bl w:val="nil"/>
            </w:tcBorders>
            <w:vAlign w:val="center"/>
          </w:tcPr>
          <w:p w14:paraId="766E86DE">
            <w:pPr>
              <w:pStyle w:val="86"/>
              <w:keepNext w:val="0"/>
              <w:keepLines w:val="0"/>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监测频次为1次/3 小时，紧急情况时可增加为1次/小时</w:t>
            </w:r>
          </w:p>
        </w:tc>
        <w:tc>
          <w:tcPr>
            <w:tcW w:w="2965" w:type="dxa"/>
            <w:tcBorders>
              <w:tl2br w:val="nil"/>
              <w:tr2bl w:val="nil"/>
            </w:tcBorders>
            <w:vAlign w:val="center"/>
          </w:tcPr>
          <w:p w14:paraId="05FF2FB4">
            <w:pPr>
              <w:pStyle w:val="86"/>
              <w:keepNext w:val="0"/>
              <w:keepLines w:val="0"/>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离事故装置区最近管网监测井、出现超标的雨水排放口或废水排放口</w:t>
            </w:r>
          </w:p>
        </w:tc>
        <w:tc>
          <w:tcPr>
            <w:tcW w:w="992" w:type="dxa"/>
            <w:vMerge w:val="continue"/>
            <w:tcBorders>
              <w:tl2br w:val="nil"/>
              <w:tr2bl w:val="nil"/>
            </w:tcBorders>
            <w:vAlign w:val="center"/>
          </w:tcPr>
          <w:p w14:paraId="78A1AE03">
            <w:pPr>
              <w:pStyle w:val="86"/>
              <w:keepNext w:val="0"/>
              <w:keepLines w:val="0"/>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p>
        </w:tc>
      </w:tr>
      <w:tr w14:paraId="69D00A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24" w:type="dxa"/>
            <w:tcBorders>
              <w:tl2br w:val="nil"/>
              <w:tr2bl w:val="nil"/>
            </w:tcBorders>
            <w:vAlign w:val="center"/>
          </w:tcPr>
          <w:p w14:paraId="74071314">
            <w:pPr>
              <w:pStyle w:val="86"/>
              <w:keepNext w:val="0"/>
              <w:keepLines w:val="0"/>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其他</w:t>
            </w:r>
          </w:p>
        </w:tc>
        <w:tc>
          <w:tcPr>
            <w:tcW w:w="7293" w:type="dxa"/>
            <w:gridSpan w:val="4"/>
            <w:tcBorders>
              <w:tl2br w:val="nil"/>
              <w:tr2bl w:val="nil"/>
            </w:tcBorders>
            <w:vAlign w:val="center"/>
          </w:tcPr>
          <w:p w14:paraId="26C42DBD">
            <w:pPr>
              <w:pStyle w:val="86"/>
              <w:keepNext w:val="0"/>
              <w:keepLines w:val="0"/>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在正常生产过程中，将根据日常监测数据，及时对废水排放、废气排放等状</w:t>
            </w:r>
          </w:p>
          <w:p w14:paraId="4473A4C0">
            <w:pPr>
              <w:pStyle w:val="86"/>
              <w:keepNext w:val="0"/>
              <w:keepLines w:val="0"/>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况进行分析，对潜在的超标趋势及时预测，对可能造成环境污染及时预警，</w:t>
            </w:r>
          </w:p>
          <w:p w14:paraId="65693409">
            <w:pPr>
              <w:pStyle w:val="86"/>
              <w:keepNext w:val="0"/>
              <w:keepLines w:val="0"/>
              <w:pageBreakBefore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确保有效控制对外环境的污染。</w:t>
            </w:r>
          </w:p>
        </w:tc>
      </w:tr>
    </w:tbl>
    <w:p w14:paraId="1912231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⑥后期处置</w:t>
      </w:r>
    </w:p>
    <w:p w14:paraId="5A5958C0">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编制突发环境事件总结报告，妥善处理事故影响范围内的人群安抚，对事故的损害程度进行评估，总结经验教训，并对公司现有的防范措施与应急预案</w:t>
      </w:r>
      <w:r>
        <w:rPr>
          <w:rFonts w:hint="default" w:ascii="Times New Roman" w:hAnsi="Times New Roman" w:cs="Times New Roman"/>
          <w:color w:val="auto"/>
          <w:sz w:val="24"/>
          <w:szCs w:val="24"/>
          <w:highlight w:val="none"/>
          <w:lang w:val="zh-CN" w:eastAsia="zh-CN"/>
        </w:rPr>
        <w:t>作出评价</w:t>
      </w:r>
      <w:r>
        <w:rPr>
          <w:rFonts w:hint="default" w:ascii="Times New Roman" w:hAnsi="Times New Roman" w:eastAsia="宋体" w:cs="Times New Roman"/>
          <w:color w:val="auto"/>
          <w:sz w:val="24"/>
          <w:szCs w:val="24"/>
          <w:highlight w:val="none"/>
          <w:lang w:val="zh-CN" w:eastAsia="zh-CN"/>
        </w:rPr>
        <w:t>，提出整改方案。</w:t>
      </w:r>
    </w:p>
    <w:p w14:paraId="43808F1E">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⑦应急培训与演练。</w:t>
      </w:r>
    </w:p>
    <w:p w14:paraId="762C99E3">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zh-CN" w:eastAsia="zh-CN"/>
        </w:rPr>
        <w:t>公司还应针对各风险源制定专项环境风险应急预案，对发生风险后的处置</w:t>
      </w:r>
      <w:r>
        <w:rPr>
          <w:rFonts w:hint="default" w:ascii="Times New Roman" w:hAnsi="Times New Roman" w:cs="Times New Roman"/>
          <w:color w:val="auto"/>
          <w:sz w:val="24"/>
          <w:szCs w:val="24"/>
          <w:highlight w:val="none"/>
          <w:lang w:val="zh-CN" w:eastAsia="zh-CN"/>
        </w:rPr>
        <w:t>做出</w:t>
      </w:r>
      <w:r>
        <w:rPr>
          <w:rFonts w:hint="default" w:ascii="Times New Roman" w:hAnsi="Times New Roman" w:eastAsia="宋体" w:cs="Times New Roman"/>
          <w:color w:val="auto"/>
          <w:sz w:val="24"/>
          <w:szCs w:val="24"/>
          <w:highlight w:val="none"/>
          <w:lang w:val="zh-CN" w:eastAsia="zh-CN"/>
        </w:rPr>
        <w:t>详细的</w:t>
      </w:r>
      <w:r>
        <w:rPr>
          <w:rFonts w:hint="default" w:ascii="Times New Roman" w:hAnsi="Times New Roman" w:cs="Times New Roman"/>
          <w:color w:val="auto"/>
          <w:sz w:val="24"/>
          <w:szCs w:val="24"/>
          <w:highlight w:val="none"/>
          <w:lang w:val="zh-CN" w:eastAsia="zh-CN"/>
        </w:rPr>
        <w:t>部署</w:t>
      </w:r>
      <w:r>
        <w:rPr>
          <w:rFonts w:hint="default" w:ascii="Times New Roman" w:hAnsi="Times New Roman" w:eastAsia="宋体" w:cs="Times New Roman"/>
          <w:color w:val="auto"/>
          <w:sz w:val="24"/>
          <w:szCs w:val="24"/>
          <w:highlight w:val="none"/>
          <w:lang w:val="zh-CN" w:eastAsia="zh-CN"/>
        </w:rPr>
        <w:t>，以有效</w:t>
      </w:r>
      <w:r>
        <w:rPr>
          <w:rFonts w:hint="default" w:ascii="Times New Roman" w:hAnsi="Times New Roman" w:cs="Times New Roman"/>
          <w:color w:val="auto"/>
          <w:sz w:val="24"/>
          <w:szCs w:val="24"/>
          <w:highlight w:val="none"/>
          <w:lang w:val="zh-CN" w:eastAsia="zh-CN"/>
        </w:rPr>
        <w:t>地</w:t>
      </w:r>
      <w:r>
        <w:rPr>
          <w:rFonts w:hint="default" w:ascii="Times New Roman" w:hAnsi="Times New Roman" w:eastAsia="宋体" w:cs="Times New Roman"/>
          <w:color w:val="auto"/>
          <w:sz w:val="24"/>
          <w:szCs w:val="24"/>
          <w:highlight w:val="none"/>
          <w:lang w:val="zh-CN" w:eastAsia="zh-CN"/>
        </w:rPr>
        <w:t>预防和减轻事故影响</w:t>
      </w:r>
      <w:r>
        <w:rPr>
          <w:rFonts w:hint="default" w:ascii="Times New Roman" w:hAnsi="Times New Roman" w:eastAsia="宋体" w:cs="Times New Roman"/>
          <w:color w:val="auto"/>
          <w:sz w:val="24"/>
          <w:szCs w:val="24"/>
          <w:highlight w:val="none"/>
          <w:lang w:val="en-US" w:eastAsia="zh-CN"/>
        </w:rPr>
        <w:t>。</w:t>
      </w:r>
    </w:p>
    <w:p w14:paraId="61050C0B">
      <w:pPr>
        <w:pStyle w:val="3"/>
        <w:pageBreakBefore w:val="0"/>
        <w:numPr>
          <w:ilvl w:val="1"/>
          <w:numId w:val="0"/>
        </w:numPr>
        <w:kinsoku/>
        <w:wordWrap/>
        <w:overflowPunct/>
        <w:topLinePunct w:val="0"/>
        <w:autoSpaceDE/>
        <w:autoSpaceDN/>
        <w:bidi w:val="0"/>
        <w:adjustRightInd w:val="0"/>
        <w:snapToGrid w:val="0"/>
        <w:spacing w:beforeLines="0" w:afterLines="0" w:line="360" w:lineRule="auto"/>
        <w:ind w:left="0" w:leftChars="0" w:firstLine="0" w:firstLineChars="0"/>
        <w:textAlignment w:val="auto"/>
        <w:outlineLvl w:val="1"/>
        <w:rPr>
          <w:rFonts w:hint="default" w:ascii="Times New Roman" w:hAnsi="Times New Roman" w:eastAsia="宋体" w:cs="Times New Roman"/>
          <w:color w:val="auto"/>
          <w:sz w:val="24"/>
          <w:szCs w:val="24"/>
          <w:highlight w:val="none"/>
          <w:lang w:val="en-US" w:eastAsia="zh-CN"/>
        </w:rPr>
      </w:pPr>
      <w:bookmarkStart w:id="113" w:name="_Toc14392"/>
      <w:r>
        <w:rPr>
          <w:rFonts w:hint="default" w:ascii="Times New Roman" w:hAnsi="Times New Roman" w:eastAsia="宋体" w:cs="Times New Roman"/>
          <w:b/>
          <w:bCs/>
          <w:color w:val="auto"/>
          <w:kern w:val="2"/>
          <w:sz w:val="24"/>
          <w:szCs w:val="24"/>
          <w:highlight w:val="none"/>
          <w:lang w:val="en-US" w:eastAsia="zh-CN" w:bidi="ar-SA"/>
        </w:rPr>
        <w:t>7</w:t>
      </w:r>
      <w:r>
        <w:rPr>
          <w:rFonts w:hint="default" w:ascii="Times New Roman" w:hAnsi="Times New Roman" w:eastAsia="宋体" w:cs="Times New Roman"/>
          <w:color w:val="auto"/>
          <w:sz w:val="24"/>
          <w:szCs w:val="24"/>
          <w:highlight w:val="none"/>
          <w:lang w:val="en-US" w:eastAsia="zh-CN"/>
        </w:rPr>
        <w:t>.11风险监测预警和紧急控制措施</w:t>
      </w:r>
      <w:bookmarkEnd w:id="113"/>
    </w:p>
    <w:p w14:paraId="28382B2D">
      <w:pPr>
        <w:pStyle w:val="4"/>
        <w:pageBreakBefore w:val="0"/>
        <w:numPr>
          <w:ilvl w:val="2"/>
          <w:numId w:val="0"/>
        </w:numPr>
        <w:kinsoku/>
        <w:wordWrap/>
        <w:overflowPunct/>
        <w:topLinePunct w:val="0"/>
        <w:autoSpaceDE/>
        <w:autoSpaceDN/>
        <w:bidi w:val="0"/>
        <w:adjustRightInd w:val="0"/>
        <w:snapToGrid w:val="0"/>
        <w:spacing w:before="0" w:line="360" w:lineRule="auto"/>
        <w:ind w:left="0" w:leftChars="0" w:firstLine="0" w:firstLineChars="0"/>
        <w:textAlignment w:val="auto"/>
        <w:outlineLvl w:val="2"/>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bCs/>
          <w:color w:val="auto"/>
          <w:kern w:val="2"/>
          <w:sz w:val="24"/>
          <w:szCs w:val="24"/>
          <w:highlight w:val="none"/>
          <w:lang w:val="en-US" w:eastAsia="zh-CN" w:bidi="ar-SA"/>
        </w:rPr>
        <w:t>7</w:t>
      </w:r>
      <w:r>
        <w:rPr>
          <w:rFonts w:hint="default" w:ascii="Times New Roman" w:hAnsi="Times New Roman" w:eastAsia="宋体" w:cs="Times New Roman"/>
          <w:color w:val="auto"/>
          <w:sz w:val="24"/>
          <w:szCs w:val="24"/>
          <w:highlight w:val="none"/>
          <w:lang w:val="en-US" w:eastAsia="zh-CN"/>
        </w:rPr>
        <w:t>.11.1环保设施故障风险措施</w:t>
      </w:r>
    </w:p>
    <w:p w14:paraId="5156E81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确保废气末端治理设施日常正常稳定运行，避免超标排放等突发环境事件的发生，</w:t>
      </w:r>
      <w:r>
        <w:rPr>
          <w:rFonts w:hint="default" w:ascii="Times New Roman" w:hAnsi="Times New Roman" w:cs="Times New Roman"/>
          <w:color w:val="auto"/>
          <w:sz w:val="24"/>
          <w:szCs w:val="24"/>
          <w:highlight w:val="none"/>
          <w:lang w:val="en-US" w:eastAsia="zh-CN"/>
        </w:rPr>
        <w:t>必须</w:t>
      </w:r>
      <w:r>
        <w:rPr>
          <w:rFonts w:hint="default" w:ascii="Times New Roman" w:hAnsi="Times New Roman" w:eastAsia="宋体" w:cs="Times New Roman"/>
          <w:color w:val="auto"/>
          <w:sz w:val="24"/>
          <w:szCs w:val="24"/>
          <w:highlight w:val="none"/>
          <w:lang w:val="en-US" w:eastAsia="zh-CN"/>
        </w:rPr>
        <w:t>加强废气治理设施的维护和管理。如发现人为原因不开启废气等末端治理措施，责任人应</w:t>
      </w:r>
      <w:r>
        <w:rPr>
          <w:rFonts w:hint="default" w:ascii="Times New Roman" w:hAnsi="Times New Roman" w:cs="Times New Roman"/>
          <w:color w:val="auto"/>
          <w:sz w:val="24"/>
          <w:szCs w:val="24"/>
          <w:highlight w:val="none"/>
          <w:lang w:val="en-US" w:eastAsia="zh-CN"/>
        </w:rPr>
        <w:t>受到</w:t>
      </w:r>
      <w:r>
        <w:rPr>
          <w:rFonts w:hint="default" w:ascii="Times New Roman" w:hAnsi="Times New Roman" w:eastAsia="宋体" w:cs="Times New Roman"/>
          <w:color w:val="auto"/>
          <w:sz w:val="24"/>
          <w:szCs w:val="24"/>
          <w:highlight w:val="none"/>
          <w:lang w:val="en-US" w:eastAsia="zh-CN"/>
        </w:rPr>
        <w:t>行政和经济处罚，并承担事故排放责任及相应的法律责任。为确保处理效果，在库房设备检修期间，末端处理系统也应同时进行检修，日常安排专人负责进行维护。</w:t>
      </w:r>
    </w:p>
    <w:p w14:paraId="26141340">
      <w:pPr>
        <w:pStyle w:val="4"/>
        <w:pageBreakBefore w:val="0"/>
        <w:numPr>
          <w:ilvl w:val="2"/>
          <w:numId w:val="0"/>
        </w:numPr>
        <w:kinsoku/>
        <w:wordWrap/>
        <w:overflowPunct/>
        <w:topLinePunct w:val="0"/>
        <w:autoSpaceDE/>
        <w:autoSpaceDN/>
        <w:bidi w:val="0"/>
        <w:adjustRightInd w:val="0"/>
        <w:snapToGrid w:val="0"/>
        <w:spacing w:before="0" w:line="360" w:lineRule="auto"/>
        <w:ind w:left="0" w:leftChars="0" w:firstLine="0" w:firstLineChars="0"/>
        <w:textAlignment w:val="auto"/>
        <w:outlineLvl w:val="2"/>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bCs/>
          <w:color w:val="auto"/>
          <w:kern w:val="2"/>
          <w:sz w:val="24"/>
          <w:szCs w:val="24"/>
          <w:highlight w:val="none"/>
          <w:lang w:val="en-US" w:eastAsia="zh-CN" w:bidi="ar-SA"/>
        </w:rPr>
        <w:t>7</w:t>
      </w:r>
      <w:r>
        <w:rPr>
          <w:rFonts w:hint="default" w:ascii="Times New Roman" w:hAnsi="Times New Roman" w:eastAsia="宋体" w:cs="Times New Roman"/>
          <w:color w:val="auto"/>
          <w:sz w:val="24"/>
          <w:szCs w:val="24"/>
          <w:highlight w:val="none"/>
          <w:lang w:val="en-US" w:eastAsia="zh-CN"/>
        </w:rPr>
        <w:t>.11.2危险废物贮存库房防腐防渗的风险防范措施</w:t>
      </w:r>
    </w:p>
    <w:p w14:paraId="0E729D2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危险废物贮存区做好如下措施：</w:t>
      </w:r>
    </w:p>
    <w:p w14:paraId="4EA446E0">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（1）危险废物贮存库房地面、分区挡墙、事故池、污水处理间、正己烷罐区等须进行重点防渗，并做防腐处理。</w:t>
      </w:r>
    </w:p>
    <w:p w14:paraId="7ECF85CE">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（2）防控措施：本项目贮存库内全部为重点防渗区。防渗范围：包括暂存库全库地面、收集沟道、事故池以及裙墙等暂存库内全部区域。防渗层为至少1m 厚黏土层（渗透系数不大于10-7cm/s），或至少2mm 厚高密度聚乙烯膜等人工防渗材料（渗透系数不大于 10 -10cm/s），或其他防渗性能等效的材料，并在地面涂环氧树脂漆方式进行防腐防渗建设。采取上述防渗措施后，可满足《危险废物贮存污染控制标准》（GB18597-2023）相关要求。</w:t>
      </w:r>
    </w:p>
    <w:p w14:paraId="424BB824">
      <w:pPr>
        <w:pStyle w:val="4"/>
        <w:pageBreakBefore w:val="0"/>
        <w:numPr>
          <w:ilvl w:val="2"/>
          <w:numId w:val="0"/>
        </w:numPr>
        <w:kinsoku/>
        <w:wordWrap/>
        <w:overflowPunct/>
        <w:topLinePunct w:val="0"/>
        <w:autoSpaceDE/>
        <w:autoSpaceDN/>
        <w:bidi w:val="0"/>
        <w:adjustRightInd w:val="0"/>
        <w:snapToGrid w:val="0"/>
        <w:spacing w:before="0" w:line="360" w:lineRule="auto"/>
        <w:ind w:left="0" w:leftChars="0" w:firstLine="0" w:firstLineChars="0"/>
        <w:textAlignment w:val="auto"/>
        <w:outlineLvl w:val="2"/>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bCs/>
          <w:color w:val="auto"/>
          <w:kern w:val="2"/>
          <w:sz w:val="24"/>
          <w:szCs w:val="24"/>
          <w:highlight w:val="none"/>
          <w:lang w:val="en-US" w:eastAsia="zh-CN" w:bidi="ar-SA"/>
        </w:rPr>
        <w:t>7</w:t>
      </w:r>
      <w:r>
        <w:rPr>
          <w:rFonts w:hint="default" w:ascii="Times New Roman" w:hAnsi="Times New Roman" w:eastAsia="宋体" w:cs="Times New Roman"/>
          <w:color w:val="auto"/>
          <w:sz w:val="24"/>
          <w:szCs w:val="24"/>
          <w:highlight w:val="none"/>
          <w:lang w:val="en-US" w:eastAsia="zh-CN"/>
        </w:rPr>
        <w:t>.11.3环境风险事故应急处理措施</w:t>
      </w:r>
    </w:p>
    <w:p w14:paraId="3235F1CD">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（1）泄漏应急处理</w:t>
      </w:r>
    </w:p>
    <w:p w14:paraId="471C4D90">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1）如果发生泄漏事故，应立即将容器中剩余液体转入其他专用容器内；对于</w:t>
      </w:r>
      <w:r>
        <w:rPr>
          <w:rFonts w:hint="eastAsia" w:cs="Times New Roman"/>
          <w:color w:val="auto"/>
          <w:sz w:val="24"/>
          <w:szCs w:val="24"/>
          <w:highlight w:val="none"/>
          <w:lang w:val="en-US" w:eastAsia="zh-CN"/>
        </w:rPr>
        <w:t>泄漏</w:t>
      </w:r>
      <w:r>
        <w:rPr>
          <w:rFonts w:hint="default" w:ascii="Times New Roman" w:hAnsi="Times New Roman" w:eastAsia="宋体" w:cs="Times New Roman"/>
          <w:color w:val="auto"/>
          <w:sz w:val="24"/>
          <w:szCs w:val="24"/>
          <w:highlight w:val="none"/>
          <w:lang w:val="en-US" w:eastAsia="zh-CN"/>
        </w:rPr>
        <w:t>的半固体物质，可采取人工收集方式（铁铲和扫帚）进行收集；对于少量</w:t>
      </w:r>
      <w:r>
        <w:rPr>
          <w:rFonts w:hint="eastAsia" w:cs="Times New Roman"/>
          <w:color w:val="auto"/>
          <w:sz w:val="24"/>
          <w:szCs w:val="24"/>
          <w:highlight w:val="none"/>
          <w:lang w:val="en-US" w:eastAsia="zh-CN"/>
        </w:rPr>
        <w:t>泄漏</w:t>
      </w:r>
      <w:r>
        <w:rPr>
          <w:rFonts w:hint="default" w:ascii="Times New Roman" w:hAnsi="Times New Roman" w:eastAsia="宋体" w:cs="Times New Roman"/>
          <w:color w:val="auto"/>
          <w:sz w:val="24"/>
          <w:szCs w:val="24"/>
          <w:highlight w:val="none"/>
          <w:lang w:val="en-US" w:eastAsia="zh-CN"/>
        </w:rPr>
        <w:t>的液态物质，可采用吸油毯等具有吸附能力的介质进行吸附；对于大量</w:t>
      </w:r>
      <w:r>
        <w:rPr>
          <w:rFonts w:hint="eastAsia" w:cs="Times New Roman"/>
          <w:color w:val="auto"/>
          <w:sz w:val="24"/>
          <w:szCs w:val="24"/>
          <w:highlight w:val="none"/>
          <w:lang w:val="en-US" w:eastAsia="zh-CN"/>
        </w:rPr>
        <w:t>泄漏</w:t>
      </w:r>
      <w:r>
        <w:rPr>
          <w:rFonts w:hint="default" w:ascii="Times New Roman" w:hAnsi="Times New Roman" w:eastAsia="宋体" w:cs="Times New Roman"/>
          <w:color w:val="auto"/>
          <w:sz w:val="24"/>
          <w:szCs w:val="24"/>
          <w:highlight w:val="none"/>
          <w:lang w:val="en-US" w:eastAsia="zh-CN"/>
        </w:rPr>
        <w:t>的液态物质，首先采用泵抽至事故应急池内，然后采用吸油毯等具有吸附能力的介质进行吸附；吸附危险废物后的物质纳入危险废物进行处置；最后对</w:t>
      </w:r>
      <w:r>
        <w:rPr>
          <w:rFonts w:hint="eastAsia" w:cs="Times New Roman"/>
          <w:color w:val="auto"/>
          <w:sz w:val="24"/>
          <w:szCs w:val="24"/>
          <w:highlight w:val="none"/>
          <w:lang w:val="en-US" w:eastAsia="zh-CN"/>
        </w:rPr>
        <w:t>泄漏</w:t>
      </w:r>
      <w:r>
        <w:rPr>
          <w:rFonts w:hint="default" w:ascii="Times New Roman" w:hAnsi="Times New Roman" w:eastAsia="宋体" w:cs="Times New Roman"/>
          <w:color w:val="auto"/>
          <w:sz w:val="24"/>
          <w:szCs w:val="24"/>
          <w:highlight w:val="none"/>
          <w:lang w:val="en-US" w:eastAsia="zh-CN"/>
        </w:rPr>
        <w:t>地面用水进行冲洗，冲洗废水经收集沟收集引至事故池进行集中收集，作为危险废物外委处置。</w:t>
      </w:r>
    </w:p>
    <w:p w14:paraId="7BA1856E">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2）设立事故警戒线，启动应急预案，并按《环境保护行政主管部门突发环境事件信息报告办法（试行）》（环发〔2006〕50号）要求进行报告。</w:t>
      </w:r>
    </w:p>
    <w:p w14:paraId="4F898CC6">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3）若造成事故的危险废物具有剧毒性、易燃性、爆炸性或高传染性，应立即疏散人群，并请求环境保护、消防、医疗、公安等相关部门支援。</w:t>
      </w:r>
    </w:p>
    <w:p w14:paraId="22A26674">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4）对事故现场受到污染的土壤和水体等环境介质应进行相应的清理和修复。</w:t>
      </w:r>
    </w:p>
    <w:p w14:paraId="695AD4BA">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5）清理过程中产生的所有废物均应按危险废物进行管理和处置。</w:t>
      </w:r>
    </w:p>
    <w:p w14:paraId="53B1AECE">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6）进入现场清理和包装危险废物的人员应受过专业培训，穿着防护服，并佩戴相应的防护用具。</w:t>
      </w:r>
    </w:p>
    <w:p w14:paraId="74C59203">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7）泄漏容器要妥善处理，修复、检验后再用。</w:t>
      </w:r>
    </w:p>
    <w:p w14:paraId="5AF83602">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8）设置可燃/有毒气体探测器，以检测设备泄漏及空气中可燃或有毒有害气体浓度。</w:t>
      </w:r>
    </w:p>
    <w:p w14:paraId="28BF33A1">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9）危险废物泄漏导致有毒有害气体挥发扩散时，环境风险防范区内的人群应作为紧急撤离目标，并确保能够在60min内撤离至安全地点；现场紧急撤离时，应按照事故现场风向、周边居民分布及公众对毒物应急剂量控制的规定，制定人员紧急撤离、疏散计划和医疗救护方案。同时厂内需要在高点设立明显的风向标，确定安全疏散路线。事故发生后，应根据有毒有害气体的扩散情况及时通知政府相关部门，并通过厂区高音喇叭通知周边人群及时疏散。紧急疏散时应注意：</w:t>
      </w:r>
    </w:p>
    <w:p w14:paraId="512A6019">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①必要时采取佩戴呼吸器具、佩戴个人防护用品或采用其他简易有效的防护措施（戴防护眼镜或用浸湿毛巾捂住口鼻、减少皮肤外露等各种措施进行自身防护）。</w:t>
      </w:r>
    </w:p>
    <w:p w14:paraId="6F00D6D9">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应向上风向、高地势转移，迅速撤出危险区域可能受到危害的人员（在上风向无撤离通道时，也应避免沿下风向撤离），并由专人引导和护送疏散人员到安全区域，在疏散或撤离的路线上设立哨位，指明疏散、撤离的方向。</w:t>
      </w:r>
    </w:p>
    <w:p w14:paraId="0B9A9601">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③按照设定的危险区域，设立警戒线，并在通往事故现场的主要干道上实行交通管制。</w:t>
      </w:r>
    </w:p>
    <w:p w14:paraId="1EDF3DAA">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④在污染区域和可能污染区域立即进行布点监测，根据监测数据及时调整疏散范围。</w:t>
      </w:r>
    </w:p>
    <w:p w14:paraId="5603C23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⑤为受灾群众提供避难场所以及必要的基本生活保障，配合政府部门进行受灾群众的医疗救助、疾病控制、生活救助。</w:t>
      </w:r>
    </w:p>
    <w:p w14:paraId="395274DF">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（2）火灾应急处理</w:t>
      </w:r>
    </w:p>
    <w:p w14:paraId="31398916">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①灭火方法：本项目中转贮存的危险废物部分具有易燃性，若发生火灾事故，应根据着火物质的特性，采用CO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灭火器、沙土和水等进行灭火。</w:t>
      </w:r>
    </w:p>
    <w:p w14:paraId="1C591E1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②冷却和疏散受火势威胁的密闭容器和可燃物，控制燃烧范围，并积极抢救受伤和被困人员。</w:t>
      </w:r>
    </w:p>
    <w:p w14:paraId="15A00DFF">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③通知环保、安全等相关部门人员，启动应急救护程序。</w:t>
      </w:r>
    </w:p>
    <w:p w14:paraId="6BF03D2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④组织救援小组，封锁现场，疏散人员。</w:t>
      </w:r>
    </w:p>
    <w:p w14:paraId="2526588A">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⑤灭火工作结束后，对现场进行恢复清理，对环境可能受到污染范围内的空气、水样、土壤进行取样监测，判定污染影响程度和采取必要的处理。</w:t>
      </w:r>
    </w:p>
    <w:p w14:paraId="2050B57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⑥调查和鉴定事故原因，提出事故评估报告，补充和修改事故防范措施和应急方案。</w:t>
      </w:r>
    </w:p>
    <w:p w14:paraId="03CC1F63">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（3）风险应急监测</w:t>
      </w:r>
    </w:p>
    <w:p w14:paraId="63521EB2">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发生突发环境事件时，由企业根据事件性质、涉及的物料等组织调度附近具有监测能力的监测队伍，立即赶赴现场，在企业（或事业）单位环境应急监测小组配合下根据实际情况，迅速确定监测方案（包括监测布点、频次、项目和方法等），及时开展针对突发环境事件的应急监测工作，在尽可能短的时间内，用小型、便携、简易的仪器对污染物质种类、浓度和污染的范围及其可能的危害</w:t>
      </w:r>
      <w:r>
        <w:rPr>
          <w:rFonts w:hint="eastAsia" w:cs="Times New Roman"/>
          <w:color w:val="auto"/>
          <w:sz w:val="24"/>
          <w:szCs w:val="24"/>
          <w:highlight w:val="none"/>
          <w:lang w:val="en-US" w:eastAsia="zh-CN"/>
        </w:rPr>
        <w:t>作出判断</w:t>
      </w:r>
      <w:r>
        <w:rPr>
          <w:rFonts w:hint="default" w:ascii="Times New Roman" w:hAnsi="Times New Roman" w:eastAsia="宋体" w:cs="Times New Roman"/>
          <w:color w:val="auto"/>
          <w:sz w:val="24"/>
          <w:szCs w:val="24"/>
          <w:highlight w:val="none"/>
          <w:lang w:val="en-US" w:eastAsia="zh-CN"/>
        </w:rPr>
        <w:t>，根据监测结果，综合分析突发环境事件污染变化趋势，并通过专家咨询和讨论的方式，预测并报告突发环境事件的发展情况和污染物的变化情况，作为突发环境事件应急决策的依据。</w:t>
      </w:r>
    </w:p>
    <w:p w14:paraId="247A3982">
      <w:pPr>
        <w:pStyle w:val="4"/>
        <w:pageBreakBefore w:val="0"/>
        <w:numPr>
          <w:ilvl w:val="2"/>
          <w:numId w:val="0"/>
        </w:numPr>
        <w:kinsoku/>
        <w:wordWrap/>
        <w:overflowPunct/>
        <w:topLinePunct w:val="0"/>
        <w:autoSpaceDE/>
        <w:autoSpaceDN/>
        <w:bidi w:val="0"/>
        <w:adjustRightInd w:val="0"/>
        <w:snapToGrid w:val="0"/>
        <w:spacing w:before="0" w:line="360" w:lineRule="auto"/>
        <w:ind w:left="0" w:leftChars="0" w:firstLine="0" w:firstLineChars="0"/>
        <w:textAlignment w:val="auto"/>
        <w:outlineLvl w:val="2"/>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bCs/>
          <w:color w:val="auto"/>
          <w:kern w:val="2"/>
          <w:sz w:val="24"/>
          <w:szCs w:val="24"/>
          <w:highlight w:val="none"/>
          <w:lang w:val="en-US" w:eastAsia="zh-CN" w:bidi="ar-SA"/>
        </w:rPr>
        <w:t>7</w:t>
      </w:r>
      <w:r>
        <w:rPr>
          <w:rFonts w:hint="default" w:ascii="Times New Roman" w:hAnsi="Times New Roman" w:eastAsia="宋体" w:cs="Times New Roman"/>
          <w:color w:val="auto"/>
          <w:sz w:val="24"/>
          <w:szCs w:val="24"/>
          <w:highlight w:val="none"/>
          <w:lang w:val="en-US" w:eastAsia="zh-CN"/>
        </w:rPr>
        <w:t>.11.4污水处理非正常工况处置措施</w:t>
      </w:r>
    </w:p>
    <w:p w14:paraId="7E85F5FC">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（1）污水污染物浓度高的水池应有专人负责，定时巡视检查，一旦发生泄漏事件，可立即发现，进行抢修。所有操作人员均应培训上岗，并严格按照操作规程进行，减少人为事件发生。</w:t>
      </w:r>
    </w:p>
    <w:p w14:paraId="4173C8EE">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（2）废气排放口排放的污染物主要有NH</w:t>
      </w:r>
      <w:r>
        <w:rPr>
          <w:rFonts w:hint="default" w:ascii="Times New Roman" w:hAnsi="Times New Roman" w:eastAsia="宋体" w:cs="Times New Roman"/>
          <w:b w:val="0"/>
          <w:bCs/>
          <w:color w:val="auto"/>
          <w:sz w:val="24"/>
          <w:szCs w:val="24"/>
          <w:highlight w:val="none"/>
          <w:vertAlign w:val="subscript"/>
          <w:lang w:val="en-US" w:eastAsia="zh-CN"/>
        </w:rPr>
        <w:t>3</w:t>
      </w:r>
      <w:r>
        <w:rPr>
          <w:rFonts w:hint="default" w:ascii="Times New Roman" w:hAnsi="Times New Roman" w:eastAsia="宋体" w:cs="Times New Roman"/>
          <w:b w:val="0"/>
          <w:bCs/>
          <w:color w:val="auto"/>
          <w:sz w:val="24"/>
          <w:szCs w:val="24"/>
          <w:highlight w:val="none"/>
          <w:lang w:val="en-US" w:eastAsia="zh-CN"/>
        </w:rPr>
        <w:t>、H</w:t>
      </w:r>
      <w:r>
        <w:rPr>
          <w:rFonts w:hint="default" w:ascii="Times New Roman" w:hAnsi="Times New Roman" w:eastAsia="宋体" w:cs="Times New Roman"/>
          <w:b w:val="0"/>
          <w:bCs/>
          <w:color w:val="auto"/>
          <w:sz w:val="24"/>
          <w:szCs w:val="24"/>
          <w:highlight w:val="none"/>
          <w:vertAlign w:val="subscript"/>
          <w:lang w:val="en-US" w:eastAsia="zh-CN"/>
        </w:rPr>
        <w:t>2</w:t>
      </w:r>
      <w:r>
        <w:rPr>
          <w:rFonts w:hint="default" w:ascii="Times New Roman" w:hAnsi="Times New Roman" w:eastAsia="宋体" w:cs="Times New Roman"/>
          <w:b w:val="0"/>
          <w:bCs/>
          <w:color w:val="auto"/>
          <w:sz w:val="24"/>
          <w:szCs w:val="24"/>
          <w:highlight w:val="none"/>
          <w:lang w:val="en-US" w:eastAsia="zh-CN"/>
        </w:rPr>
        <w:t>S。设置废气处理装置对废气进行治理。配有口罩等应急装备。公司管理人员和维修人员设有每天巡检制度，每天进行巡检，并定期进行安全环保检查，发现问题即专人</w:t>
      </w:r>
      <w:r>
        <w:rPr>
          <w:rFonts w:hint="default" w:ascii="Times New Roman" w:hAnsi="Times New Roman" w:cs="Times New Roman"/>
          <w:b w:val="0"/>
          <w:bCs/>
          <w:color w:val="auto"/>
          <w:sz w:val="24"/>
          <w:szCs w:val="24"/>
          <w:highlight w:val="none"/>
          <w:lang w:val="en-US" w:eastAsia="zh-CN"/>
        </w:rPr>
        <w:t>负责</w:t>
      </w:r>
      <w:r>
        <w:rPr>
          <w:rFonts w:hint="default" w:ascii="Times New Roman" w:hAnsi="Times New Roman" w:eastAsia="宋体" w:cs="Times New Roman"/>
          <w:b w:val="0"/>
          <w:bCs/>
          <w:color w:val="auto"/>
          <w:sz w:val="24"/>
          <w:szCs w:val="24"/>
          <w:highlight w:val="none"/>
          <w:lang w:val="en-US" w:eastAsia="zh-CN"/>
        </w:rPr>
        <w:t>进行整改，有效控制超标废气排放。</w:t>
      </w:r>
    </w:p>
    <w:p w14:paraId="2DEAF51F">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（3）污水处理间进出口设有在线仪表，并且中控室有专人进行把关，一旦水质超标会立即发现。</w:t>
      </w:r>
    </w:p>
    <w:p w14:paraId="2DD41163">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（4）厂区内设消防通道，室外设消火栓和消防水箱，配置了足够的灭火器材，另外企业还配备防护服、防毒面具、手套等防护用品。</w:t>
      </w:r>
    </w:p>
    <w:p w14:paraId="6D896542">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sz w:val="24"/>
          <w:szCs w:val="24"/>
          <w:highlight w:val="none"/>
          <w:lang w:val="en-US" w:eastAsia="zh-CN"/>
        </w:rPr>
        <w:t>（5）公司定期委托检测公司对废气、厂界噪声、出水口进行例行监测。发生事故时，</w:t>
      </w:r>
      <w:r>
        <w:rPr>
          <w:rFonts w:hint="default" w:ascii="Times New Roman" w:hAnsi="Times New Roman" w:cs="Times New Roman"/>
          <w:b w:val="0"/>
          <w:bCs/>
          <w:color w:val="auto"/>
          <w:sz w:val="24"/>
          <w:szCs w:val="24"/>
          <w:highlight w:val="none"/>
          <w:lang w:val="en-US" w:eastAsia="zh-CN"/>
        </w:rPr>
        <w:t>及时</w:t>
      </w:r>
      <w:r>
        <w:rPr>
          <w:rFonts w:hint="default" w:ascii="Times New Roman" w:hAnsi="Times New Roman" w:eastAsia="宋体" w:cs="Times New Roman"/>
          <w:b w:val="0"/>
          <w:bCs/>
          <w:color w:val="auto"/>
          <w:sz w:val="24"/>
          <w:szCs w:val="24"/>
          <w:highlight w:val="none"/>
          <w:lang w:val="en-US" w:eastAsia="zh-CN"/>
        </w:rPr>
        <w:t>开展监测工作。</w:t>
      </w:r>
    </w:p>
    <w:p w14:paraId="2573AFD5">
      <w:pPr>
        <w:pStyle w:val="2"/>
        <w:pageBreakBefore w:val="0"/>
        <w:numPr>
          <w:ilvl w:val="0"/>
          <w:numId w:val="0"/>
        </w:numPr>
        <w:kinsoku/>
        <w:wordWrap/>
        <w:overflowPunct/>
        <w:topLinePunct w:val="0"/>
        <w:autoSpaceDE/>
        <w:autoSpaceDN/>
        <w:bidi w:val="0"/>
        <w:adjustRightInd w:val="0"/>
        <w:snapToGrid w:val="0"/>
        <w:spacing w:before="0" w:after="0" w:line="360" w:lineRule="auto"/>
        <w:ind w:left="0" w:leftChars="0" w:firstLine="0" w:firstLineChars="0"/>
        <w:textAlignment w:val="auto"/>
        <w:outlineLvl w:val="0"/>
        <w:rPr>
          <w:rFonts w:hint="default" w:ascii="Times New Roman" w:hAnsi="Times New Roman" w:eastAsia="宋体" w:cs="Times New Roman"/>
          <w:b/>
          <w:bCs/>
          <w:color w:val="auto"/>
          <w:kern w:val="2"/>
          <w:sz w:val="28"/>
          <w:szCs w:val="28"/>
          <w:highlight w:val="none"/>
          <w:lang w:val="en-US" w:eastAsia="zh-CN" w:bidi="ar-SA"/>
        </w:rPr>
        <w:sectPr>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type="linesAndChars" w:linePitch="312" w:charSpace="0"/>
        </w:sectPr>
      </w:pPr>
      <w:bookmarkStart w:id="114" w:name="_Toc15759"/>
    </w:p>
    <w:p w14:paraId="484749B2">
      <w:pPr>
        <w:pStyle w:val="2"/>
        <w:pageBreakBefore w:val="0"/>
        <w:numPr>
          <w:ilvl w:val="0"/>
          <w:numId w:val="0"/>
        </w:numPr>
        <w:kinsoku/>
        <w:wordWrap/>
        <w:overflowPunct/>
        <w:topLinePunct w:val="0"/>
        <w:autoSpaceDE/>
        <w:autoSpaceDN/>
        <w:bidi w:val="0"/>
        <w:adjustRightInd w:val="0"/>
        <w:snapToGrid w:val="0"/>
        <w:spacing w:before="0" w:after="0" w:line="360" w:lineRule="auto"/>
        <w:ind w:left="0" w:leftChars="0" w:firstLine="0" w:firstLineChars="0"/>
        <w:textAlignment w:val="auto"/>
        <w:outlineLvl w:val="0"/>
        <w:rPr>
          <w:rFonts w:hint="default" w:ascii="Times New Roman" w:hAnsi="Times New Roman" w:eastAsia="宋体" w:cs="Times New Roman"/>
          <w:color w:val="auto"/>
          <w:sz w:val="28"/>
          <w:szCs w:val="28"/>
          <w:highlight w:val="none"/>
          <w:lang w:val="en-US" w:eastAsia="zh-CN"/>
        </w:rPr>
      </w:pPr>
      <w:bookmarkStart w:id="115" w:name="_Toc10114"/>
      <w:r>
        <w:rPr>
          <w:rFonts w:hint="default" w:ascii="Times New Roman" w:hAnsi="Times New Roman" w:eastAsia="宋体" w:cs="Times New Roman"/>
          <w:b/>
          <w:bCs/>
          <w:color w:val="auto"/>
          <w:kern w:val="2"/>
          <w:sz w:val="28"/>
          <w:szCs w:val="28"/>
          <w:highlight w:val="none"/>
          <w:lang w:val="en-US" w:eastAsia="zh-CN" w:bidi="ar-SA"/>
        </w:rPr>
        <w:t>8</w:t>
      </w:r>
      <w:r>
        <w:rPr>
          <w:rFonts w:hint="default" w:ascii="Times New Roman" w:hAnsi="Times New Roman" w:eastAsia="宋体" w:cs="Times New Roman"/>
          <w:color w:val="auto"/>
          <w:sz w:val="28"/>
          <w:szCs w:val="28"/>
          <w:highlight w:val="none"/>
          <w:lang w:val="en-US" w:eastAsia="zh-CN"/>
        </w:rPr>
        <w:t>应急预案</w:t>
      </w:r>
      <w:bookmarkEnd w:id="114"/>
      <w:bookmarkEnd w:id="115"/>
    </w:p>
    <w:p w14:paraId="7B264CCC">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的生产必然伴随着潜在的危害，如果安全措施水平高，则事故概率必然会降低，但不会为零。一旦发生事故，需要采取工程应急措施，控制和减少事故危害。如果有毒有害物泄漏到环境，则可能危害环境，需要实施社会</w:t>
      </w:r>
      <w:r>
        <w:rPr>
          <w:rFonts w:hint="default" w:ascii="Times New Roman" w:hAnsi="Times New Roman" w:cs="Times New Roman"/>
          <w:color w:val="auto"/>
          <w:sz w:val="24"/>
          <w:szCs w:val="24"/>
          <w:highlight w:val="none"/>
          <w:lang w:val="en-US" w:eastAsia="zh-CN"/>
        </w:rPr>
        <w:t>救援</w:t>
      </w:r>
      <w:r>
        <w:rPr>
          <w:rFonts w:hint="default" w:ascii="Times New Roman" w:hAnsi="Times New Roman" w:eastAsia="宋体" w:cs="Times New Roman"/>
          <w:color w:val="auto"/>
          <w:sz w:val="24"/>
          <w:szCs w:val="24"/>
          <w:highlight w:val="none"/>
          <w:lang w:val="en-US" w:eastAsia="zh-CN"/>
        </w:rPr>
        <w:t>，因此，需要制定环境风险事故应急救援预案。本项目风险事故应急救援预案应包括以下主要内容：</w:t>
      </w:r>
    </w:p>
    <w:p w14:paraId="663D173D">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（1）基本情况</w:t>
      </w:r>
    </w:p>
    <w:p w14:paraId="3A1DF7AA">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主要包括单位的地址、经济性质、从业人数、隶属关系、主要产品、产量等内容，周边区域的单位、社区、重要基础设施、道路等情况。</w:t>
      </w:r>
    </w:p>
    <w:p w14:paraId="74FC38FF">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（2）风险目标</w:t>
      </w:r>
      <w:r>
        <w:rPr>
          <w:rFonts w:hint="eastAsia" w:cs="Times New Roman"/>
          <w:color w:val="auto"/>
          <w:sz w:val="24"/>
          <w:szCs w:val="24"/>
          <w:highlight w:val="none"/>
          <w:lang w:val="en-US" w:eastAsia="zh-CN"/>
        </w:rPr>
        <w:t>极其</w:t>
      </w:r>
      <w:r>
        <w:rPr>
          <w:rFonts w:hint="default" w:ascii="Times New Roman" w:hAnsi="Times New Roman" w:eastAsia="宋体" w:cs="Times New Roman"/>
          <w:color w:val="auto"/>
          <w:sz w:val="24"/>
          <w:szCs w:val="24"/>
          <w:highlight w:val="none"/>
          <w:lang w:val="en-US" w:eastAsia="zh-CN"/>
        </w:rPr>
        <w:t>危险特性、对周围的影响</w:t>
      </w:r>
    </w:p>
    <w:p w14:paraId="76ABD38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 风险目标的确定</w:t>
      </w:r>
    </w:p>
    <w:p w14:paraId="365B411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 根据确定的风险目标，明确其危险特性及对周边的影响</w:t>
      </w:r>
    </w:p>
    <w:p w14:paraId="5F1D6819">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（3）风险目标周围可利用的安全、消防、个体防护的设备、器材及其分布</w:t>
      </w:r>
    </w:p>
    <w:p w14:paraId="03E55D82">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（4）应急救援组织机构、组成人员和职责划分</w:t>
      </w:r>
    </w:p>
    <w:p w14:paraId="40AC663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 应急救援组织机构设置</w:t>
      </w:r>
    </w:p>
    <w:p w14:paraId="2A4AE577">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依据危险化学品事故危害程度的级别设置分级应急救援组织机构。</w:t>
      </w:r>
    </w:p>
    <w:p w14:paraId="1342D6A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 组成人员</w:t>
      </w:r>
    </w:p>
    <w:p w14:paraId="145AB3EC">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A、主要负责人及有关管理人员；</w:t>
      </w:r>
    </w:p>
    <w:p w14:paraId="6419C886">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B、现场指挥人员。</w:t>
      </w:r>
    </w:p>
    <w:p w14:paraId="0686B4E6">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③ 主要职责</w:t>
      </w:r>
    </w:p>
    <w:p w14:paraId="73A6B865">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A、组织制订危险化学品事故应急救援预案；</w:t>
      </w:r>
    </w:p>
    <w:p w14:paraId="532C529E">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B、负责人员、资源配置、应急队伍的调动；</w:t>
      </w:r>
    </w:p>
    <w:p w14:paraId="6E85B77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C、确定现场指挥人员；</w:t>
      </w:r>
    </w:p>
    <w:p w14:paraId="4ED2640C">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D、协调风险事故现场有关工作；</w:t>
      </w:r>
    </w:p>
    <w:p w14:paraId="6E1B2066">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E、批准本预案的启动与终止；</w:t>
      </w:r>
    </w:p>
    <w:p w14:paraId="691DA9A0">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F、风险事故状态下各级人员的职责；</w:t>
      </w:r>
    </w:p>
    <w:p w14:paraId="4F22A785">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G、危险化学品事故信息的上报工作；</w:t>
      </w:r>
    </w:p>
    <w:p w14:paraId="62CA27A7">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H、接受政府的指令和调动；</w:t>
      </w:r>
    </w:p>
    <w:p w14:paraId="729FA822">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I、组织应急</w:t>
      </w:r>
      <w:r>
        <w:rPr>
          <w:rFonts w:hint="default" w:ascii="Times New Roman" w:hAnsi="Times New Roman" w:cs="Times New Roman"/>
          <w:color w:val="auto"/>
          <w:sz w:val="24"/>
          <w:szCs w:val="24"/>
          <w:highlight w:val="none"/>
          <w:lang w:val="en-US" w:eastAsia="zh-CN"/>
        </w:rPr>
        <w:t>预案</w:t>
      </w:r>
      <w:r>
        <w:rPr>
          <w:rFonts w:hint="default" w:ascii="Times New Roman" w:hAnsi="Times New Roman" w:eastAsia="宋体" w:cs="Times New Roman"/>
          <w:color w:val="auto"/>
          <w:sz w:val="24"/>
          <w:szCs w:val="24"/>
          <w:highlight w:val="none"/>
          <w:lang w:val="en-US" w:eastAsia="zh-CN"/>
        </w:rPr>
        <w:t>演练；</w:t>
      </w:r>
    </w:p>
    <w:p w14:paraId="249DEF1E">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J、负责保护事故现场及相关数据。</w:t>
      </w:r>
    </w:p>
    <w:p w14:paraId="57FBCDF1">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（5）报警、通讯联络方式</w:t>
      </w:r>
    </w:p>
    <w:p w14:paraId="190477D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依据现有资源的评估结果，确定以下内容：</w:t>
      </w:r>
    </w:p>
    <w:p w14:paraId="7F8D46EC">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 24小时有效的报警装置；</w:t>
      </w:r>
    </w:p>
    <w:p w14:paraId="0C383CCA">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 24小时有效的内部、外部通讯联络手段；</w:t>
      </w:r>
    </w:p>
    <w:p w14:paraId="3EB6E4EA">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③ 运输危险化学品的驾驶员、押运员报警及与本单位、生产厂家、托运方联系的方式、方法。</w:t>
      </w:r>
    </w:p>
    <w:p w14:paraId="0D5673BC">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（6）事故发生后应采取的处理措施</w:t>
      </w:r>
    </w:p>
    <w:p w14:paraId="7AB024DD">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 根据工艺规程、操作规程的技术要求，确定采取的紧急处理措施；</w:t>
      </w:r>
    </w:p>
    <w:p w14:paraId="7604D33F">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 根据安全运输卡提供的应急措施及与本单位、生产厂家、托运方联系后获得的信息而采取的应急措施。</w:t>
      </w:r>
    </w:p>
    <w:p w14:paraId="4EA39069">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（7）人员紧急疏散、撤离</w:t>
      </w:r>
    </w:p>
    <w:p w14:paraId="75FA4404">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依据对可能发生危险化学品事故场所、设施及周围情况的分析结果，确定以下内容：</w:t>
      </w:r>
    </w:p>
    <w:p w14:paraId="7D8FBE6D">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 风险事故现场人员清点，撤离的方式、方法；</w:t>
      </w:r>
    </w:p>
    <w:p w14:paraId="2C3D2AEB">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 非事故现场人员紧急疏散的方式、方法；</w:t>
      </w:r>
    </w:p>
    <w:p w14:paraId="6B34C80D">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③ 抢救人员在撤离前、撤离后的报告；</w:t>
      </w:r>
    </w:p>
    <w:p w14:paraId="7D6314D3">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④ 周边区域的单位、社区人员疏散的方式、方法。</w:t>
      </w:r>
    </w:p>
    <w:p w14:paraId="07B78A5C">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（8）危险区的隔离</w:t>
      </w:r>
    </w:p>
    <w:p w14:paraId="6A3A3D0C">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依据可能发生的危险化学品事故类别、危害程度级别，确定以下内容：</w:t>
      </w:r>
    </w:p>
    <w:p w14:paraId="1B7F0BBC">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 危险区的设定；</w:t>
      </w:r>
    </w:p>
    <w:p w14:paraId="4D65AB5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 事故现场隔离区的划定方式、方法；</w:t>
      </w:r>
    </w:p>
    <w:p w14:paraId="2ABE96A2">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③ 事故现场隔离方法；</w:t>
      </w:r>
    </w:p>
    <w:p w14:paraId="4866E76A">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④ 事故现场周边区域的道路隔离或交通疏导办法。</w:t>
      </w:r>
    </w:p>
    <w:p w14:paraId="6189C224">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（9）检测、抢险、救援及控制措施</w:t>
      </w:r>
    </w:p>
    <w:p w14:paraId="282372B4">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（10）受伤人员现场救护、救治与医院救治</w:t>
      </w:r>
    </w:p>
    <w:p w14:paraId="30576725">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依据事故分类、分级，附近疾病控制与医疗救治机构的设置和处理能力，制订具有可操作性的处置方案。</w:t>
      </w:r>
    </w:p>
    <w:p w14:paraId="524F8D3C">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（11）现场保护与现场洗消</w:t>
      </w:r>
    </w:p>
    <w:p w14:paraId="0A1B6D23">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 事故现场的保护措施</w:t>
      </w:r>
    </w:p>
    <w:p w14:paraId="78306AFC">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 明确事故现场洗消工作的负责人和专业队伍</w:t>
      </w:r>
    </w:p>
    <w:p w14:paraId="18039E82">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（12）应急救援保障</w:t>
      </w:r>
    </w:p>
    <w:p w14:paraId="15531099">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 内部保障</w:t>
      </w:r>
    </w:p>
    <w:p w14:paraId="692CB3BC">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依据现有资源的评估结果，确定以下内容：</w:t>
      </w:r>
    </w:p>
    <w:p w14:paraId="3D490430">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A、确定应急队伍，包括：抢修、现场救护、医疗、治安、消防、交通管理、</w:t>
      </w:r>
      <w:r>
        <w:rPr>
          <w:rFonts w:hint="default" w:ascii="Times New Roman" w:hAnsi="Times New Roman" w:cs="Times New Roman"/>
          <w:color w:val="auto"/>
          <w:sz w:val="24"/>
          <w:szCs w:val="24"/>
          <w:highlight w:val="none"/>
          <w:lang w:val="en-US" w:eastAsia="zh-CN"/>
        </w:rPr>
        <w:t>通信</w:t>
      </w:r>
      <w:r>
        <w:rPr>
          <w:rFonts w:hint="default" w:ascii="Times New Roman" w:hAnsi="Times New Roman" w:eastAsia="宋体" w:cs="Times New Roman"/>
          <w:color w:val="auto"/>
          <w:sz w:val="24"/>
          <w:szCs w:val="24"/>
          <w:highlight w:val="none"/>
          <w:lang w:val="en-US" w:eastAsia="zh-CN"/>
        </w:rPr>
        <w:t>、供应、运输、后勤等人员；</w:t>
      </w:r>
    </w:p>
    <w:p w14:paraId="6213CE53">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B、消防设施配置图、工艺流程图、现场平面布置图和周围地区图、气象资料、危险化学品安全技术说明书、互救信息等存放地点、保管人；</w:t>
      </w:r>
    </w:p>
    <w:p w14:paraId="26AC6887">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C、应急通信系统；</w:t>
      </w:r>
    </w:p>
    <w:p w14:paraId="45E221F5">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D、应急电源、照明；</w:t>
      </w:r>
    </w:p>
    <w:p w14:paraId="2947A56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E、应急救援装备、物资、药品等；</w:t>
      </w:r>
    </w:p>
    <w:p w14:paraId="64314BC6">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F、危险化学品运输车辆的安全、消防设备、器材及人员防护装备；</w:t>
      </w:r>
    </w:p>
    <w:p w14:paraId="5E5B829D">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G、保障制度目录</w:t>
      </w:r>
    </w:p>
    <w:p w14:paraId="4300A463">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a、责任制；</w:t>
      </w:r>
    </w:p>
    <w:p w14:paraId="0FC30C0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b、值班制度；</w:t>
      </w:r>
    </w:p>
    <w:p w14:paraId="15F8C7ED">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c、培训制度；</w:t>
      </w:r>
    </w:p>
    <w:p w14:paraId="3EA2F90A">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d、危险化学品运输单位检查运输车辆实际运行制度（包括：行驶时间、行车路线，停车地点等内容）；</w:t>
      </w:r>
    </w:p>
    <w:p w14:paraId="1D218B52">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e、应急救援装备、物资、药品等检查、维护制度（包括危险化学品运输车辆的安全、消防设备、器材及人员防护装备检查、维护）；</w:t>
      </w:r>
    </w:p>
    <w:p w14:paraId="4EE0631A">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f、安全运输卡制度（安全运输卡包括运输的危险化学品性质、危害性、应急措施、注意事项及本单位、生产厂家、托运方应急联系电话等内容。每种危险化学品一张卡片；每次运输前，运输单位向驾驶员、押运员告知安全运输卡上有关内容，并将安全卡交驾驶员、押运员各一份）；</w:t>
      </w:r>
    </w:p>
    <w:p w14:paraId="60C78336">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g、演练制度。</w:t>
      </w:r>
    </w:p>
    <w:p w14:paraId="181179AC">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 外部救援</w:t>
      </w:r>
    </w:p>
    <w:p w14:paraId="61C8890D">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依据对外部应急救援能力的分析结果，确定以下内容：</w:t>
      </w:r>
    </w:p>
    <w:p w14:paraId="084E987E">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A、单位互助的方式；</w:t>
      </w:r>
    </w:p>
    <w:p w14:paraId="4D439A9B">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B、请求政府协调应急救援力量；</w:t>
      </w:r>
    </w:p>
    <w:p w14:paraId="61B29A1F">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C、应急救援信息咨询；</w:t>
      </w:r>
    </w:p>
    <w:p w14:paraId="21CA4A5A">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D、专家信息。</w:t>
      </w:r>
    </w:p>
    <w:p w14:paraId="4CB19B3C">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（13）预案分级响应条件</w:t>
      </w:r>
    </w:p>
    <w:p w14:paraId="3A151ED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依据危险化学品事故的类别、危害程度的级别和从业人员的评估结果</w:t>
      </w:r>
      <w:r>
        <w:rPr>
          <w:rFonts w:hint="default" w:ascii="Times New Roman" w:hAnsi="Times New Roman" w:cs="Times New Roman"/>
          <w:color w:val="auto"/>
          <w:sz w:val="24"/>
          <w:szCs w:val="24"/>
          <w:highlight w:val="none"/>
          <w:lang w:val="en-US" w:eastAsia="zh-CN"/>
        </w:rPr>
        <w:t>，对</w:t>
      </w:r>
      <w:r>
        <w:rPr>
          <w:rFonts w:hint="default" w:ascii="Times New Roman" w:hAnsi="Times New Roman" w:eastAsia="宋体" w:cs="Times New Roman"/>
          <w:color w:val="auto"/>
          <w:sz w:val="24"/>
          <w:szCs w:val="24"/>
          <w:highlight w:val="none"/>
          <w:lang w:val="en-US" w:eastAsia="zh-CN"/>
        </w:rPr>
        <w:t>可能发生的事故现场情况分析结果，设定预案的启动条件。</w:t>
      </w:r>
    </w:p>
    <w:p w14:paraId="5E8634D9">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（14）风险事故应急救援终止程序</w:t>
      </w:r>
    </w:p>
    <w:p w14:paraId="443467B7">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 确定事故应急救援工作结束</w:t>
      </w:r>
    </w:p>
    <w:p w14:paraId="48AA5522">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 通知本单位相关部门、周边社区及人员事故危险已解除</w:t>
      </w:r>
    </w:p>
    <w:p w14:paraId="1F578336">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（15）应急培训计划</w:t>
      </w:r>
    </w:p>
    <w:p w14:paraId="3585AA52">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依据对从业人员能力的评估和社区或周边人员素质的分析结果，确定以下内容：</w:t>
      </w:r>
    </w:p>
    <w:p w14:paraId="1766CE87">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 应急救援人员的培训；</w:t>
      </w:r>
    </w:p>
    <w:p w14:paraId="0628B5F7">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 员工应急响应的培训；</w:t>
      </w:r>
    </w:p>
    <w:p w14:paraId="696C2DC3">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③ 社区或周边人员应急响应知识的宣传。</w:t>
      </w:r>
    </w:p>
    <w:p w14:paraId="793AC5BF">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（16）演练计划</w:t>
      </w:r>
    </w:p>
    <w:p w14:paraId="70257D4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依据现有资源的评估结果，确定以下内容：</w:t>
      </w:r>
    </w:p>
    <w:p w14:paraId="774E8130">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 演练准备；</w:t>
      </w:r>
    </w:p>
    <w:p w14:paraId="2A244F7E">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 演练范围与频次；</w:t>
      </w:r>
    </w:p>
    <w:p w14:paraId="27B180ED">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③ 演练组织。</w:t>
      </w:r>
    </w:p>
    <w:p w14:paraId="60E8EABD">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（17）附件</w:t>
      </w:r>
    </w:p>
    <w:p w14:paraId="20B423A2">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①组织机构名单；</w:t>
      </w:r>
    </w:p>
    <w:p w14:paraId="7DE3B2F5">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 值班联系电话；</w:t>
      </w:r>
    </w:p>
    <w:p w14:paraId="2D74CE99">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③ 组织应急救援有关人员联系电话；</w:t>
      </w:r>
    </w:p>
    <w:p w14:paraId="48533507">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④ 危险化学品生产单位应急咨询服务电话；</w:t>
      </w:r>
    </w:p>
    <w:p w14:paraId="3CDFCB9E">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⑤ 外部救援单位联系电话；</w:t>
      </w:r>
    </w:p>
    <w:p w14:paraId="03CD7404">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⑥ 政府有关部门联系电话；</w:t>
      </w:r>
    </w:p>
    <w:p w14:paraId="288D44A7">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⑦ 本单位平面布置图；</w:t>
      </w:r>
    </w:p>
    <w:p w14:paraId="3B30233A">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⑧ 消防设施配置图；</w:t>
      </w:r>
    </w:p>
    <w:p w14:paraId="090BE0D6">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⑨ 周边区域道路交通示意图和疏散路线、交通管制示意图；</w:t>
      </w:r>
    </w:p>
    <w:p w14:paraId="5E325FA8">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⑩ 周边区域的单位、社区、重要基础设施分布图及有关联系方式，供水、供电单位的联系方式；</w:t>
      </w:r>
    </w:p>
    <w:p w14:paraId="0CA28E76">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根据《建设项目环境风险评价技术导则》，应急预案的主要内容见下表。</w:t>
      </w:r>
    </w:p>
    <w:p w14:paraId="25FA26B9">
      <w:pPr>
        <w:pStyle w:val="83"/>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textAlignment w:val="auto"/>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表</w:t>
      </w:r>
      <w:r>
        <w:rPr>
          <w:rFonts w:hint="default" w:ascii="Times New Roman" w:hAnsi="Times New Roman" w:eastAsia="宋体" w:cs="Times New Roman"/>
          <w:color w:val="auto"/>
          <w:sz w:val="24"/>
          <w:szCs w:val="28"/>
          <w:highlight w:val="none"/>
          <w:lang w:val="en-US" w:eastAsia="zh-CN"/>
        </w:rPr>
        <w:t>8-1</w:t>
      </w:r>
      <w:r>
        <w:rPr>
          <w:rFonts w:hint="default" w:ascii="Times New Roman" w:hAnsi="Times New Roman" w:eastAsia="宋体" w:cs="Times New Roman"/>
          <w:color w:val="auto"/>
          <w:sz w:val="24"/>
          <w:szCs w:val="28"/>
          <w:highlight w:val="none"/>
        </w:rPr>
        <w:t xml:space="preserve"> 应急预案主要内容</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1"/>
        <w:gridCol w:w="1589"/>
        <w:gridCol w:w="6390"/>
      </w:tblGrid>
      <w:tr w14:paraId="4D6C2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71" w:type="dxa"/>
            <w:tcBorders>
              <w:top w:val="single" w:color="auto" w:sz="12" w:space="0"/>
              <w:left w:val="nil"/>
            </w:tcBorders>
            <w:noWrap w:val="0"/>
            <w:vAlign w:val="center"/>
          </w:tcPr>
          <w:p w14:paraId="730F3BFB">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1589" w:type="dxa"/>
            <w:tcBorders>
              <w:top w:val="single" w:color="auto" w:sz="12" w:space="0"/>
            </w:tcBorders>
            <w:noWrap w:val="0"/>
            <w:vAlign w:val="center"/>
          </w:tcPr>
          <w:p w14:paraId="2258E524">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w:t>
            </w:r>
          </w:p>
        </w:tc>
        <w:tc>
          <w:tcPr>
            <w:tcW w:w="6390" w:type="dxa"/>
            <w:tcBorders>
              <w:top w:val="single" w:color="auto" w:sz="12" w:space="0"/>
              <w:right w:val="nil"/>
            </w:tcBorders>
            <w:noWrap w:val="0"/>
            <w:vAlign w:val="center"/>
          </w:tcPr>
          <w:p w14:paraId="51483D20">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内容及要求</w:t>
            </w:r>
          </w:p>
        </w:tc>
      </w:tr>
      <w:tr w14:paraId="7E4A3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71" w:type="dxa"/>
            <w:tcBorders>
              <w:left w:val="nil"/>
            </w:tcBorders>
            <w:noWrap w:val="0"/>
            <w:vAlign w:val="center"/>
          </w:tcPr>
          <w:p w14:paraId="155139F7">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589" w:type="dxa"/>
            <w:noWrap w:val="0"/>
            <w:vAlign w:val="center"/>
          </w:tcPr>
          <w:p w14:paraId="6F4CE67B">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应急计划区</w:t>
            </w:r>
          </w:p>
        </w:tc>
        <w:tc>
          <w:tcPr>
            <w:tcW w:w="6390" w:type="dxa"/>
            <w:tcBorders>
              <w:right w:val="nil"/>
            </w:tcBorders>
            <w:noWrap w:val="0"/>
            <w:vAlign w:val="center"/>
          </w:tcPr>
          <w:p w14:paraId="174E87E3">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危险目标：</w:t>
            </w:r>
            <w:r>
              <w:rPr>
                <w:rFonts w:hint="default" w:ascii="Times New Roman" w:hAnsi="Times New Roman" w:eastAsia="宋体" w:cs="Times New Roman"/>
                <w:color w:val="auto"/>
                <w:sz w:val="21"/>
                <w:szCs w:val="21"/>
                <w:highlight w:val="none"/>
                <w:lang w:val="en-US" w:eastAsia="zh-CN"/>
              </w:rPr>
              <w:t>各个生产车间、污水处理间</w:t>
            </w:r>
          </w:p>
        </w:tc>
      </w:tr>
      <w:tr w14:paraId="304A5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71" w:type="dxa"/>
            <w:tcBorders>
              <w:left w:val="nil"/>
            </w:tcBorders>
            <w:noWrap w:val="0"/>
            <w:vAlign w:val="center"/>
          </w:tcPr>
          <w:p w14:paraId="7E8ED670">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589" w:type="dxa"/>
            <w:noWrap w:val="0"/>
            <w:vAlign w:val="center"/>
          </w:tcPr>
          <w:p w14:paraId="69D7DA02">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应急组织机构、人员</w:t>
            </w:r>
          </w:p>
        </w:tc>
        <w:tc>
          <w:tcPr>
            <w:tcW w:w="6390" w:type="dxa"/>
            <w:tcBorders>
              <w:right w:val="nil"/>
            </w:tcBorders>
            <w:noWrap w:val="0"/>
            <w:vAlign w:val="center"/>
          </w:tcPr>
          <w:p w14:paraId="0A147CE2">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公司成立以负责人为总指挥，分管生产负责人为副总指挥的事故应急救援队伍，指挥部下设办公室、工程救援组、医疗救护组、后勤保障组。制定《环境风险</w:t>
            </w:r>
            <w:r>
              <w:rPr>
                <w:rFonts w:hint="default" w:ascii="Times New Roman" w:hAnsi="Times New Roman" w:cs="Times New Roman"/>
                <w:color w:val="auto"/>
                <w:sz w:val="21"/>
                <w:szCs w:val="21"/>
                <w:highlight w:val="none"/>
                <w:lang w:val="en-US" w:eastAsia="zh-CN"/>
              </w:rPr>
              <w:t>应急</w:t>
            </w:r>
            <w:r>
              <w:rPr>
                <w:rFonts w:hint="default" w:ascii="Times New Roman" w:hAnsi="Times New Roman" w:eastAsia="宋体" w:cs="Times New Roman"/>
                <w:color w:val="auto"/>
                <w:sz w:val="21"/>
                <w:szCs w:val="21"/>
                <w:highlight w:val="none"/>
              </w:rPr>
              <w:t>预案》和实施细则，组织专业队伍学习和演练，提高队伍实战能力，防患于未然，</w:t>
            </w:r>
            <w:r>
              <w:rPr>
                <w:rFonts w:hint="default" w:ascii="Times New Roman" w:hAnsi="Times New Roman" w:cs="Times New Roman"/>
                <w:color w:val="auto"/>
                <w:sz w:val="21"/>
                <w:szCs w:val="21"/>
                <w:highlight w:val="none"/>
                <w:lang w:eastAsia="zh-CN"/>
              </w:rPr>
              <w:t>以便</w:t>
            </w:r>
            <w:r>
              <w:rPr>
                <w:rFonts w:hint="default" w:ascii="Times New Roman" w:hAnsi="Times New Roman" w:eastAsia="宋体" w:cs="Times New Roman"/>
                <w:color w:val="auto"/>
                <w:sz w:val="21"/>
                <w:szCs w:val="21"/>
                <w:highlight w:val="none"/>
              </w:rPr>
              <w:t>应急救援工作的顺利开展。同时该公司必须将本单位的安全措施、应急措施报告有关地方人民政府的安全生产监督管理部门等有关部门，以便政府及其有关部门能够及时掌握有关情况，一旦发生事故，政府及其有关部门可以调动有关方面力量进行救援，以减少事故损失。</w:t>
            </w:r>
          </w:p>
        </w:tc>
      </w:tr>
      <w:tr w14:paraId="381E3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71" w:type="dxa"/>
            <w:tcBorders>
              <w:left w:val="nil"/>
            </w:tcBorders>
            <w:noWrap w:val="0"/>
            <w:vAlign w:val="center"/>
          </w:tcPr>
          <w:p w14:paraId="0DD6B4E2">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589" w:type="dxa"/>
            <w:noWrap w:val="0"/>
            <w:vAlign w:val="center"/>
          </w:tcPr>
          <w:p w14:paraId="47BF5FA7">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预案分级响应条件</w:t>
            </w:r>
          </w:p>
        </w:tc>
        <w:tc>
          <w:tcPr>
            <w:tcW w:w="6390" w:type="dxa"/>
            <w:tcBorders>
              <w:right w:val="nil"/>
            </w:tcBorders>
            <w:noWrap w:val="0"/>
            <w:vAlign w:val="center"/>
          </w:tcPr>
          <w:p w14:paraId="655B4394">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规定预案的级别及分级响应程序。</w:t>
            </w:r>
          </w:p>
        </w:tc>
      </w:tr>
      <w:tr w14:paraId="6AB74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71" w:type="dxa"/>
            <w:tcBorders>
              <w:left w:val="nil"/>
            </w:tcBorders>
            <w:noWrap w:val="0"/>
            <w:vAlign w:val="center"/>
          </w:tcPr>
          <w:p w14:paraId="1C398BC8">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589" w:type="dxa"/>
            <w:noWrap w:val="0"/>
            <w:vAlign w:val="center"/>
          </w:tcPr>
          <w:p w14:paraId="5F7DE981">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应急救援保障</w:t>
            </w:r>
          </w:p>
        </w:tc>
        <w:tc>
          <w:tcPr>
            <w:tcW w:w="6390" w:type="dxa"/>
            <w:tcBorders>
              <w:right w:val="nil"/>
            </w:tcBorders>
            <w:noWrap w:val="0"/>
            <w:vAlign w:val="center"/>
          </w:tcPr>
          <w:p w14:paraId="33A04C6B">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应急设施、设备与器材（自给正压式呼吸器、防护服）等。</w:t>
            </w:r>
          </w:p>
        </w:tc>
      </w:tr>
      <w:tr w14:paraId="577C2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71" w:type="dxa"/>
            <w:tcBorders>
              <w:left w:val="nil"/>
            </w:tcBorders>
            <w:noWrap w:val="0"/>
            <w:vAlign w:val="center"/>
          </w:tcPr>
          <w:p w14:paraId="01F097AB">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589" w:type="dxa"/>
            <w:noWrap w:val="0"/>
            <w:vAlign w:val="center"/>
          </w:tcPr>
          <w:p w14:paraId="7F07DA32">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报警、</w:t>
            </w:r>
            <w:r>
              <w:rPr>
                <w:rFonts w:hint="default" w:ascii="Times New Roman" w:hAnsi="Times New Roman" w:cs="Times New Roman"/>
                <w:color w:val="auto"/>
                <w:sz w:val="21"/>
                <w:szCs w:val="21"/>
                <w:highlight w:val="none"/>
                <w:lang w:eastAsia="zh-CN"/>
              </w:rPr>
              <w:t>通讯</w:t>
            </w:r>
            <w:r>
              <w:rPr>
                <w:rFonts w:hint="default" w:ascii="Times New Roman" w:hAnsi="Times New Roman" w:eastAsia="宋体" w:cs="Times New Roman"/>
                <w:color w:val="auto"/>
                <w:sz w:val="21"/>
                <w:szCs w:val="21"/>
                <w:highlight w:val="none"/>
              </w:rPr>
              <w:t>联络方式</w:t>
            </w:r>
          </w:p>
        </w:tc>
        <w:tc>
          <w:tcPr>
            <w:tcW w:w="6390" w:type="dxa"/>
            <w:tcBorders>
              <w:right w:val="nil"/>
            </w:tcBorders>
            <w:noWrap w:val="0"/>
            <w:vAlign w:val="center"/>
          </w:tcPr>
          <w:p w14:paraId="7964CCD0">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应急状态下的报警</w:t>
            </w:r>
            <w:r>
              <w:rPr>
                <w:rFonts w:hint="default" w:ascii="Times New Roman" w:hAnsi="Times New Roman" w:cs="Times New Roman"/>
                <w:color w:val="auto"/>
                <w:sz w:val="21"/>
                <w:szCs w:val="21"/>
                <w:highlight w:val="none"/>
                <w:lang w:eastAsia="zh-CN"/>
              </w:rPr>
              <w:t>通讯</w:t>
            </w:r>
            <w:r>
              <w:rPr>
                <w:rFonts w:hint="default" w:ascii="Times New Roman" w:hAnsi="Times New Roman" w:eastAsia="宋体" w:cs="Times New Roman"/>
                <w:color w:val="auto"/>
                <w:sz w:val="21"/>
                <w:szCs w:val="21"/>
                <w:highlight w:val="none"/>
              </w:rPr>
              <w:t>方式为电话报告，发现事故者应当立即向厂调度室报警，厂调度室接到报警后，迅速向各救援队（包括通讯队、治安队、消防队、医疗队、抢修队、后勤队等）报警，通知各有关单位采取紧急措施，防止事故扩大，通知事故车间迅速查明事故原因，并将情况通知指挥部，治安队接到报警后，根据可能引起急性中毒和爆炸的浓度范围设置警戒线，封锁有关道路，制止无关人员进入，指挥各种抢救车辆，有秩序进入抢救区域，安排好群众疏散路线，必要时通知厂门卫关闭厂门，禁止无关人员入场围观。</w:t>
            </w:r>
          </w:p>
        </w:tc>
      </w:tr>
      <w:tr w14:paraId="58FCF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71" w:type="dxa"/>
            <w:tcBorders>
              <w:left w:val="nil"/>
            </w:tcBorders>
            <w:noWrap w:val="0"/>
            <w:vAlign w:val="center"/>
          </w:tcPr>
          <w:p w14:paraId="6F668868">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1589" w:type="dxa"/>
            <w:noWrap w:val="0"/>
            <w:vAlign w:val="center"/>
          </w:tcPr>
          <w:p w14:paraId="5E94DA9D">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应急环境监测、抢险、救援及控制措施</w:t>
            </w:r>
          </w:p>
        </w:tc>
        <w:tc>
          <w:tcPr>
            <w:tcW w:w="6390" w:type="dxa"/>
            <w:tcBorders>
              <w:right w:val="nil"/>
            </w:tcBorders>
            <w:noWrap w:val="0"/>
            <w:vAlign w:val="center"/>
          </w:tcPr>
          <w:p w14:paraId="16B225D9">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w:t>
            </w:r>
            <w:r>
              <w:rPr>
                <w:rFonts w:hint="default" w:ascii="Times New Roman" w:hAnsi="Times New Roman" w:cs="Times New Roman"/>
                <w:color w:val="auto"/>
                <w:sz w:val="21"/>
                <w:szCs w:val="21"/>
                <w:highlight w:val="none"/>
                <w:lang w:val="en-US" w:eastAsia="zh-CN"/>
              </w:rPr>
              <w:t>桦川</w:t>
            </w:r>
            <w:r>
              <w:rPr>
                <w:rFonts w:hint="default" w:ascii="Times New Roman" w:hAnsi="Times New Roman" w:eastAsia="宋体" w:cs="Times New Roman"/>
                <w:color w:val="auto"/>
                <w:sz w:val="21"/>
                <w:szCs w:val="21"/>
                <w:highlight w:val="none"/>
              </w:rPr>
              <w:t>环境监测站负责</w:t>
            </w:r>
            <w:r>
              <w:rPr>
                <w:rFonts w:hint="default" w:ascii="Times New Roman" w:hAnsi="Times New Roman" w:cs="Times New Roman"/>
                <w:color w:val="auto"/>
                <w:sz w:val="21"/>
                <w:szCs w:val="21"/>
                <w:highlight w:val="none"/>
                <w:lang w:eastAsia="zh-CN"/>
              </w:rPr>
              <w:t>对</w:t>
            </w:r>
            <w:r>
              <w:rPr>
                <w:rFonts w:hint="default" w:ascii="Times New Roman" w:hAnsi="Times New Roman" w:eastAsia="宋体" w:cs="Times New Roman"/>
                <w:color w:val="auto"/>
                <w:sz w:val="21"/>
                <w:szCs w:val="21"/>
                <w:highlight w:val="none"/>
              </w:rPr>
              <w:t>事故现场进行侦察监测，对事故性质、参数与后果进行评估，为指挥部门提供决策依据。</w:t>
            </w:r>
          </w:p>
        </w:tc>
      </w:tr>
      <w:tr w14:paraId="04BFB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71" w:type="dxa"/>
            <w:tcBorders>
              <w:left w:val="nil"/>
            </w:tcBorders>
            <w:noWrap w:val="0"/>
            <w:vAlign w:val="center"/>
          </w:tcPr>
          <w:p w14:paraId="08321E79">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1589" w:type="dxa"/>
            <w:noWrap w:val="0"/>
            <w:vAlign w:val="center"/>
          </w:tcPr>
          <w:p w14:paraId="59D20951">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应急检测、防护措施、清除</w:t>
            </w:r>
            <w:r>
              <w:rPr>
                <w:rFonts w:hint="default" w:ascii="Times New Roman" w:hAnsi="Times New Roman" w:eastAsia="宋体" w:cs="Times New Roman"/>
                <w:color w:val="auto"/>
                <w:sz w:val="21"/>
                <w:szCs w:val="21"/>
                <w:highlight w:val="none"/>
                <w:lang w:eastAsia="zh-CN"/>
              </w:rPr>
              <w:t>泄漏</w:t>
            </w:r>
            <w:r>
              <w:rPr>
                <w:rFonts w:hint="default" w:ascii="Times New Roman" w:hAnsi="Times New Roman" w:eastAsia="宋体" w:cs="Times New Roman"/>
                <w:color w:val="auto"/>
                <w:sz w:val="21"/>
                <w:szCs w:val="21"/>
                <w:highlight w:val="none"/>
              </w:rPr>
              <w:t>措施和器材</w:t>
            </w:r>
          </w:p>
        </w:tc>
        <w:tc>
          <w:tcPr>
            <w:tcW w:w="6390" w:type="dxa"/>
            <w:tcBorders>
              <w:right w:val="nil"/>
            </w:tcBorders>
            <w:noWrap w:val="0"/>
            <w:vAlign w:val="center"/>
          </w:tcPr>
          <w:p w14:paraId="26A5149A">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事故现场、</w:t>
            </w:r>
            <w:r>
              <w:rPr>
                <w:rFonts w:hint="default" w:ascii="Times New Roman" w:hAnsi="Times New Roman" w:cs="Times New Roman"/>
                <w:color w:val="auto"/>
                <w:sz w:val="21"/>
                <w:szCs w:val="21"/>
                <w:highlight w:val="none"/>
                <w:lang w:eastAsia="zh-CN"/>
              </w:rPr>
              <w:t>邻近</w:t>
            </w:r>
            <w:r>
              <w:rPr>
                <w:rFonts w:hint="default" w:ascii="Times New Roman" w:hAnsi="Times New Roman" w:eastAsia="宋体" w:cs="Times New Roman"/>
                <w:color w:val="auto"/>
                <w:sz w:val="21"/>
                <w:szCs w:val="21"/>
                <w:highlight w:val="none"/>
              </w:rPr>
              <w:t>区域、控制防火区域，控制和清除污染措施及相应设备。</w:t>
            </w:r>
          </w:p>
        </w:tc>
      </w:tr>
      <w:tr w14:paraId="0B488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71" w:type="dxa"/>
            <w:tcBorders>
              <w:left w:val="nil"/>
            </w:tcBorders>
            <w:noWrap w:val="0"/>
            <w:vAlign w:val="center"/>
          </w:tcPr>
          <w:p w14:paraId="6306B778">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1589" w:type="dxa"/>
            <w:noWrap w:val="0"/>
            <w:vAlign w:val="center"/>
          </w:tcPr>
          <w:p w14:paraId="0016D356">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人员紧急撤离、疏散、撤离组织计划</w:t>
            </w:r>
          </w:p>
        </w:tc>
        <w:tc>
          <w:tcPr>
            <w:tcW w:w="6390" w:type="dxa"/>
            <w:tcBorders>
              <w:right w:val="nil"/>
            </w:tcBorders>
            <w:noWrap w:val="0"/>
            <w:vAlign w:val="center"/>
          </w:tcPr>
          <w:p w14:paraId="7276373E">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撤离组织计划及救护，医疗救护与公众健康</w:t>
            </w:r>
          </w:p>
        </w:tc>
      </w:tr>
      <w:tr w14:paraId="569B4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71" w:type="dxa"/>
            <w:tcBorders>
              <w:left w:val="nil"/>
            </w:tcBorders>
            <w:noWrap w:val="0"/>
            <w:vAlign w:val="center"/>
          </w:tcPr>
          <w:p w14:paraId="2B2E8621">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1589" w:type="dxa"/>
            <w:noWrap w:val="0"/>
            <w:vAlign w:val="center"/>
          </w:tcPr>
          <w:p w14:paraId="758B647C">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事故应急救援关闭程序</w:t>
            </w:r>
            <w:r>
              <w:rPr>
                <w:rFonts w:hint="default" w:ascii="Times New Roman" w:hAnsi="Times New Roman" w:cs="Times New Roman"/>
                <w:color w:val="auto"/>
                <w:sz w:val="21"/>
                <w:szCs w:val="21"/>
                <w:highlight w:val="none"/>
                <w:lang w:eastAsia="zh-CN"/>
              </w:rPr>
              <w:t>与</w:t>
            </w:r>
            <w:r>
              <w:rPr>
                <w:rFonts w:hint="default" w:ascii="Times New Roman" w:hAnsi="Times New Roman" w:eastAsia="宋体" w:cs="Times New Roman"/>
                <w:color w:val="auto"/>
                <w:sz w:val="21"/>
                <w:szCs w:val="21"/>
                <w:highlight w:val="none"/>
              </w:rPr>
              <w:t>恢复措施</w:t>
            </w:r>
          </w:p>
        </w:tc>
        <w:tc>
          <w:tcPr>
            <w:tcW w:w="6390" w:type="dxa"/>
            <w:tcBorders>
              <w:right w:val="nil"/>
            </w:tcBorders>
            <w:noWrap w:val="0"/>
            <w:vAlign w:val="center"/>
          </w:tcPr>
          <w:p w14:paraId="5C51DED0">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专业队抢救结束后，做好事故现场善后处理，</w:t>
            </w:r>
            <w:r>
              <w:rPr>
                <w:rFonts w:hint="default" w:ascii="Times New Roman" w:hAnsi="Times New Roman" w:cs="Times New Roman"/>
                <w:color w:val="auto"/>
                <w:sz w:val="21"/>
                <w:szCs w:val="21"/>
                <w:highlight w:val="none"/>
                <w:lang w:eastAsia="zh-CN"/>
              </w:rPr>
              <w:t>邻近</w:t>
            </w:r>
            <w:r>
              <w:rPr>
                <w:rFonts w:hint="default" w:ascii="Times New Roman" w:hAnsi="Times New Roman" w:eastAsia="宋体" w:cs="Times New Roman"/>
                <w:color w:val="auto"/>
                <w:sz w:val="21"/>
                <w:szCs w:val="21"/>
                <w:highlight w:val="none"/>
              </w:rPr>
              <w:t>区域解除事故警戒及善后恢复措施，现场调查、清理、清洗工作，恢复工艺管线、电气仪表、设备的生产状态，组织生产</w:t>
            </w:r>
          </w:p>
        </w:tc>
      </w:tr>
      <w:tr w14:paraId="2E087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71" w:type="dxa"/>
            <w:tcBorders>
              <w:left w:val="nil"/>
            </w:tcBorders>
            <w:noWrap w:val="0"/>
            <w:vAlign w:val="center"/>
          </w:tcPr>
          <w:p w14:paraId="23921567">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589" w:type="dxa"/>
            <w:noWrap w:val="0"/>
            <w:vAlign w:val="center"/>
          </w:tcPr>
          <w:p w14:paraId="23F94D03">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应急培训计划</w:t>
            </w:r>
          </w:p>
        </w:tc>
        <w:tc>
          <w:tcPr>
            <w:tcW w:w="6390" w:type="dxa"/>
            <w:tcBorders>
              <w:right w:val="nil"/>
            </w:tcBorders>
            <w:noWrap w:val="0"/>
            <w:vAlign w:val="center"/>
          </w:tcPr>
          <w:p w14:paraId="166B59CB">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应急计划制定后，每三个月安排人员培训与演练一次</w:t>
            </w:r>
          </w:p>
        </w:tc>
      </w:tr>
      <w:tr w14:paraId="22805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71" w:type="dxa"/>
            <w:tcBorders>
              <w:left w:val="nil"/>
            </w:tcBorders>
            <w:noWrap w:val="0"/>
            <w:vAlign w:val="center"/>
          </w:tcPr>
          <w:p w14:paraId="00119491">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w:t>
            </w:r>
          </w:p>
        </w:tc>
        <w:tc>
          <w:tcPr>
            <w:tcW w:w="1589" w:type="dxa"/>
            <w:noWrap w:val="0"/>
            <w:vAlign w:val="center"/>
          </w:tcPr>
          <w:p w14:paraId="4FA2F689">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公众教育和信息</w:t>
            </w:r>
          </w:p>
        </w:tc>
        <w:tc>
          <w:tcPr>
            <w:tcW w:w="6390" w:type="dxa"/>
            <w:tcBorders>
              <w:right w:val="nil"/>
            </w:tcBorders>
            <w:noWrap w:val="0"/>
            <w:vAlign w:val="center"/>
          </w:tcPr>
          <w:p w14:paraId="01EE7FD7">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对</w:t>
            </w:r>
            <w:r>
              <w:rPr>
                <w:rFonts w:hint="default" w:ascii="Times New Roman" w:hAnsi="Times New Roman" w:cs="Times New Roman"/>
                <w:color w:val="auto"/>
                <w:sz w:val="21"/>
                <w:szCs w:val="21"/>
                <w:highlight w:val="none"/>
                <w:lang w:eastAsia="zh-CN"/>
              </w:rPr>
              <w:t>邻近地区</w:t>
            </w:r>
            <w:r>
              <w:rPr>
                <w:rFonts w:hint="default" w:ascii="Times New Roman" w:hAnsi="Times New Roman" w:eastAsia="宋体" w:cs="Times New Roman"/>
                <w:color w:val="auto"/>
                <w:sz w:val="21"/>
                <w:szCs w:val="21"/>
                <w:highlight w:val="none"/>
              </w:rPr>
              <w:t>将本项目有关风险事项风险告知公众，开展公众教育、培训和发布有关信息</w:t>
            </w:r>
          </w:p>
        </w:tc>
      </w:tr>
      <w:tr w14:paraId="5E1524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71" w:type="dxa"/>
            <w:tcBorders>
              <w:left w:val="nil"/>
              <w:bottom w:val="single" w:color="auto" w:sz="12" w:space="0"/>
            </w:tcBorders>
            <w:noWrap w:val="0"/>
            <w:vAlign w:val="center"/>
          </w:tcPr>
          <w:p w14:paraId="79723A8C">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w:t>
            </w:r>
          </w:p>
        </w:tc>
        <w:tc>
          <w:tcPr>
            <w:tcW w:w="1589" w:type="dxa"/>
            <w:tcBorders>
              <w:bottom w:val="single" w:color="auto" w:sz="12" w:space="0"/>
            </w:tcBorders>
            <w:noWrap w:val="0"/>
            <w:vAlign w:val="center"/>
          </w:tcPr>
          <w:p w14:paraId="1750DE28">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应急预案修订</w:t>
            </w:r>
          </w:p>
        </w:tc>
        <w:tc>
          <w:tcPr>
            <w:tcW w:w="6390" w:type="dxa"/>
            <w:tcBorders>
              <w:bottom w:val="single" w:color="auto" w:sz="12" w:space="0"/>
              <w:right w:val="nil"/>
            </w:tcBorders>
            <w:noWrap w:val="0"/>
            <w:vAlign w:val="center"/>
          </w:tcPr>
          <w:p w14:paraId="35607460">
            <w:pPr>
              <w:pStyle w:val="86"/>
              <w:keepNext w:val="0"/>
              <w:keepLines w:val="0"/>
              <w:pageBreakBefore w:val="0"/>
              <w:widowControl/>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环境应急预案每三年至少修订一次</w:t>
            </w:r>
          </w:p>
        </w:tc>
      </w:tr>
    </w:tbl>
    <w:p w14:paraId="33CE22FF">
      <w:pPr>
        <w:pStyle w:val="87"/>
        <w:pageBreakBefore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企业应建立完善的应急组织机构和应急预案，以防止安全生产事故的发生，迅速有效地控制和处置发生的事故，最大限度地减少人员伤亡、财产损失、环境破坏和社会影响等。一旦发生风险事故时，立即启动环境风险事故应急救援预案，在严格落实风险管理及应急措施后，可将风险发生的概率和影响后果降到最低限度，其风险水平可以被接受。</w:t>
      </w:r>
    </w:p>
    <w:p w14:paraId="1908544C">
      <w:pPr>
        <w:pStyle w:val="2"/>
        <w:pageBreakBefore w:val="0"/>
        <w:numPr>
          <w:ilvl w:val="0"/>
          <w:numId w:val="0"/>
        </w:numPr>
        <w:kinsoku/>
        <w:wordWrap/>
        <w:overflowPunct/>
        <w:topLinePunct w:val="0"/>
        <w:autoSpaceDE/>
        <w:autoSpaceDN/>
        <w:bidi w:val="0"/>
        <w:adjustRightInd w:val="0"/>
        <w:snapToGrid w:val="0"/>
        <w:spacing w:before="0" w:after="0" w:line="360" w:lineRule="auto"/>
        <w:ind w:left="0" w:leftChars="0" w:firstLine="0" w:firstLineChars="0"/>
        <w:textAlignment w:val="auto"/>
        <w:outlineLvl w:val="0"/>
        <w:rPr>
          <w:rFonts w:hint="default" w:ascii="Times New Roman" w:hAnsi="Times New Roman" w:eastAsia="宋体" w:cs="Times New Roman"/>
          <w:color w:val="auto"/>
          <w:sz w:val="24"/>
          <w:szCs w:val="24"/>
          <w:highlight w:val="none"/>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type="linesAndChars" w:linePitch="312" w:charSpace="0"/>
        </w:sectPr>
      </w:pPr>
      <w:bookmarkStart w:id="116" w:name="_Toc12292"/>
    </w:p>
    <w:p w14:paraId="006A06B6">
      <w:pPr>
        <w:pStyle w:val="2"/>
        <w:pageBreakBefore w:val="0"/>
        <w:numPr>
          <w:ilvl w:val="0"/>
          <w:numId w:val="0"/>
        </w:numPr>
        <w:kinsoku/>
        <w:wordWrap/>
        <w:overflowPunct/>
        <w:topLinePunct w:val="0"/>
        <w:autoSpaceDE/>
        <w:autoSpaceDN/>
        <w:bidi w:val="0"/>
        <w:adjustRightInd w:val="0"/>
        <w:snapToGrid w:val="0"/>
        <w:spacing w:before="0" w:after="0" w:line="360" w:lineRule="auto"/>
        <w:ind w:left="0" w:leftChars="0" w:firstLine="0" w:firstLineChars="0"/>
        <w:textAlignment w:val="auto"/>
        <w:outlineLvl w:val="0"/>
        <w:rPr>
          <w:rFonts w:hint="default" w:ascii="Times New Roman" w:hAnsi="Times New Roman" w:eastAsia="宋体" w:cs="Times New Roman"/>
          <w:color w:val="auto"/>
          <w:sz w:val="28"/>
          <w:szCs w:val="28"/>
          <w:highlight w:val="none"/>
          <w:lang w:val="en-US" w:eastAsia="zh-CN"/>
        </w:rPr>
      </w:pPr>
      <w:bookmarkStart w:id="117" w:name="_Toc26875"/>
      <w:r>
        <w:rPr>
          <w:rFonts w:hint="default" w:ascii="Times New Roman" w:hAnsi="Times New Roman" w:eastAsia="宋体" w:cs="Times New Roman"/>
          <w:color w:val="auto"/>
          <w:sz w:val="28"/>
          <w:szCs w:val="28"/>
          <w:highlight w:val="none"/>
          <w:lang w:val="en-US" w:eastAsia="zh-CN"/>
        </w:rPr>
        <w:t>9风险评价结论</w:t>
      </w:r>
      <w:bookmarkEnd w:id="116"/>
      <w:bookmarkEnd w:id="117"/>
    </w:p>
    <w:p w14:paraId="1255D246">
      <w:pPr>
        <w:pageBreakBefore w:val="0"/>
        <w:kinsoku/>
        <w:wordWrap/>
        <w:overflowPunct/>
        <w:topLinePunct w:val="0"/>
        <w:autoSpaceDE/>
        <w:autoSpaceDN/>
        <w:bidi w:val="0"/>
        <w:adjustRightInd w:val="0"/>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本项目主要环境风险为正己烷泄漏和火灾爆炸产生的次生污染物的风险。项目在工程设计及生产运行过程中，严格落实环境风险事故防控措施，制定环境风险应急预案，并加强施工及生产人员的管理，可有效减少运行风险，降低事故危害和环境污染，将环境风险控制到</w:t>
      </w:r>
      <w:r>
        <w:rPr>
          <w:rFonts w:hint="default" w:ascii="Times New Roman" w:hAnsi="Times New Roman" w:cs="Times New Roman"/>
          <w:color w:val="auto"/>
          <w:sz w:val="24"/>
          <w:szCs w:val="24"/>
          <w:highlight w:val="none"/>
          <w:lang w:val="en-US" w:eastAsia="zh-CN"/>
        </w:rPr>
        <w:t>最低</w:t>
      </w:r>
      <w:r>
        <w:rPr>
          <w:rFonts w:hint="default" w:ascii="Times New Roman" w:hAnsi="Times New Roman" w:eastAsia="宋体" w:cs="Times New Roman"/>
          <w:color w:val="auto"/>
          <w:sz w:val="24"/>
          <w:szCs w:val="24"/>
          <w:highlight w:val="none"/>
          <w:lang w:val="en-US" w:eastAsia="zh-CN"/>
        </w:rPr>
        <w:t>程度。在落实风险防范措施、做好应急预案的前提下，本项目的风险处于可接受水平。</w:t>
      </w:r>
    </w:p>
    <w:p w14:paraId="59F283EA">
      <w:pPr>
        <w:pageBreakBefore w:val="0"/>
        <w:widowControl/>
        <w:kinsoku/>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4"/>
          <w:szCs w:val="24"/>
          <w:highlight w:val="none"/>
        </w:rPr>
      </w:pPr>
    </w:p>
    <w:p w14:paraId="1BA712DE">
      <w:pPr>
        <w:pageBreakBefore w:val="0"/>
        <w:widowControl/>
        <w:kinsoku/>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4"/>
          <w:szCs w:val="24"/>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type="linesAndChars" w:linePitch="312" w:charSpace="0"/>
        </w:sectPr>
      </w:pPr>
    </w:p>
    <w:bookmarkEnd w:id="45"/>
    <w:p w14:paraId="7FD871C8">
      <w:pPr>
        <w:pStyle w:val="11"/>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cs="Times New Roman"/>
          <w:b/>
          <w:color w:val="auto"/>
          <w:kern w:val="21"/>
          <w:sz w:val="24"/>
          <w:szCs w:val="24"/>
          <w:highlight w:val="none"/>
          <w:lang w:eastAsia="zh-CN"/>
        </w:rPr>
      </w:pPr>
      <w:r>
        <w:rPr>
          <w:rFonts w:hint="default" w:ascii="Times New Roman" w:hAnsi="Times New Roman" w:cs="Times New Roman"/>
          <w:b/>
          <w:color w:val="auto"/>
          <w:kern w:val="21"/>
          <w:sz w:val="24"/>
          <w:szCs w:val="24"/>
          <w:highlight w:val="none"/>
          <w:lang w:eastAsia="zh-CN"/>
        </w:rPr>
        <w:t>环境风险评价自查表</w:t>
      </w:r>
    </w:p>
    <w:tbl>
      <w:tblPr>
        <w:tblStyle w:val="29"/>
        <w:tblW w:w="83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88"/>
        <w:gridCol w:w="1210"/>
        <w:gridCol w:w="1130"/>
        <w:gridCol w:w="529"/>
        <w:gridCol w:w="389"/>
        <w:gridCol w:w="802"/>
        <w:gridCol w:w="116"/>
        <w:gridCol w:w="353"/>
        <w:gridCol w:w="565"/>
        <w:gridCol w:w="206"/>
        <w:gridCol w:w="690"/>
        <w:gridCol w:w="22"/>
        <w:gridCol w:w="176"/>
        <w:gridCol w:w="452"/>
        <w:gridCol w:w="290"/>
        <w:gridCol w:w="919"/>
      </w:tblGrid>
      <w:tr w14:paraId="7AA31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98" w:type="dxa"/>
            <w:gridSpan w:val="2"/>
            <w:noWrap w:val="0"/>
            <w:vAlign w:val="center"/>
          </w:tcPr>
          <w:p w14:paraId="5F46B0CF">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工作内容</w:t>
            </w:r>
          </w:p>
        </w:tc>
        <w:tc>
          <w:tcPr>
            <w:tcW w:w="6639" w:type="dxa"/>
            <w:gridSpan w:val="14"/>
            <w:noWrap w:val="0"/>
            <w:vAlign w:val="center"/>
          </w:tcPr>
          <w:p w14:paraId="5EE05F0D">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完成情况</w:t>
            </w:r>
          </w:p>
        </w:tc>
      </w:tr>
      <w:tr w14:paraId="6FA80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8" w:type="dxa"/>
            <w:vMerge w:val="restart"/>
            <w:noWrap w:val="0"/>
            <w:vAlign w:val="center"/>
          </w:tcPr>
          <w:p w14:paraId="00315335">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风险调查</w:t>
            </w:r>
          </w:p>
        </w:tc>
        <w:tc>
          <w:tcPr>
            <w:tcW w:w="1210" w:type="dxa"/>
            <w:vMerge w:val="restart"/>
            <w:noWrap w:val="0"/>
            <w:vAlign w:val="center"/>
          </w:tcPr>
          <w:p w14:paraId="69F7E5C8">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危险物质</w:t>
            </w:r>
          </w:p>
        </w:tc>
        <w:tc>
          <w:tcPr>
            <w:tcW w:w="1130" w:type="dxa"/>
            <w:noWrap w:val="0"/>
            <w:vAlign w:val="center"/>
          </w:tcPr>
          <w:p w14:paraId="3DA49B7D">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名称</w:t>
            </w:r>
          </w:p>
        </w:tc>
        <w:tc>
          <w:tcPr>
            <w:tcW w:w="918" w:type="dxa"/>
            <w:gridSpan w:val="2"/>
            <w:noWrap w:val="0"/>
            <w:vAlign w:val="center"/>
          </w:tcPr>
          <w:p w14:paraId="618E89DF">
            <w:pPr>
              <w:pStyle w:val="79"/>
              <w:keepNext w:val="0"/>
              <w:keepLines w:val="0"/>
              <w:pageBreakBefore w:val="0"/>
              <w:widowControl w:val="0"/>
              <w:tabs>
                <w:tab w:val="left" w:pos="261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val="en-US" w:eastAsia="zh-CN"/>
              </w:rPr>
            </w:pPr>
            <w:r>
              <w:rPr>
                <w:rFonts w:hint="default" w:ascii="Times New Roman" w:hAnsi="Times New Roman" w:eastAsia="宋体" w:cs="Times New Roman"/>
                <w:b w:val="0"/>
                <w:bCs w:val="0"/>
                <w:color w:val="auto"/>
                <w:kern w:val="21"/>
                <w:sz w:val="21"/>
                <w:szCs w:val="21"/>
                <w:highlight w:val="none"/>
                <w:lang w:val="en-US" w:eastAsia="zh-CN"/>
              </w:rPr>
              <w:t>正己烷</w:t>
            </w:r>
          </w:p>
        </w:tc>
        <w:tc>
          <w:tcPr>
            <w:tcW w:w="918" w:type="dxa"/>
            <w:gridSpan w:val="2"/>
            <w:noWrap w:val="0"/>
            <w:vAlign w:val="center"/>
          </w:tcPr>
          <w:p w14:paraId="321919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val="en-US" w:eastAsia="zh-CN"/>
              </w:rPr>
            </w:pPr>
            <w:r>
              <w:rPr>
                <w:rFonts w:hint="default" w:ascii="Times New Roman" w:hAnsi="Times New Roman" w:eastAsia="宋体" w:cs="Times New Roman"/>
                <w:b w:val="0"/>
                <w:bCs w:val="0"/>
                <w:color w:val="auto"/>
                <w:kern w:val="21"/>
                <w:sz w:val="21"/>
                <w:szCs w:val="21"/>
                <w:highlight w:val="none"/>
                <w:lang w:val="en-US" w:eastAsia="zh-CN"/>
              </w:rPr>
              <w:t>磷酸</w:t>
            </w:r>
          </w:p>
        </w:tc>
        <w:tc>
          <w:tcPr>
            <w:tcW w:w="918" w:type="dxa"/>
            <w:gridSpan w:val="2"/>
            <w:noWrap w:val="0"/>
            <w:vAlign w:val="center"/>
          </w:tcPr>
          <w:p w14:paraId="419E2CE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val="en-US" w:eastAsia="zh-CN"/>
              </w:rPr>
            </w:pPr>
            <w:r>
              <w:rPr>
                <w:rFonts w:hint="default" w:ascii="Times New Roman" w:hAnsi="Times New Roman" w:eastAsia="宋体" w:cs="Times New Roman"/>
                <w:b w:val="0"/>
                <w:bCs w:val="0"/>
                <w:color w:val="auto"/>
                <w:kern w:val="21"/>
                <w:sz w:val="21"/>
                <w:szCs w:val="21"/>
                <w:highlight w:val="none"/>
                <w:lang w:val="en-US" w:eastAsia="zh-CN"/>
              </w:rPr>
              <w:t>氢氧化钠</w:t>
            </w:r>
          </w:p>
        </w:tc>
        <w:tc>
          <w:tcPr>
            <w:tcW w:w="918" w:type="dxa"/>
            <w:gridSpan w:val="3"/>
            <w:shd w:val="clear" w:color="auto" w:fill="auto"/>
            <w:noWrap w:val="0"/>
            <w:vAlign w:val="center"/>
          </w:tcPr>
          <w:p w14:paraId="6415E567">
            <w:pPr>
              <w:pStyle w:val="79"/>
              <w:keepNext w:val="0"/>
              <w:keepLines w:val="0"/>
              <w:pageBreakBefore w:val="0"/>
              <w:widowControl w:val="0"/>
              <w:tabs>
                <w:tab w:val="left" w:pos="261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val="zh-CN" w:eastAsia="zh-CN" w:bidi="zh-CN"/>
              </w:rPr>
            </w:pPr>
            <w:r>
              <w:rPr>
                <w:rFonts w:hint="default" w:ascii="Times New Roman" w:hAnsi="Times New Roman" w:eastAsia="宋体" w:cs="Times New Roman"/>
                <w:b w:val="0"/>
                <w:bCs w:val="0"/>
                <w:color w:val="auto"/>
                <w:kern w:val="21"/>
                <w:sz w:val="21"/>
                <w:szCs w:val="21"/>
                <w:highlight w:val="none"/>
              </w:rPr>
              <w:t>油类物质</w:t>
            </w:r>
          </w:p>
        </w:tc>
        <w:tc>
          <w:tcPr>
            <w:tcW w:w="918" w:type="dxa"/>
            <w:gridSpan w:val="3"/>
            <w:noWrap w:val="0"/>
            <w:vAlign w:val="center"/>
          </w:tcPr>
          <w:p w14:paraId="271298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919" w:type="dxa"/>
            <w:noWrap w:val="0"/>
            <w:vAlign w:val="center"/>
          </w:tcPr>
          <w:p w14:paraId="3AC556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r>
      <w:tr w14:paraId="652F4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8" w:type="dxa"/>
            <w:vMerge w:val="continue"/>
            <w:noWrap w:val="0"/>
            <w:vAlign w:val="center"/>
          </w:tcPr>
          <w:p w14:paraId="1D1611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1210" w:type="dxa"/>
            <w:vMerge w:val="continue"/>
            <w:noWrap w:val="0"/>
            <w:vAlign w:val="center"/>
          </w:tcPr>
          <w:p w14:paraId="63988B3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1130" w:type="dxa"/>
            <w:noWrap w:val="0"/>
            <w:vAlign w:val="center"/>
          </w:tcPr>
          <w:p w14:paraId="5039DE66">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存在总量/t</w:t>
            </w:r>
          </w:p>
        </w:tc>
        <w:tc>
          <w:tcPr>
            <w:tcW w:w="918" w:type="dxa"/>
            <w:gridSpan w:val="2"/>
            <w:noWrap w:val="0"/>
            <w:vAlign w:val="center"/>
          </w:tcPr>
          <w:p w14:paraId="19F2403A">
            <w:pPr>
              <w:pStyle w:val="79"/>
              <w:keepNext w:val="0"/>
              <w:keepLines w:val="0"/>
              <w:pageBreakBefore w:val="0"/>
              <w:widowControl w:val="0"/>
              <w:tabs>
                <w:tab w:val="left" w:pos="261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val="en-US" w:eastAsia="zh-CN"/>
              </w:rPr>
            </w:pPr>
            <w:r>
              <w:rPr>
                <w:rFonts w:hint="default" w:ascii="Times New Roman" w:hAnsi="Times New Roman" w:cs="Times New Roman"/>
                <w:b w:val="0"/>
                <w:bCs w:val="0"/>
                <w:color w:val="auto"/>
                <w:kern w:val="21"/>
                <w:sz w:val="21"/>
                <w:szCs w:val="21"/>
                <w:highlight w:val="none"/>
                <w:lang w:val="en-US" w:eastAsia="zh-CN"/>
              </w:rPr>
              <w:t>42</w:t>
            </w:r>
          </w:p>
        </w:tc>
        <w:tc>
          <w:tcPr>
            <w:tcW w:w="918" w:type="dxa"/>
            <w:gridSpan w:val="2"/>
            <w:noWrap w:val="0"/>
            <w:vAlign w:val="center"/>
          </w:tcPr>
          <w:p w14:paraId="34B10F9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val="en-US" w:eastAsia="zh-CN"/>
              </w:rPr>
            </w:pPr>
            <w:r>
              <w:rPr>
                <w:rFonts w:hint="default" w:ascii="Times New Roman" w:hAnsi="Times New Roman" w:eastAsia="宋体" w:cs="Times New Roman"/>
                <w:b w:val="0"/>
                <w:bCs w:val="0"/>
                <w:color w:val="auto"/>
                <w:kern w:val="21"/>
                <w:sz w:val="21"/>
                <w:szCs w:val="21"/>
                <w:highlight w:val="none"/>
                <w:lang w:val="en-US" w:eastAsia="zh-CN"/>
              </w:rPr>
              <w:t>1.2</w:t>
            </w:r>
          </w:p>
        </w:tc>
        <w:tc>
          <w:tcPr>
            <w:tcW w:w="918" w:type="dxa"/>
            <w:gridSpan w:val="2"/>
            <w:noWrap w:val="0"/>
            <w:vAlign w:val="center"/>
          </w:tcPr>
          <w:p w14:paraId="412C5FC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val="en-US" w:eastAsia="zh-CN"/>
              </w:rPr>
            </w:pPr>
            <w:r>
              <w:rPr>
                <w:rFonts w:hint="default" w:ascii="Times New Roman" w:hAnsi="Times New Roman" w:eastAsia="宋体" w:cs="Times New Roman"/>
                <w:b w:val="0"/>
                <w:bCs w:val="0"/>
                <w:color w:val="auto"/>
                <w:kern w:val="21"/>
                <w:sz w:val="21"/>
                <w:szCs w:val="21"/>
                <w:highlight w:val="none"/>
                <w:lang w:val="en-US" w:eastAsia="zh-CN"/>
              </w:rPr>
              <w:t>0.9</w:t>
            </w:r>
          </w:p>
        </w:tc>
        <w:tc>
          <w:tcPr>
            <w:tcW w:w="918" w:type="dxa"/>
            <w:gridSpan w:val="3"/>
            <w:shd w:val="clear" w:color="auto" w:fill="auto"/>
            <w:noWrap w:val="0"/>
            <w:vAlign w:val="center"/>
          </w:tcPr>
          <w:p w14:paraId="3BA1F158">
            <w:pPr>
              <w:pStyle w:val="79"/>
              <w:keepNext w:val="0"/>
              <w:keepLines w:val="0"/>
              <w:pageBreakBefore w:val="0"/>
              <w:widowControl w:val="0"/>
              <w:tabs>
                <w:tab w:val="left" w:pos="261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val="en-US" w:eastAsia="zh-CN" w:bidi="zh-CN"/>
              </w:rPr>
            </w:pPr>
            <w:r>
              <w:rPr>
                <w:rFonts w:hint="default" w:ascii="Times New Roman" w:hAnsi="Times New Roman" w:eastAsia="宋体" w:cs="Times New Roman"/>
                <w:b w:val="0"/>
                <w:bCs w:val="0"/>
                <w:color w:val="auto"/>
                <w:kern w:val="21"/>
                <w:sz w:val="21"/>
                <w:szCs w:val="21"/>
                <w:highlight w:val="none"/>
                <w:lang w:val="en-US" w:eastAsia="zh-CN"/>
              </w:rPr>
              <w:t>0.1</w:t>
            </w:r>
          </w:p>
        </w:tc>
        <w:tc>
          <w:tcPr>
            <w:tcW w:w="918" w:type="dxa"/>
            <w:gridSpan w:val="3"/>
            <w:noWrap w:val="0"/>
            <w:vAlign w:val="center"/>
          </w:tcPr>
          <w:p w14:paraId="22382B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919" w:type="dxa"/>
            <w:noWrap w:val="0"/>
            <w:vAlign w:val="center"/>
          </w:tcPr>
          <w:p w14:paraId="5452318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r>
      <w:tr w14:paraId="2A923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8" w:type="dxa"/>
            <w:vMerge w:val="continue"/>
            <w:noWrap w:val="0"/>
            <w:vAlign w:val="center"/>
          </w:tcPr>
          <w:p w14:paraId="187B38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1210" w:type="dxa"/>
            <w:vMerge w:val="restart"/>
            <w:noWrap w:val="0"/>
            <w:vAlign w:val="center"/>
          </w:tcPr>
          <w:p w14:paraId="0C4C9643">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环境敏感性</w:t>
            </w:r>
          </w:p>
        </w:tc>
        <w:tc>
          <w:tcPr>
            <w:tcW w:w="1130" w:type="dxa"/>
            <w:vMerge w:val="restart"/>
            <w:noWrap w:val="0"/>
            <w:vAlign w:val="center"/>
          </w:tcPr>
          <w:p w14:paraId="3A8A0CB3">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大气</w:t>
            </w:r>
          </w:p>
        </w:tc>
        <w:tc>
          <w:tcPr>
            <w:tcW w:w="2960" w:type="dxa"/>
            <w:gridSpan w:val="7"/>
            <w:noWrap w:val="0"/>
            <w:vAlign w:val="center"/>
          </w:tcPr>
          <w:p w14:paraId="26574E47">
            <w:pPr>
              <w:pStyle w:val="79"/>
              <w:keepNext w:val="0"/>
              <w:keepLines w:val="0"/>
              <w:pageBreakBefore w:val="0"/>
              <w:widowControl w:val="0"/>
              <w:tabs>
                <w:tab w:val="left" w:pos="261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500m范围内人口数</w:t>
            </w:r>
            <w:r>
              <w:rPr>
                <w:rFonts w:hint="default" w:ascii="Times New Roman" w:hAnsi="Times New Roman" w:eastAsia="宋体" w:cs="Times New Roman"/>
                <w:b w:val="0"/>
                <w:bCs w:val="0"/>
                <w:color w:val="auto"/>
                <w:kern w:val="21"/>
                <w:sz w:val="21"/>
                <w:szCs w:val="21"/>
                <w:highlight w:val="none"/>
                <w:lang w:eastAsia="zh-CN"/>
              </w:rPr>
              <w:t xml:space="preserve"> </w:t>
            </w:r>
            <w:r>
              <w:rPr>
                <w:rFonts w:hint="default" w:ascii="Times New Roman" w:hAnsi="Times New Roman" w:eastAsia="宋体" w:cs="Times New Roman"/>
                <w:b w:val="0"/>
                <w:bCs w:val="0"/>
                <w:color w:val="auto"/>
                <w:kern w:val="21"/>
                <w:sz w:val="21"/>
                <w:szCs w:val="21"/>
                <w:highlight w:val="none"/>
                <w:u w:val="single"/>
                <w:lang w:eastAsia="zh-CN"/>
              </w:rPr>
              <w:t xml:space="preserve"> </w:t>
            </w:r>
            <w:r>
              <w:rPr>
                <w:rFonts w:hint="default" w:ascii="Times New Roman" w:hAnsi="Times New Roman" w:eastAsia="宋体" w:cs="Times New Roman"/>
                <w:b w:val="0"/>
                <w:bCs w:val="0"/>
                <w:color w:val="auto"/>
                <w:kern w:val="21"/>
                <w:sz w:val="21"/>
                <w:szCs w:val="21"/>
                <w:highlight w:val="none"/>
                <w:u w:val="single"/>
                <w:lang w:val="en-US" w:eastAsia="zh-CN"/>
              </w:rPr>
              <w:t>1200</w:t>
            </w:r>
            <w:r>
              <w:rPr>
                <w:rFonts w:hint="default" w:ascii="Times New Roman" w:hAnsi="Times New Roman" w:eastAsia="宋体" w:cs="Times New Roman"/>
                <w:b w:val="0"/>
                <w:bCs w:val="0"/>
                <w:color w:val="auto"/>
                <w:kern w:val="21"/>
                <w:sz w:val="21"/>
                <w:szCs w:val="21"/>
                <w:highlight w:val="none"/>
                <w:u w:val="single"/>
                <w:lang w:eastAsia="zh-CN"/>
              </w:rPr>
              <w:t xml:space="preserve"> </w:t>
            </w:r>
            <w:r>
              <w:rPr>
                <w:rFonts w:hint="default" w:ascii="Times New Roman" w:hAnsi="Times New Roman" w:eastAsia="宋体" w:cs="Times New Roman"/>
                <w:b w:val="0"/>
                <w:bCs w:val="0"/>
                <w:color w:val="auto"/>
                <w:kern w:val="21"/>
                <w:sz w:val="21"/>
                <w:szCs w:val="21"/>
                <w:highlight w:val="none"/>
              </w:rPr>
              <w:t>人</w:t>
            </w:r>
          </w:p>
        </w:tc>
        <w:tc>
          <w:tcPr>
            <w:tcW w:w="2549" w:type="dxa"/>
            <w:gridSpan w:val="6"/>
            <w:noWrap w:val="0"/>
            <w:vAlign w:val="center"/>
          </w:tcPr>
          <w:p w14:paraId="24E89072">
            <w:pPr>
              <w:pStyle w:val="79"/>
              <w:keepNext w:val="0"/>
              <w:keepLines w:val="0"/>
              <w:pageBreakBefore w:val="0"/>
              <w:widowControl w:val="0"/>
              <w:tabs>
                <w:tab w:val="left" w:pos="2602"/>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5km范围内人口数</w:t>
            </w:r>
            <w:r>
              <w:rPr>
                <w:rFonts w:hint="default" w:ascii="Times New Roman" w:hAnsi="Times New Roman" w:eastAsia="宋体" w:cs="Times New Roman"/>
                <w:b w:val="0"/>
                <w:bCs w:val="0"/>
                <w:color w:val="auto"/>
                <w:kern w:val="21"/>
                <w:sz w:val="21"/>
                <w:szCs w:val="21"/>
                <w:highlight w:val="none"/>
                <w:u w:val="single"/>
                <w:lang w:eastAsia="zh-CN"/>
              </w:rPr>
              <w:t xml:space="preserve"> </w:t>
            </w:r>
            <w:r>
              <w:rPr>
                <w:rFonts w:hint="default" w:ascii="Times New Roman" w:hAnsi="Times New Roman" w:eastAsia="宋体" w:cs="Times New Roman"/>
                <w:b w:val="0"/>
                <w:bCs w:val="0"/>
                <w:color w:val="auto"/>
                <w:kern w:val="21"/>
                <w:sz w:val="21"/>
                <w:szCs w:val="21"/>
                <w:highlight w:val="none"/>
                <w:u w:val="single"/>
                <w:lang w:val="en-US" w:eastAsia="zh-CN"/>
              </w:rPr>
              <w:t>60000</w:t>
            </w:r>
            <w:r>
              <w:rPr>
                <w:rFonts w:hint="default" w:ascii="Times New Roman" w:hAnsi="Times New Roman" w:eastAsia="宋体" w:cs="Times New Roman"/>
                <w:b w:val="0"/>
                <w:bCs w:val="0"/>
                <w:color w:val="auto"/>
                <w:kern w:val="21"/>
                <w:sz w:val="21"/>
                <w:szCs w:val="21"/>
                <w:highlight w:val="none"/>
              </w:rPr>
              <w:t>人</w:t>
            </w:r>
          </w:p>
        </w:tc>
      </w:tr>
      <w:tr w14:paraId="5950E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8" w:type="dxa"/>
            <w:vMerge w:val="continue"/>
            <w:noWrap w:val="0"/>
            <w:vAlign w:val="center"/>
          </w:tcPr>
          <w:p w14:paraId="59EB08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1210" w:type="dxa"/>
            <w:vMerge w:val="continue"/>
            <w:noWrap w:val="0"/>
            <w:vAlign w:val="center"/>
          </w:tcPr>
          <w:p w14:paraId="2F1184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1130" w:type="dxa"/>
            <w:vMerge w:val="continue"/>
            <w:noWrap w:val="0"/>
            <w:vAlign w:val="center"/>
          </w:tcPr>
          <w:p w14:paraId="28BD48E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4300" w:type="dxa"/>
            <w:gridSpan w:val="11"/>
            <w:noWrap w:val="0"/>
            <w:vAlign w:val="center"/>
          </w:tcPr>
          <w:p w14:paraId="220D1846">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eastAsia="zh-CN"/>
              </w:rPr>
            </w:pPr>
            <w:r>
              <w:rPr>
                <w:rFonts w:hint="default" w:ascii="Times New Roman" w:hAnsi="Times New Roman" w:eastAsia="宋体" w:cs="Times New Roman"/>
                <w:b w:val="0"/>
                <w:bCs w:val="0"/>
                <w:color w:val="auto"/>
                <w:kern w:val="21"/>
                <w:sz w:val="21"/>
                <w:szCs w:val="21"/>
                <w:highlight w:val="none"/>
                <w:lang w:eastAsia="zh-CN"/>
              </w:rPr>
              <w:t>每公里管段周边200m范围内人口数（最大）</w:t>
            </w:r>
          </w:p>
        </w:tc>
        <w:tc>
          <w:tcPr>
            <w:tcW w:w="1209" w:type="dxa"/>
            <w:gridSpan w:val="2"/>
            <w:noWrap w:val="0"/>
            <w:vAlign w:val="center"/>
          </w:tcPr>
          <w:p w14:paraId="776B6CE1">
            <w:pPr>
              <w:pStyle w:val="79"/>
              <w:keepNext w:val="0"/>
              <w:keepLines w:val="0"/>
              <w:pageBreakBefore w:val="0"/>
              <w:widowControl w:val="0"/>
              <w:tabs>
                <w:tab w:val="left" w:pos="1069"/>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人</w:t>
            </w:r>
          </w:p>
        </w:tc>
      </w:tr>
      <w:tr w14:paraId="26313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8" w:type="dxa"/>
            <w:vMerge w:val="continue"/>
            <w:noWrap w:val="0"/>
            <w:vAlign w:val="center"/>
          </w:tcPr>
          <w:p w14:paraId="01FE49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1210" w:type="dxa"/>
            <w:vMerge w:val="continue"/>
            <w:noWrap w:val="0"/>
            <w:vAlign w:val="center"/>
          </w:tcPr>
          <w:p w14:paraId="0FE731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1130" w:type="dxa"/>
            <w:vMerge w:val="restart"/>
            <w:noWrap w:val="0"/>
            <w:vAlign w:val="center"/>
          </w:tcPr>
          <w:p w14:paraId="36E0EEBF">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地表水</w:t>
            </w:r>
          </w:p>
        </w:tc>
        <w:tc>
          <w:tcPr>
            <w:tcW w:w="1720" w:type="dxa"/>
            <w:gridSpan w:val="3"/>
            <w:noWrap w:val="0"/>
            <w:vAlign w:val="center"/>
          </w:tcPr>
          <w:p w14:paraId="25D8D251">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地表水功能敏感性</w:t>
            </w:r>
          </w:p>
        </w:tc>
        <w:tc>
          <w:tcPr>
            <w:tcW w:w="1240" w:type="dxa"/>
            <w:gridSpan w:val="4"/>
            <w:noWrap w:val="0"/>
            <w:vAlign w:val="center"/>
          </w:tcPr>
          <w:p w14:paraId="59EC5945">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F1 </w:t>
            </w:r>
            <w:r>
              <w:rPr>
                <w:rFonts w:hint="default" w:ascii="Times New Roman" w:hAnsi="Times New Roman" w:eastAsia="宋体" w:cs="Times New Roman"/>
                <w:b w:val="0"/>
                <w:bCs w:val="0"/>
                <w:color w:val="auto"/>
                <w:kern w:val="21"/>
                <w:sz w:val="21"/>
                <w:szCs w:val="21"/>
                <w:highlight w:val="none"/>
                <w:lang w:eastAsia="zh-CN"/>
              </w:rPr>
              <w:t>□</w:t>
            </w:r>
          </w:p>
        </w:tc>
        <w:tc>
          <w:tcPr>
            <w:tcW w:w="1340" w:type="dxa"/>
            <w:gridSpan w:val="4"/>
            <w:noWrap w:val="0"/>
            <w:vAlign w:val="center"/>
          </w:tcPr>
          <w:p w14:paraId="06E8A5F5">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F2 </w:t>
            </w:r>
            <w:r>
              <w:rPr>
                <w:rFonts w:hint="default" w:ascii="Times New Roman" w:hAnsi="Times New Roman" w:eastAsia="宋体" w:cs="Times New Roman"/>
                <w:b w:val="0"/>
                <w:bCs w:val="0"/>
                <w:color w:val="auto"/>
                <w:kern w:val="21"/>
                <w:sz w:val="21"/>
                <w:szCs w:val="21"/>
                <w:highlight w:val="none"/>
                <w:lang w:eastAsia="zh-CN"/>
              </w:rPr>
              <w:t>☑</w:t>
            </w:r>
          </w:p>
        </w:tc>
        <w:tc>
          <w:tcPr>
            <w:tcW w:w="1209" w:type="dxa"/>
            <w:gridSpan w:val="2"/>
            <w:noWrap w:val="0"/>
            <w:vAlign w:val="center"/>
          </w:tcPr>
          <w:p w14:paraId="3EE722F2">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F3 </w:t>
            </w:r>
            <w:r>
              <w:rPr>
                <w:rFonts w:hint="default" w:ascii="Times New Roman" w:hAnsi="Times New Roman" w:eastAsia="宋体" w:cs="Times New Roman"/>
                <w:b w:val="0"/>
                <w:bCs w:val="0"/>
                <w:color w:val="auto"/>
                <w:kern w:val="21"/>
                <w:sz w:val="21"/>
                <w:szCs w:val="21"/>
                <w:highlight w:val="none"/>
                <w:lang w:eastAsia="zh-CN"/>
              </w:rPr>
              <w:t>□</w:t>
            </w:r>
          </w:p>
        </w:tc>
      </w:tr>
      <w:tr w14:paraId="1175E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8" w:type="dxa"/>
            <w:vMerge w:val="continue"/>
            <w:noWrap w:val="0"/>
            <w:vAlign w:val="center"/>
          </w:tcPr>
          <w:p w14:paraId="3D7FEFE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1210" w:type="dxa"/>
            <w:vMerge w:val="continue"/>
            <w:noWrap w:val="0"/>
            <w:vAlign w:val="center"/>
          </w:tcPr>
          <w:p w14:paraId="63E908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1130" w:type="dxa"/>
            <w:vMerge w:val="continue"/>
            <w:noWrap w:val="0"/>
            <w:vAlign w:val="center"/>
          </w:tcPr>
          <w:p w14:paraId="0D7FE4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1720" w:type="dxa"/>
            <w:gridSpan w:val="3"/>
            <w:noWrap w:val="0"/>
            <w:vAlign w:val="center"/>
          </w:tcPr>
          <w:p w14:paraId="7DC73957">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环境敏感目标分级</w:t>
            </w:r>
          </w:p>
        </w:tc>
        <w:tc>
          <w:tcPr>
            <w:tcW w:w="1240" w:type="dxa"/>
            <w:gridSpan w:val="4"/>
            <w:noWrap w:val="0"/>
            <w:vAlign w:val="center"/>
          </w:tcPr>
          <w:p w14:paraId="1E902666">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S1 </w:t>
            </w:r>
            <w:r>
              <w:rPr>
                <w:rFonts w:hint="default" w:ascii="Times New Roman" w:hAnsi="Times New Roman" w:eastAsia="宋体" w:cs="Times New Roman"/>
                <w:b w:val="0"/>
                <w:bCs w:val="0"/>
                <w:color w:val="auto"/>
                <w:kern w:val="21"/>
                <w:sz w:val="21"/>
                <w:szCs w:val="21"/>
                <w:highlight w:val="none"/>
                <w:lang w:eastAsia="zh-CN"/>
              </w:rPr>
              <w:t>□</w:t>
            </w:r>
          </w:p>
        </w:tc>
        <w:tc>
          <w:tcPr>
            <w:tcW w:w="1340" w:type="dxa"/>
            <w:gridSpan w:val="4"/>
            <w:noWrap w:val="0"/>
            <w:vAlign w:val="center"/>
          </w:tcPr>
          <w:p w14:paraId="6102908E">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S2 </w:t>
            </w:r>
            <w:r>
              <w:rPr>
                <w:rFonts w:hint="default" w:ascii="Times New Roman" w:hAnsi="Times New Roman" w:eastAsia="宋体" w:cs="Times New Roman"/>
                <w:b w:val="0"/>
                <w:bCs w:val="0"/>
                <w:color w:val="auto"/>
                <w:kern w:val="21"/>
                <w:sz w:val="21"/>
                <w:szCs w:val="21"/>
                <w:highlight w:val="none"/>
                <w:lang w:eastAsia="zh-CN"/>
              </w:rPr>
              <w:t>□</w:t>
            </w:r>
          </w:p>
        </w:tc>
        <w:tc>
          <w:tcPr>
            <w:tcW w:w="1209" w:type="dxa"/>
            <w:gridSpan w:val="2"/>
            <w:noWrap w:val="0"/>
            <w:vAlign w:val="center"/>
          </w:tcPr>
          <w:p w14:paraId="635A3190">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S3 </w:t>
            </w:r>
            <w:r>
              <w:rPr>
                <w:rFonts w:hint="default" w:ascii="Times New Roman" w:hAnsi="Times New Roman" w:eastAsia="宋体" w:cs="Times New Roman"/>
                <w:b w:val="0"/>
                <w:bCs w:val="0"/>
                <w:color w:val="auto"/>
                <w:kern w:val="21"/>
                <w:sz w:val="21"/>
                <w:szCs w:val="21"/>
                <w:highlight w:val="none"/>
                <w:lang w:eastAsia="zh-CN"/>
              </w:rPr>
              <w:t>☑</w:t>
            </w:r>
          </w:p>
        </w:tc>
      </w:tr>
      <w:tr w14:paraId="728EE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8" w:type="dxa"/>
            <w:vMerge w:val="continue"/>
            <w:noWrap w:val="0"/>
            <w:vAlign w:val="center"/>
          </w:tcPr>
          <w:p w14:paraId="48EF5CB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1210" w:type="dxa"/>
            <w:vMerge w:val="continue"/>
            <w:noWrap w:val="0"/>
            <w:vAlign w:val="center"/>
          </w:tcPr>
          <w:p w14:paraId="7DA3D1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1130" w:type="dxa"/>
            <w:vMerge w:val="restart"/>
            <w:noWrap w:val="0"/>
            <w:vAlign w:val="center"/>
          </w:tcPr>
          <w:p w14:paraId="6041F157">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地下水</w:t>
            </w:r>
          </w:p>
        </w:tc>
        <w:tc>
          <w:tcPr>
            <w:tcW w:w="1720" w:type="dxa"/>
            <w:gridSpan w:val="3"/>
            <w:noWrap w:val="0"/>
            <w:vAlign w:val="center"/>
          </w:tcPr>
          <w:p w14:paraId="24EE4742">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地下水功能敏感性</w:t>
            </w:r>
          </w:p>
        </w:tc>
        <w:tc>
          <w:tcPr>
            <w:tcW w:w="1240" w:type="dxa"/>
            <w:gridSpan w:val="4"/>
            <w:noWrap w:val="0"/>
            <w:vAlign w:val="center"/>
          </w:tcPr>
          <w:p w14:paraId="6A9BE147">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G1 </w:t>
            </w:r>
            <w:r>
              <w:rPr>
                <w:rFonts w:hint="default" w:ascii="Times New Roman" w:hAnsi="Times New Roman" w:eastAsia="宋体" w:cs="Times New Roman"/>
                <w:b w:val="0"/>
                <w:bCs w:val="0"/>
                <w:color w:val="auto"/>
                <w:kern w:val="21"/>
                <w:sz w:val="21"/>
                <w:szCs w:val="21"/>
                <w:highlight w:val="none"/>
                <w:lang w:eastAsia="zh-CN"/>
              </w:rPr>
              <w:t>□</w:t>
            </w:r>
          </w:p>
        </w:tc>
        <w:tc>
          <w:tcPr>
            <w:tcW w:w="1340" w:type="dxa"/>
            <w:gridSpan w:val="4"/>
            <w:noWrap w:val="0"/>
            <w:vAlign w:val="center"/>
          </w:tcPr>
          <w:p w14:paraId="565EEACE">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G2 </w:t>
            </w:r>
            <w:r>
              <w:rPr>
                <w:rFonts w:hint="default" w:ascii="Times New Roman" w:hAnsi="Times New Roman" w:eastAsia="宋体" w:cs="Times New Roman"/>
                <w:b w:val="0"/>
                <w:bCs w:val="0"/>
                <w:color w:val="auto"/>
                <w:kern w:val="21"/>
                <w:sz w:val="21"/>
                <w:szCs w:val="21"/>
                <w:highlight w:val="none"/>
                <w:lang w:eastAsia="zh-CN"/>
              </w:rPr>
              <w:t>□</w:t>
            </w:r>
          </w:p>
        </w:tc>
        <w:tc>
          <w:tcPr>
            <w:tcW w:w="1209" w:type="dxa"/>
            <w:gridSpan w:val="2"/>
            <w:noWrap w:val="0"/>
            <w:vAlign w:val="center"/>
          </w:tcPr>
          <w:p w14:paraId="5CC002E2">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G3 </w:t>
            </w:r>
            <w:r>
              <w:rPr>
                <w:rFonts w:hint="default" w:ascii="Times New Roman" w:hAnsi="Times New Roman" w:eastAsia="宋体" w:cs="Times New Roman"/>
                <w:b w:val="0"/>
                <w:bCs w:val="0"/>
                <w:color w:val="auto"/>
                <w:kern w:val="21"/>
                <w:sz w:val="21"/>
                <w:szCs w:val="21"/>
                <w:highlight w:val="none"/>
                <w:lang w:eastAsia="zh-CN"/>
              </w:rPr>
              <w:t>☑</w:t>
            </w:r>
          </w:p>
        </w:tc>
      </w:tr>
      <w:tr w14:paraId="38C73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8" w:type="dxa"/>
            <w:vMerge w:val="continue"/>
            <w:noWrap w:val="0"/>
            <w:vAlign w:val="center"/>
          </w:tcPr>
          <w:p w14:paraId="10090F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1210" w:type="dxa"/>
            <w:vMerge w:val="continue"/>
            <w:noWrap w:val="0"/>
            <w:vAlign w:val="center"/>
          </w:tcPr>
          <w:p w14:paraId="6E4C53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1130" w:type="dxa"/>
            <w:vMerge w:val="continue"/>
            <w:noWrap w:val="0"/>
            <w:vAlign w:val="center"/>
          </w:tcPr>
          <w:p w14:paraId="2A298E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1720" w:type="dxa"/>
            <w:gridSpan w:val="3"/>
            <w:noWrap w:val="0"/>
            <w:vAlign w:val="center"/>
          </w:tcPr>
          <w:p w14:paraId="24190E24">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包气带防污性能</w:t>
            </w:r>
          </w:p>
        </w:tc>
        <w:tc>
          <w:tcPr>
            <w:tcW w:w="1240" w:type="dxa"/>
            <w:gridSpan w:val="4"/>
            <w:noWrap w:val="0"/>
            <w:vAlign w:val="center"/>
          </w:tcPr>
          <w:p w14:paraId="484467ED">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D1 </w:t>
            </w:r>
            <w:r>
              <w:rPr>
                <w:rFonts w:hint="default" w:ascii="Times New Roman" w:hAnsi="Times New Roman" w:eastAsia="宋体" w:cs="Times New Roman"/>
                <w:b w:val="0"/>
                <w:bCs w:val="0"/>
                <w:color w:val="auto"/>
                <w:kern w:val="21"/>
                <w:sz w:val="21"/>
                <w:szCs w:val="21"/>
                <w:highlight w:val="none"/>
                <w:lang w:eastAsia="zh-CN"/>
              </w:rPr>
              <w:t>□</w:t>
            </w:r>
          </w:p>
        </w:tc>
        <w:tc>
          <w:tcPr>
            <w:tcW w:w="1340" w:type="dxa"/>
            <w:gridSpan w:val="4"/>
            <w:noWrap w:val="0"/>
            <w:vAlign w:val="center"/>
          </w:tcPr>
          <w:p w14:paraId="010AF9DA">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D2 </w:t>
            </w:r>
            <w:r>
              <w:rPr>
                <w:rFonts w:hint="default" w:ascii="Times New Roman" w:hAnsi="Times New Roman" w:eastAsia="宋体" w:cs="Times New Roman"/>
                <w:b w:val="0"/>
                <w:bCs w:val="0"/>
                <w:color w:val="auto"/>
                <w:kern w:val="21"/>
                <w:sz w:val="21"/>
                <w:szCs w:val="21"/>
                <w:highlight w:val="none"/>
                <w:lang w:eastAsia="zh-CN"/>
              </w:rPr>
              <w:t>☑</w:t>
            </w:r>
          </w:p>
        </w:tc>
        <w:tc>
          <w:tcPr>
            <w:tcW w:w="1209" w:type="dxa"/>
            <w:gridSpan w:val="2"/>
            <w:noWrap w:val="0"/>
            <w:vAlign w:val="center"/>
          </w:tcPr>
          <w:p w14:paraId="49CEEE71">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D3 </w:t>
            </w:r>
            <w:r>
              <w:rPr>
                <w:rFonts w:hint="default" w:ascii="Times New Roman" w:hAnsi="Times New Roman" w:eastAsia="宋体" w:cs="Times New Roman"/>
                <w:b w:val="0"/>
                <w:bCs w:val="0"/>
                <w:color w:val="auto"/>
                <w:kern w:val="21"/>
                <w:sz w:val="21"/>
                <w:szCs w:val="21"/>
                <w:highlight w:val="none"/>
                <w:lang w:eastAsia="zh-CN"/>
              </w:rPr>
              <w:t>□</w:t>
            </w:r>
          </w:p>
        </w:tc>
      </w:tr>
      <w:tr w14:paraId="4AD85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98" w:type="dxa"/>
            <w:gridSpan w:val="2"/>
            <w:vMerge w:val="restart"/>
            <w:noWrap w:val="0"/>
            <w:vAlign w:val="center"/>
          </w:tcPr>
          <w:p w14:paraId="0B9EB4D7">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eastAsia="zh-CN"/>
              </w:rPr>
            </w:pPr>
            <w:r>
              <w:rPr>
                <w:rFonts w:hint="default" w:ascii="Times New Roman" w:hAnsi="Times New Roman" w:eastAsia="宋体" w:cs="Times New Roman"/>
                <w:b w:val="0"/>
                <w:bCs w:val="0"/>
                <w:color w:val="auto"/>
                <w:kern w:val="21"/>
                <w:sz w:val="21"/>
                <w:szCs w:val="21"/>
                <w:highlight w:val="none"/>
                <w:lang w:eastAsia="zh-CN"/>
              </w:rPr>
              <w:t>物质及工艺系统危险性</w:t>
            </w:r>
          </w:p>
        </w:tc>
        <w:tc>
          <w:tcPr>
            <w:tcW w:w="1130" w:type="dxa"/>
            <w:noWrap w:val="0"/>
            <w:vAlign w:val="center"/>
          </w:tcPr>
          <w:p w14:paraId="0997C096">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Q值</w:t>
            </w:r>
          </w:p>
        </w:tc>
        <w:tc>
          <w:tcPr>
            <w:tcW w:w="1720" w:type="dxa"/>
            <w:gridSpan w:val="3"/>
            <w:noWrap w:val="0"/>
            <w:vAlign w:val="center"/>
          </w:tcPr>
          <w:p w14:paraId="2D12D853">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Q＜1 </w:t>
            </w:r>
            <w:r>
              <w:rPr>
                <w:rFonts w:hint="default" w:ascii="Times New Roman" w:hAnsi="Times New Roman" w:eastAsia="宋体" w:cs="Times New Roman"/>
                <w:b w:val="0"/>
                <w:bCs w:val="0"/>
                <w:color w:val="auto"/>
                <w:kern w:val="21"/>
                <w:sz w:val="21"/>
                <w:szCs w:val="21"/>
                <w:highlight w:val="none"/>
                <w:lang w:eastAsia="zh-CN"/>
              </w:rPr>
              <w:t>☑</w:t>
            </w:r>
          </w:p>
        </w:tc>
        <w:tc>
          <w:tcPr>
            <w:tcW w:w="1240" w:type="dxa"/>
            <w:gridSpan w:val="4"/>
            <w:noWrap w:val="0"/>
            <w:vAlign w:val="center"/>
          </w:tcPr>
          <w:p w14:paraId="2E3BF360">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1≤Q＜10 </w:t>
            </w:r>
            <w:r>
              <w:rPr>
                <w:rFonts w:hint="default" w:ascii="Times New Roman" w:hAnsi="Times New Roman" w:eastAsia="宋体" w:cs="Times New Roman"/>
                <w:b w:val="0"/>
                <w:bCs w:val="0"/>
                <w:color w:val="auto"/>
                <w:kern w:val="21"/>
                <w:sz w:val="21"/>
                <w:szCs w:val="21"/>
                <w:highlight w:val="none"/>
                <w:lang w:eastAsia="zh-CN"/>
              </w:rPr>
              <w:t>☑</w:t>
            </w:r>
          </w:p>
        </w:tc>
        <w:tc>
          <w:tcPr>
            <w:tcW w:w="1340" w:type="dxa"/>
            <w:gridSpan w:val="4"/>
            <w:noWrap w:val="0"/>
            <w:vAlign w:val="center"/>
          </w:tcPr>
          <w:p w14:paraId="46D83F5D">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10≤Q＜100</w:t>
            </w:r>
            <w:r>
              <w:rPr>
                <w:rFonts w:hint="default" w:ascii="Times New Roman" w:hAnsi="Times New Roman" w:eastAsia="宋体" w:cs="Times New Roman"/>
                <w:b w:val="0"/>
                <w:bCs w:val="0"/>
                <w:color w:val="auto"/>
                <w:kern w:val="21"/>
                <w:sz w:val="21"/>
                <w:szCs w:val="21"/>
                <w:highlight w:val="none"/>
                <w:lang w:eastAsia="zh-CN"/>
              </w:rPr>
              <w:t>□</w:t>
            </w:r>
          </w:p>
        </w:tc>
        <w:tc>
          <w:tcPr>
            <w:tcW w:w="1209" w:type="dxa"/>
            <w:gridSpan w:val="2"/>
            <w:noWrap w:val="0"/>
            <w:vAlign w:val="center"/>
          </w:tcPr>
          <w:p w14:paraId="1C39C282">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Q＞100 </w:t>
            </w:r>
            <w:r>
              <w:rPr>
                <w:rFonts w:hint="default" w:ascii="Times New Roman" w:hAnsi="Times New Roman" w:eastAsia="宋体" w:cs="Times New Roman"/>
                <w:b w:val="0"/>
                <w:bCs w:val="0"/>
                <w:color w:val="auto"/>
                <w:kern w:val="21"/>
                <w:sz w:val="21"/>
                <w:szCs w:val="21"/>
                <w:highlight w:val="none"/>
                <w:lang w:eastAsia="zh-CN"/>
              </w:rPr>
              <w:t>□</w:t>
            </w:r>
          </w:p>
        </w:tc>
      </w:tr>
      <w:tr w14:paraId="18732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98" w:type="dxa"/>
            <w:gridSpan w:val="2"/>
            <w:vMerge w:val="continue"/>
            <w:noWrap w:val="0"/>
            <w:vAlign w:val="center"/>
          </w:tcPr>
          <w:p w14:paraId="32BA15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1130" w:type="dxa"/>
            <w:noWrap w:val="0"/>
            <w:vAlign w:val="center"/>
          </w:tcPr>
          <w:p w14:paraId="7125B98F">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M值</w:t>
            </w:r>
          </w:p>
        </w:tc>
        <w:tc>
          <w:tcPr>
            <w:tcW w:w="1720" w:type="dxa"/>
            <w:gridSpan w:val="3"/>
            <w:noWrap w:val="0"/>
            <w:vAlign w:val="center"/>
          </w:tcPr>
          <w:p w14:paraId="71C3C503">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M1 </w:t>
            </w:r>
            <w:r>
              <w:rPr>
                <w:rFonts w:hint="default" w:ascii="Times New Roman" w:hAnsi="Times New Roman" w:eastAsia="宋体" w:cs="Times New Roman"/>
                <w:b w:val="0"/>
                <w:bCs w:val="0"/>
                <w:color w:val="auto"/>
                <w:kern w:val="21"/>
                <w:sz w:val="21"/>
                <w:szCs w:val="21"/>
                <w:highlight w:val="none"/>
                <w:lang w:eastAsia="zh-CN"/>
              </w:rPr>
              <w:t>□</w:t>
            </w:r>
          </w:p>
        </w:tc>
        <w:tc>
          <w:tcPr>
            <w:tcW w:w="1240" w:type="dxa"/>
            <w:gridSpan w:val="4"/>
            <w:noWrap w:val="0"/>
            <w:vAlign w:val="center"/>
          </w:tcPr>
          <w:p w14:paraId="3A07BD61">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M2 </w:t>
            </w:r>
            <w:r>
              <w:rPr>
                <w:rFonts w:hint="default" w:ascii="Times New Roman" w:hAnsi="Times New Roman" w:eastAsia="宋体" w:cs="Times New Roman"/>
                <w:b w:val="0"/>
                <w:bCs w:val="0"/>
                <w:color w:val="auto"/>
                <w:kern w:val="21"/>
                <w:sz w:val="21"/>
                <w:szCs w:val="21"/>
                <w:highlight w:val="none"/>
                <w:lang w:eastAsia="zh-CN"/>
              </w:rPr>
              <w:t>□</w:t>
            </w:r>
          </w:p>
        </w:tc>
        <w:tc>
          <w:tcPr>
            <w:tcW w:w="1340" w:type="dxa"/>
            <w:gridSpan w:val="4"/>
            <w:noWrap w:val="0"/>
            <w:vAlign w:val="center"/>
          </w:tcPr>
          <w:p w14:paraId="7DED5DA4">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M3 </w:t>
            </w:r>
            <w:r>
              <w:rPr>
                <w:rFonts w:hint="default" w:ascii="Times New Roman" w:hAnsi="Times New Roman" w:eastAsia="宋体" w:cs="Times New Roman"/>
                <w:b w:val="0"/>
                <w:bCs w:val="0"/>
                <w:color w:val="auto"/>
                <w:kern w:val="21"/>
                <w:sz w:val="21"/>
                <w:szCs w:val="21"/>
                <w:highlight w:val="none"/>
                <w:lang w:eastAsia="zh-CN"/>
              </w:rPr>
              <w:t>□</w:t>
            </w:r>
          </w:p>
        </w:tc>
        <w:tc>
          <w:tcPr>
            <w:tcW w:w="1209" w:type="dxa"/>
            <w:gridSpan w:val="2"/>
            <w:noWrap w:val="0"/>
            <w:vAlign w:val="center"/>
          </w:tcPr>
          <w:p w14:paraId="57C1C39C">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M4 </w:t>
            </w:r>
            <w:r>
              <w:rPr>
                <w:rFonts w:hint="default" w:ascii="Times New Roman" w:hAnsi="Times New Roman" w:eastAsia="宋体" w:cs="Times New Roman"/>
                <w:b w:val="0"/>
                <w:bCs w:val="0"/>
                <w:color w:val="auto"/>
                <w:kern w:val="21"/>
                <w:sz w:val="21"/>
                <w:szCs w:val="21"/>
                <w:highlight w:val="none"/>
                <w:lang w:eastAsia="zh-CN"/>
              </w:rPr>
              <w:t>☑</w:t>
            </w:r>
          </w:p>
        </w:tc>
      </w:tr>
      <w:tr w14:paraId="4F860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98" w:type="dxa"/>
            <w:gridSpan w:val="2"/>
            <w:vMerge w:val="continue"/>
            <w:noWrap w:val="0"/>
            <w:vAlign w:val="center"/>
          </w:tcPr>
          <w:p w14:paraId="00026D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1130" w:type="dxa"/>
            <w:noWrap w:val="0"/>
            <w:vAlign w:val="center"/>
          </w:tcPr>
          <w:p w14:paraId="552B0E1C">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P值</w:t>
            </w:r>
          </w:p>
        </w:tc>
        <w:tc>
          <w:tcPr>
            <w:tcW w:w="1720" w:type="dxa"/>
            <w:gridSpan w:val="3"/>
            <w:noWrap w:val="0"/>
            <w:vAlign w:val="center"/>
          </w:tcPr>
          <w:p w14:paraId="26A4BA71">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P1 </w:t>
            </w:r>
            <w:r>
              <w:rPr>
                <w:rFonts w:hint="default" w:ascii="Times New Roman" w:hAnsi="Times New Roman" w:eastAsia="宋体" w:cs="Times New Roman"/>
                <w:b w:val="0"/>
                <w:bCs w:val="0"/>
                <w:color w:val="auto"/>
                <w:kern w:val="21"/>
                <w:sz w:val="21"/>
                <w:szCs w:val="21"/>
                <w:highlight w:val="none"/>
                <w:lang w:eastAsia="zh-CN"/>
              </w:rPr>
              <w:t>□</w:t>
            </w:r>
          </w:p>
        </w:tc>
        <w:tc>
          <w:tcPr>
            <w:tcW w:w="1240" w:type="dxa"/>
            <w:gridSpan w:val="4"/>
            <w:noWrap w:val="0"/>
            <w:vAlign w:val="center"/>
          </w:tcPr>
          <w:p w14:paraId="7147BC75">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P2 </w:t>
            </w:r>
            <w:r>
              <w:rPr>
                <w:rFonts w:hint="default" w:ascii="Times New Roman" w:hAnsi="Times New Roman" w:eastAsia="宋体" w:cs="Times New Roman"/>
                <w:b w:val="0"/>
                <w:bCs w:val="0"/>
                <w:color w:val="auto"/>
                <w:kern w:val="21"/>
                <w:sz w:val="21"/>
                <w:szCs w:val="21"/>
                <w:highlight w:val="none"/>
                <w:lang w:eastAsia="zh-CN"/>
              </w:rPr>
              <w:t>□</w:t>
            </w:r>
          </w:p>
        </w:tc>
        <w:tc>
          <w:tcPr>
            <w:tcW w:w="1340" w:type="dxa"/>
            <w:gridSpan w:val="4"/>
            <w:noWrap w:val="0"/>
            <w:vAlign w:val="center"/>
          </w:tcPr>
          <w:p w14:paraId="3A605FE5">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P3 </w:t>
            </w:r>
            <w:r>
              <w:rPr>
                <w:rFonts w:hint="default" w:ascii="Times New Roman" w:hAnsi="Times New Roman" w:eastAsia="宋体" w:cs="Times New Roman"/>
                <w:b w:val="0"/>
                <w:bCs w:val="0"/>
                <w:color w:val="auto"/>
                <w:kern w:val="21"/>
                <w:sz w:val="21"/>
                <w:szCs w:val="21"/>
                <w:highlight w:val="none"/>
                <w:lang w:eastAsia="zh-CN"/>
              </w:rPr>
              <w:t>□</w:t>
            </w:r>
          </w:p>
        </w:tc>
        <w:tc>
          <w:tcPr>
            <w:tcW w:w="1209" w:type="dxa"/>
            <w:gridSpan w:val="2"/>
            <w:noWrap w:val="0"/>
            <w:vAlign w:val="center"/>
          </w:tcPr>
          <w:p w14:paraId="26A1FCFE">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P4 </w:t>
            </w:r>
            <w:r>
              <w:rPr>
                <w:rFonts w:hint="default" w:ascii="Times New Roman" w:hAnsi="Times New Roman" w:eastAsia="宋体" w:cs="Times New Roman"/>
                <w:b w:val="0"/>
                <w:bCs w:val="0"/>
                <w:color w:val="auto"/>
                <w:kern w:val="21"/>
                <w:sz w:val="21"/>
                <w:szCs w:val="21"/>
                <w:highlight w:val="none"/>
                <w:lang w:eastAsia="zh-CN"/>
              </w:rPr>
              <w:t>☑</w:t>
            </w:r>
          </w:p>
        </w:tc>
      </w:tr>
      <w:tr w14:paraId="2DC0A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98" w:type="dxa"/>
            <w:gridSpan w:val="2"/>
            <w:vMerge w:val="restart"/>
            <w:noWrap w:val="0"/>
            <w:vAlign w:val="center"/>
          </w:tcPr>
          <w:p w14:paraId="3C253C57">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环境敏感程度</w:t>
            </w:r>
          </w:p>
        </w:tc>
        <w:tc>
          <w:tcPr>
            <w:tcW w:w="1130" w:type="dxa"/>
            <w:noWrap w:val="0"/>
            <w:vAlign w:val="center"/>
          </w:tcPr>
          <w:p w14:paraId="7B1E899D">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大气</w:t>
            </w:r>
          </w:p>
        </w:tc>
        <w:tc>
          <w:tcPr>
            <w:tcW w:w="1720" w:type="dxa"/>
            <w:gridSpan w:val="3"/>
            <w:noWrap w:val="0"/>
            <w:vAlign w:val="center"/>
          </w:tcPr>
          <w:p w14:paraId="7D52112E">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E1 </w:t>
            </w:r>
            <w:r>
              <w:rPr>
                <w:rFonts w:hint="default" w:ascii="Times New Roman" w:hAnsi="Times New Roman" w:eastAsia="宋体" w:cs="Times New Roman"/>
                <w:b w:val="0"/>
                <w:bCs w:val="0"/>
                <w:color w:val="auto"/>
                <w:kern w:val="21"/>
                <w:sz w:val="21"/>
                <w:szCs w:val="21"/>
                <w:highlight w:val="none"/>
                <w:lang w:eastAsia="zh-CN"/>
              </w:rPr>
              <w:t>☑</w:t>
            </w:r>
          </w:p>
        </w:tc>
        <w:tc>
          <w:tcPr>
            <w:tcW w:w="1930" w:type="dxa"/>
            <w:gridSpan w:val="5"/>
            <w:noWrap w:val="0"/>
            <w:vAlign w:val="center"/>
          </w:tcPr>
          <w:p w14:paraId="21A9DA8B">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E2 </w:t>
            </w:r>
            <w:r>
              <w:rPr>
                <w:rFonts w:hint="default" w:ascii="Times New Roman" w:hAnsi="Times New Roman" w:eastAsia="宋体" w:cs="Times New Roman"/>
                <w:b w:val="0"/>
                <w:bCs w:val="0"/>
                <w:color w:val="auto"/>
                <w:kern w:val="21"/>
                <w:sz w:val="21"/>
                <w:szCs w:val="21"/>
                <w:highlight w:val="none"/>
                <w:lang w:eastAsia="zh-CN"/>
              </w:rPr>
              <w:t>□</w:t>
            </w:r>
          </w:p>
        </w:tc>
        <w:tc>
          <w:tcPr>
            <w:tcW w:w="1859" w:type="dxa"/>
            <w:gridSpan w:val="5"/>
            <w:noWrap w:val="0"/>
            <w:vAlign w:val="center"/>
          </w:tcPr>
          <w:p w14:paraId="648A1837">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E3 </w:t>
            </w:r>
            <w:r>
              <w:rPr>
                <w:rFonts w:hint="default" w:ascii="Times New Roman" w:hAnsi="Times New Roman" w:eastAsia="宋体" w:cs="Times New Roman"/>
                <w:b w:val="0"/>
                <w:bCs w:val="0"/>
                <w:color w:val="auto"/>
                <w:kern w:val="21"/>
                <w:sz w:val="21"/>
                <w:szCs w:val="21"/>
                <w:highlight w:val="none"/>
                <w:lang w:eastAsia="zh-CN"/>
              </w:rPr>
              <w:t>□</w:t>
            </w:r>
          </w:p>
        </w:tc>
      </w:tr>
      <w:tr w14:paraId="06F9B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98" w:type="dxa"/>
            <w:gridSpan w:val="2"/>
            <w:vMerge w:val="continue"/>
            <w:noWrap w:val="0"/>
            <w:vAlign w:val="center"/>
          </w:tcPr>
          <w:p w14:paraId="3DEF81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1130" w:type="dxa"/>
            <w:noWrap w:val="0"/>
            <w:vAlign w:val="center"/>
          </w:tcPr>
          <w:p w14:paraId="5D7C0E7E">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地表水</w:t>
            </w:r>
          </w:p>
        </w:tc>
        <w:tc>
          <w:tcPr>
            <w:tcW w:w="1720" w:type="dxa"/>
            <w:gridSpan w:val="3"/>
            <w:noWrap w:val="0"/>
            <w:vAlign w:val="center"/>
          </w:tcPr>
          <w:p w14:paraId="0138789F">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E1 </w:t>
            </w:r>
            <w:r>
              <w:rPr>
                <w:rFonts w:hint="default" w:ascii="Times New Roman" w:hAnsi="Times New Roman" w:eastAsia="宋体" w:cs="Times New Roman"/>
                <w:b w:val="0"/>
                <w:bCs w:val="0"/>
                <w:color w:val="auto"/>
                <w:kern w:val="21"/>
                <w:sz w:val="21"/>
                <w:szCs w:val="21"/>
                <w:highlight w:val="none"/>
                <w:lang w:eastAsia="zh-CN"/>
              </w:rPr>
              <w:t>□</w:t>
            </w:r>
          </w:p>
        </w:tc>
        <w:tc>
          <w:tcPr>
            <w:tcW w:w="1930" w:type="dxa"/>
            <w:gridSpan w:val="5"/>
            <w:noWrap w:val="0"/>
            <w:vAlign w:val="center"/>
          </w:tcPr>
          <w:p w14:paraId="701936E7">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E2 </w:t>
            </w:r>
            <w:r>
              <w:rPr>
                <w:rFonts w:hint="default" w:ascii="Times New Roman" w:hAnsi="Times New Roman" w:eastAsia="宋体" w:cs="Times New Roman"/>
                <w:b w:val="0"/>
                <w:bCs w:val="0"/>
                <w:color w:val="auto"/>
                <w:kern w:val="21"/>
                <w:sz w:val="21"/>
                <w:szCs w:val="21"/>
                <w:highlight w:val="none"/>
                <w:lang w:eastAsia="zh-CN"/>
              </w:rPr>
              <w:t>□</w:t>
            </w:r>
          </w:p>
        </w:tc>
        <w:tc>
          <w:tcPr>
            <w:tcW w:w="1859" w:type="dxa"/>
            <w:gridSpan w:val="5"/>
            <w:noWrap w:val="0"/>
            <w:vAlign w:val="center"/>
          </w:tcPr>
          <w:p w14:paraId="24418C45">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E3 </w:t>
            </w:r>
            <w:r>
              <w:rPr>
                <w:rFonts w:hint="default" w:ascii="Times New Roman" w:hAnsi="Times New Roman" w:eastAsia="宋体" w:cs="Times New Roman"/>
                <w:b w:val="0"/>
                <w:bCs w:val="0"/>
                <w:color w:val="auto"/>
                <w:kern w:val="21"/>
                <w:sz w:val="21"/>
                <w:szCs w:val="21"/>
                <w:highlight w:val="none"/>
                <w:lang w:eastAsia="zh-CN"/>
              </w:rPr>
              <w:t>☑</w:t>
            </w:r>
          </w:p>
        </w:tc>
      </w:tr>
      <w:tr w14:paraId="0D545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98" w:type="dxa"/>
            <w:gridSpan w:val="2"/>
            <w:vMerge w:val="continue"/>
            <w:noWrap w:val="0"/>
            <w:vAlign w:val="center"/>
          </w:tcPr>
          <w:p w14:paraId="54D450D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1130" w:type="dxa"/>
            <w:noWrap w:val="0"/>
            <w:vAlign w:val="center"/>
          </w:tcPr>
          <w:p w14:paraId="321D2306">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地下水</w:t>
            </w:r>
          </w:p>
        </w:tc>
        <w:tc>
          <w:tcPr>
            <w:tcW w:w="1720" w:type="dxa"/>
            <w:gridSpan w:val="3"/>
            <w:noWrap w:val="0"/>
            <w:vAlign w:val="center"/>
          </w:tcPr>
          <w:p w14:paraId="1CFFF984">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E1 </w:t>
            </w:r>
            <w:r>
              <w:rPr>
                <w:rFonts w:hint="default" w:ascii="Times New Roman" w:hAnsi="Times New Roman" w:eastAsia="宋体" w:cs="Times New Roman"/>
                <w:b w:val="0"/>
                <w:bCs w:val="0"/>
                <w:color w:val="auto"/>
                <w:kern w:val="21"/>
                <w:sz w:val="21"/>
                <w:szCs w:val="21"/>
                <w:highlight w:val="none"/>
                <w:lang w:eastAsia="zh-CN"/>
              </w:rPr>
              <w:t>□</w:t>
            </w:r>
          </w:p>
        </w:tc>
        <w:tc>
          <w:tcPr>
            <w:tcW w:w="1930" w:type="dxa"/>
            <w:gridSpan w:val="5"/>
            <w:noWrap w:val="0"/>
            <w:vAlign w:val="center"/>
          </w:tcPr>
          <w:p w14:paraId="41D7D964">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E2 </w:t>
            </w:r>
            <w:r>
              <w:rPr>
                <w:rFonts w:hint="default" w:ascii="Times New Roman" w:hAnsi="Times New Roman" w:eastAsia="宋体" w:cs="Times New Roman"/>
                <w:b w:val="0"/>
                <w:bCs w:val="0"/>
                <w:color w:val="auto"/>
                <w:kern w:val="21"/>
                <w:sz w:val="21"/>
                <w:szCs w:val="21"/>
                <w:highlight w:val="none"/>
                <w:lang w:eastAsia="zh-CN"/>
              </w:rPr>
              <w:t>□</w:t>
            </w:r>
          </w:p>
        </w:tc>
        <w:tc>
          <w:tcPr>
            <w:tcW w:w="1859" w:type="dxa"/>
            <w:gridSpan w:val="5"/>
            <w:noWrap w:val="0"/>
            <w:vAlign w:val="center"/>
          </w:tcPr>
          <w:p w14:paraId="2FB8208C">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E3 </w:t>
            </w:r>
            <w:r>
              <w:rPr>
                <w:rFonts w:hint="default" w:ascii="Times New Roman" w:hAnsi="Times New Roman" w:eastAsia="宋体" w:cs="Times New Roman"/>
                <w:b w:val="0"/>
                <w:bCs w:val="0"/>
                <w:color w:val="auto"/>
                <w:kern w:val="21"/>
                <w:sz w:val="21"/>
                <w:szCs w:val="21"/>
                <w:highlight w:val="none"/>
                <w:lang w:eastAsia="zh-CN"/>
              </w:rPr>
              <w:t>☑</w:t>
            </w:r>
          </w:p>
        </w:tc>
      </w:tr>
      <w:tr w14:paraId="4AA3A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98" w:type="dxa"/>
            <w:gridSpan w:val="2"/>
            <w:noWrap w:val="0"/>
            <w:vAlign w:val="center"/>
          </w:tcPr>
          <w:p w14:paraId="571C97A8">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环境风险潜势</w:t>
            </w:r>
          </w:p>
        </w:tc>
        <w:tc>
          <w:tcPr>
            <w:tcW w:w="1130" w:type="dxa"/>
            <w:noWrap w:val="0"/>
            <w:vAlign w:val="center"/>
          </w:tcPr>
          <w:p w14:paraId="4B38B523">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lang w:eastAsia="zh-CN"/>
              </w:rPr>
              <w:t>IV</w:t>
            </w:r>
            <w:r>
              <w:rPr>
                <w:rFonts w:hint="default" w:ascii="Times New Roman" w:hAnsi="Times New Roman" w:eastAsia="宋体" w:cs="Times New Roman"/>
                <w:b w:val="0"/>
                <w:bCs w:val="0"/>
                <w:color w:val="auto"/>
                <w:kern w:val="21"/>
                <w:sz w:val="21"/>
                <w:szCs w:val="21"/>
                <w:highlight w:val="none"/>
                <w:vertAlign w:val="superscript"/>
              </w:rPr>
              <w:t>+</w:t>
            </w:r>
            <w:r>
              <w:rPr>
                <w:rFonts w:hint="default" w:ascii="Times New Roman" w:hAnsi="Times New Roman" w:eastAsia="宋体" w:cs="Times New Roman"/>
                <w:b w:val="0"/>
                <w:bCs w:val="0"/>
                <w:color w:val="auto"/>
                <w:kern w:val="21"/>
                <w:sz w:val="21"/>
                <w:szCs w:val="21"/>
                <w:highlight w:val="none"/>
              </w:rPr>
              <w:t xml:space="preserve"> </w:t>
            </w:r>
            <w:r>
              <w:rPr>
                <w:rFonts w:hint="default" w:ascii="Times New Roman" w:hAnsi="Times New Roman" w:eastAsia="宋体" w:cs="Times New Roman"/>
                <w:b w:val="0"/>
                <w:bCs w:val="0"/>
                <w:color w:val="auto"/>
                <w:kern w:val="21"/>
                <w:sz w:val="21"/>
                <w:szCs w:val="21"/>
                <w:highlight w:val="none"/>
                <w:lang w:eastAsia="zh-CN"/>
              </w:rPr>
              <w:t>□</w:t>
            </w:r>
          </w:p>
        </w:tc>
        <w:tc>
          <w:tcPr>
            <w:tcW w:w="1720" w:type="dxa"/>
            <w:gridSpan w:val="3"/>
            <w:noWrap w:val="0"/>
            <w:vAlign w:val="center"/>
          </w:tcPr>
          <w:p w14:paraId="175F8965">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lang w:eastAsia="zh-CN"/>
              </w:rPr>
              <w:t>IV</w:t>
            </w:r>
            <w:r>
              <w:rPr>
                <w:rFonts w:hint="default" w:ascii="Times New Roman" w:hAnsi="Times New Roman" w:eastAsia="宋体" w:cs="Times New Roman"/>
                <w:b w:val="0"/>
                <w:bCs w:val="0"/>
                <w:color w:val="auto"/>
                <w:kern w:val="21"/>
                <w:sz w:val="21"/>
                <w:szCs w:val="21"/>
                <w:highlight w:val="none"/>
              </w:rPr>
              <w:t xml:space="preserve"> </w:t>
            </w:r>
            <w:r>
              <w:rPr>
                <w:rFonts w:hint="default" w:ascii="Times New Roman" w:hAnsi="Times New Roman" w:eastAsia="宋体" w:cs="Times New Roman"/>
                <w:b w:val="0"/>
                <w:bCs w:val="0"/>
                <w:color w:val="auto"/>
                <w:kern w:val="21"/>
                <w:sz w:val="21"/>
                <w:szCs w:val="21"/>
                <w:highlight w:val="none"/>
                <w:lang w:eastAsia="zh-CN"/>
              </w:rPr>
              <w:t>□</w:t>
            </w:r>
          </w:p>
        </w:tc>
        <w:tc>
          <w:tcPr>
            <w:tcW w:w="1240" w:type="dxa"/>
            <w:gridSpan w:val="4"/>
            <w:noWrap w:val="0"/>
            <w:vAlign w:val="center"/>
          </w:tcPr>
          <w:p w14:paraId="19760333">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cs="Times New Roman"/>
                <w:b w:val="0"/>
                <w:bCs w:val="0"/>
                <w:color w:val="auto"/>
                <w:kern w:val="21"/>
                <w:sz w:val="21"/>
                <w:szCs w:val="21"/>
                <w:highlight w:val="none"/>
                <w:lang w:eastAsia="zh-CN"/>
              </w:rPr>
              <w:t>Ⅲ</w:t>
            </w:r>
            <w:r>
              <w:rPr>
                <w:rFonts w:hint="default" w:ascii="Times New Roman" w:hAnsi="Times New Roman" w:eastAsia="宋体" w:cs="Times New Roman"/>
                <w:b w:val="0"/>
                <w:bCs w:val="0"/>
                <w:color w:val="auto"/>
                <w:kern w:val="21"/>
                <w:sz w:val="21"/>
                <w:szCs w:val="21"/>
                <w:highlight w:val="none"/>
              </w:rPr>
              <w:t xml:space="preserve"> </w:t>
            </w:r>
            <w:r>
              <w:rPr>
                <w:rFonts w:hint="default" w:ascii="Times New Roman" w:hAnsi="Times New Roman" w:eastAsia="宋体" w:cs="Times New Roman"/>
                <w:b w:val="0"/>
                <w:bCs w:val="0"/>
                <w:color w:val="auto"/>
                <w:kern w:val="21"/>
                <w:sz w:val="21"/>
                <w:szCs w:val="21"/>
                <w:highlight w:val="none"/>
                <w:lang w:eastAsia="zh-CN"/>
              </w:rPr>
              <w:t>☑</w:t>
            </w:r>
          </w:p>
        </w:tc>
        <w:tc>
          <w:tcPr>
            <w:tcW w:w="1340" w:type="dxa"/>
            <w:gridSpan w:val="4"/>
            <w:noWrap w:val="0"/>
            <w:vAlign w:val="center"/>
          </w:tcPr>
          <w:p w14:paraId="402C25FD">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lang w:eastAsia="zh-CN"/>
              </w:rPr>
              <w:t>II</w:t>
            </w:r>
            <w:r>
              <w:rPr>
                <w:rFonts w:hint="default" w:ascii="Times New Roman" w:hAnsi="Times New Roman" w:eastAsia="宋体" w:cs="Times New Roman"/>
                <w:b w:val="0"/>
                <w:bCs w:val="0"/>
                <w:color w:val="auto"/>
                <w:kern w:val="21"/>
                <w:sz w:val="21"/>
                <w:szCs w:val="21"/>
                <w:highlight w:val="none"/>
              </w:rPr>
              <w:t xml:space="preserve"> </w:t>
            </w:r>
            <w:r>
              <w:rPr>
                <w:rFonts w:hint="default" w:ascii="Times New Roman" w:hAnsi="Times New Roman" w:eastAsia="宋体" w:cs="Times New Roman"/>
                <w:b w:val="0"/>
                <w:bCs w:val="0"/>
                <w:color w:val="auto"/>
                <w:kern w:val="21"/>
                <w:sz w:val="21"/>
                <w:szCs w:val="21"/>
                <w:highlight w:val="none"/>
                <w:lang w:eastAsia="zh-CN"/>
              </w:rPr>
              <w:t>□</w:t>
            </w:r>
          </w:p>
        </w:tc>
        <w:tc>
          <w:tcPr>
            <w:tcW w:w="1209" w:type="dxa"/>
            <w:gridSpan w:val="2"/>
            <w:noWrap w:val="0"/>
            <w:vAlign w:val="center"/>
          </w:tcPr>
          <w:p w14:paraId="453AA506">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lang w:eastAsia="zh-CN"/>
              </w:rPr>
              <w:t>I</w:t>
            </w:r>
            <w:r>
              <w:rPr>
                <w:rFonts w:hint="default" w:ascii="Times New Roman" w:hAnsi="Times New Roman" w:eastAsia="宋体" w:cs="Times New Roman"/>
                <w:b w:val="0"/>
                <w:bCs w:val="0"/>
                <w:color w:val="auto"/>
                <w:kern w:val="21"/>
                <w:sz w:val="21"/>
                <w:szCs w:val="21"/>
                <w:highlight w:val="none"/>
              </w:rPr>
              <w:t xml:space="preserve"> </w:t>
            </w:r>
            <w:r>
              <w:rPr>
                <w:rFonts w:hint="default" w:ascii="Times New Roman" w:hAnsi="Times New Roman" w:eastAsia="宋体" w:cs="Times New Roman"/>
                <w:b w:val="0"/>
                <w:bCs w:val="0"/>
                <w:color w:val="auto"/>
                <w:kern w:val="21"/>
                <w:sz w:val="21"/>
                <w:szCs w:val="21"/>
                <w:highlight w:val="none"/>
                <w:lang w:eastAsia="zh-CN"/>
              </w:rPr>
              <w:t>□</w:t>
            </w:r>
          </w:p>
        </w:tc>
      </w:tr>
      <w:tr w14:paraId="7FA7A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98" w:type="dxa"/>
            <w:gridSpan w:val="2"/>
            <w:noWrap w:val="0"/>
            <w:vAlign w:val="center"/>
          </w:tcPr>
          <w:p w14:paraId="784BE4D3">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评价等级</w:t>
            </w:r>
          </w:p>
        </w:tc>
        <w:tc>
          <w:tcPr>
            <w:tcW w:w="1659" w:type="dxa"/>
            <w:gridSpan w:val="2"/>
            <w:noWrap w:val="0"/>
            <w:vAlign w:val="center"/>
          </w:tcPr>
          <w:p w14:paraId="1ACE64A8">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一级 </w:t>
            </w:r>
            <w:r>
              <w:rPr>
                <w:rFonts w:hint="default" w:ascii="Times New Roman" w:hAnsi="Times New Roman" w:eastAsia="宋体" w:cs="Times New Roman"/>
                <w:b w:val="0"/>
                <w:bCs w:val="0"/>
                <w:color w:val="auto"/>
                <w:kern w:val="21"/>
                <w:sz w:val="21"/>
                <w:szCs w:val="21"/>
                <w:highlight w:val="none"/>
                <w:lang w:eastAsia="zh-CN"/>
              </w:rPr>
              <w:t>□</w:t>
            </w:r>
          </w:p>
        </w:tc>
        <w:tc>
          <w:tcPr>
            <w:tcW w:w="1660" w:type="dxa"/>
            <w:gridSpan w:val="4"/>
            <w:noWrap w:val="0"/>
            <w:vAlign w:val="center"/>
          </w:tcPr>
          <w:p w14:paraId="4A0A0045">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二级 </w:t>
            </w:r>
            <w:r>
              <w:rPr>
                <w:rFonts w:hint="default" w:ascii="Times New Roman" w:hAnsi="Times New Roman" w:eastAsia="宋体" w:cs="Times New Roman"/>
                <w:b w:val="0"/>
                <w:bCs w:val="0"/>
                <w:color w:val="auto"/>
                <w:kern w:val="21"/>
                <w:sz w:val="21"/>
                <w:szCs w:val="21"/>
                <w:highlight w:val="none"/>
                <w:lang w:eastAsia="zh-CN"/>
              </w:rPr>
              <w:t>☑</w:t>
            </w:r>
          </w:p>
        </w:tc>
        <w:tc>
          <w:tcPr>
            <w:tcW w:w="1659" w:type="dxa"/>
            <w:gridSpan w:val="5"/>
            <w:noWrap w:val="0"/>
            <w:vAlign w:val="center"/>
          </w:tcPr>
          <w:p w14:paraId="06408224">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三级 </w:t>
            </w:r>
            <w:r>
              <w:rPr>
                <w:rFonts w:hint="default" w:ascii="Times New Roman" w:hAnsi="Times New Roman" w:eastAsia="宋体" w:cs="Times New Roman"/>
                <w:b w:val="0"/>
                <w:bCs w:val="0"/>
                <w:color w:val="auto"/>
                <w:kern w:val="21"/>
                <w:sz w:val="21"/>
                <w:szCs w:val="21"/>
                <w:highlight w:val="none"/>
                <w:lang w:eastAsia="zh-CN"/>
              </w:rPr>
              <w:t>□</w:t>
            </w:r>
          </w:p>
        </w:tc>
        <w:tc>
          <w:tcPr>
            <w:tcW w:w="1661" w:type="dxa"/>
            <w:gridSpan w:val="3"/>
            <w:noWrap w:val="0"/>
            <w:vAlign w:val="center"/>
          </w:tcPr>
          <w:p w14:paraId="732CD430">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简单分析 </w:t>
            </w:r>
            <w:r>
              <w:rPr>
                <w:rFonts w:hint="default" w:ascii="Times New Roman" w:hAnsi="Times New Roman" w:eastAsia="宋体" w:cs="Times New Roman"/>
                <w:b w:val="0"/>
                <w:bCs w:val="0"/>
                <w:color w:val="auto"/>
                <w:kern w:val="21"/>
                <w:sz w:val="21"/>
                <w:szCs w:val="21"/>
                <w:highlight w:val="none"/>
                <w:lang w:eastAsia="zh-CN"/>
              </w:rPr>
              <w:t>□</w:t>
            </w:r>
          </w:p>
        </w:tc>
      </w:tr>
      <w:tr w14:paraId="51240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8" w:type="dxa"/>
            <w:vMerge w:val="restart"/>
            <w:noWrap w:val="0"/>
            <w:vAlign w:val="center"/>
          </w:tcPr>
          <w:p w14:paraId="47110212">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风险识别</w:t>
            </w:r>
          </w:p>
        </w:tc>
        <w:tc>
          <w:tcPr>
            <w:tcW w:w="1210" w:type="dxa"/>
            <w:noWrap w:val="0"/>
            <w:vAlign w:val="center"/>
          </w:tcPr>
          <w:p w14:paraId="0E3800F3">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物质危险性</w:t>
            </w:r>
          </w:p>
        </w:tc>
        <w:tc>
          <w:tcPr>
            <w:tcW w:w="3319" w:type="dxa"/>
            <w:gridSpan w:val="6"/>
            <w:noWrap w:val="0"/>
            <w:vAlign w:val="center"/>
          </w:tcPr>
          <w:p w14:paraId="46EEA422">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有毒有害 </w:t>
            </w:r>
            <w:r>
              <w:rPr>
                <w:rFonts w:hint="default" w:ascii="Times New Roman" w:hAnsi="Times New Roman" w:eastAsia="宋体" w:cs="Times New Roman"/>
                <w:b w:val="0"/>
                <w:bCs w:val="0"/>
                <w:color w:val="auto"/>
                <w:kern w:val="21"/>
                <w:sz w:val="21"/>
                <w:szCs w:val="21"/>
                <w:highlight w:val="none"/>
                <w:lang w:eastAsia="zh-CN"/>
              </w:rPr>
              <w:t>□</w:t>
            </w:r>
          </w:p>
        </w:tc>
        <w:tc>
          <w:tcPr>
            <w:tcW w:w="3320" w:type="dxa"/>
            <w:gridSpan w:val="8"/>
            <w:noWrap w:val="0"/>
            <w:vAlign w:val="center"/>
          </w:tcPr>
          <w:p w14:paraId="1AA951EB">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eastAsia="zh-CN"/>
              </w:rPr>
            </w:pPr>
            <w:r>
              <w:rPr>
                <w:rFonts w:hint="default" w:ascii="Times New Roman" w:hAnsi="Times New Roman" w:eastAsia="宋体" w:cs="Times New Roman"/>
                <w:b w:val="0"/>
                <w:bCs w:val="0"/>
                <w:color w:val="auto"/>
                <w:kern w:val="21"/>
                <w:sz w:val="21"/>
                <w:szCs w:val="21"/>
                <w:highlight w:val="none"/>
              </w:rPr>
              <w:t xml:space="preserve">易燃易爆 </w:t>
            </w:r>
            <w:r>
              <w:rPr>
                <w:rFonts w:hint="default" w:ascii="Times New Roman" w:hAnsi="Times New Roman" w:eastAsia="宋体" w:cs="Times New Roman"/>
                <w:b w:val="0"/>
                <w:bCs w:val="0"/>
                <w:color w:val="auto"/>
                <w:kern w:val="21"/>
                <w:sz w:val="21"/>
                <w:szCs w:val="21"/>
                <w:highlight w:val="none"/>
                <w:lang w:eastAsia="zh-CN"/>
              </w:rPr>
              <w:t>☑</w:t>
            </w:r>
          </w:p>
        </w:tc>
      </w:tr>
      <w:tr w14:paraId="73B5C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8" w:type="dxa"/>
            <w:vMerge w:val="continue"/>
            <w:noWrap w:val="0"/>
            <w:vAlign w:val="center"/>
          </w:tcPr>
          <w:p w14:paraId="292D65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1210" w:type="dxa"/>
            <w:noWrap w:val="0"/>
            <w:vAlign w:val="center"/>
          </w:tcPr>
          <w:p w14:paraId="0B7D15BC">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spacing w:val="-11"/>
                <w:kern w:val="21"/>
                <w:sz w:val="21"/>
                <w:szCs w:val="21"/>
                <w:highlight w:val="none"/>
              </w:rPr>
              <w:t>环境风险类型</w:t>
            </w:r>
          </w:p>
        </w:tc>
        <w:tc>
          <w:tcPr>
            <w:tcW w:w="2850" w:type="dxa"/>
            <w:gridSpan w:val="4"/>
            <w:noWrap w:val="0"/>
            <w:vAlign w:val="center"/>
          </w:tcPr>
          <w:p w14:paraId="7FDC95AB">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泄漏</w:t>
            </w:r>
            <w:r>
              <w:rPr>
                <w:rFonts w:hint="default" w:ascii="Times New Roman" w:hAnsi="Times New Roman" w:eastAsia="宋体" w:cs="Times New Roman"/>
                <w:b w:val="0"/>
                <w:bCs w:val="0"/>
                <w:color w:val="auto"/>
                <w:kern w:val="21"/>
                <w:sz w:val="21"/>
                <w:szCs w:val="21"/>
                <w:highlight w:val="none"/>
                <w:lang w:eastAsia="zh-CN"/>
              </w:rPr>
              <w:t>☑</w:t>
            </w:r>
          </w:p>
        </w:tc>
        <w:tc>
          <w:tcPr>
            <w:tcW w:w="3789" w:type="dxa"/>
            <w:gridSpan w:val="10"/>
            <w:noWrap w:val="0"/>
            <w:vAlign w:val="center"/>
          </w:tcPr>
          <w:p w14:paraId="0E60C499">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eastAsia="zh-CN"/>
              </w:rPr>
            </w:pPr>
            <w:r>
              <w:rPr>
                <w:rFonts w:hint="default" w:ascii="Times New Roman" w:hAnsi="Times New Roman" w:eastAsia="宋体" w:cs="Times New Roman"/>
                <w:b w:val="0"/>
                <w:bCs w:val="0"/>
                <w:color w:val="auto"/>
                <w:kern w:val="21"/>
                <w:sz w:val="21"/>
                <w:szCs w:val="21"/>
                <w:highlight w:val="none"/>
                <w:lang w:eastAsia="zh-CN"/>
              </w:rPr>
              <w:t>火灾、爆炸引发伴生/次生污染物排放 ☑</w:t>
            </w:r>
          </w:p>
        </w:tc>
      </w:tr>
      <w:tr w14:paraId="0DB61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8" w:type="dxa"/>
            <w:vMerge w:val="continue"/>
            <w:noWrap w:val="0"/>
            <w:vAlign w:val="center"/>
          </w:tcPr>
          <w:p w14:paraId="1CFF4E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eastAsia="zh-CN"/>
              </w:rPr>
            </w:pPr>
          </w:p>
        </w:tc>
        <w:tc>
          <w:tcPr>
            <w:tcW w:w="1210" w:type="dxa"/>
            <w:noWrap w:val="0"/>
            <w:vAlign w:val="center"/>
          </w:tcPr>
          <w:p w14:paraId="182E49FB">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影响途径</w:t>
            </w:r>
          </w:p>
        </w:tc>
        <w:tc>
          <w:tcPr>
            <w:tcW w:w="2850" w:type="dxa"/>
            <w:gridSpan w:val="4"/>
            <w:noWrap w:val="0"/>
            <w:vAlign w:val="center"/>
          </w:tcPr>
          <w:p w14:paraId="0EF1DF6B">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大气 </w:t>
            </w:r>
            <w:r>
              <w:rPr>
                <w:rFonts w:hint="default" w:ascii="Times New Roman" w:hAnsi="Times New Roman" w:eastAsia="宋体" w:cs="Times New Roman"/>
                <w:b w:val="0"/>
                <w:bCs w:val="0"/>
                <w:color w:val="auto"/>
                <w:kern w:val="21"/>
                <w:sz w:val="21"/>
                <w:szCs w:val="21"/>
                <w:highlight w:val="none"/>
                <w:lang w:eastAsia="zh-CN"/>
              </w:rPr>
              <w:t>☑</w:t>
            </w:r>
          </w:p>
        </w:tc>
        <w:tc>
          <w:tcPr>
            <w:tcW w:w="1930" w:type="dxa"/>
            <w:gridSpan w:val="5"/>
            <w:noWrap w:val="0"/>
            <w:vAlign w:val="center"/>
          </w:tcPr>
          <w:p w14:paraId="5F70EFEC">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地表水 </w:t>
            </w:r>
            <w:r>
              <w:rPr>
                <w:rFonts w:hint="default" w:ascii="Times New Roman" w:hAnsi="Times New Roman" w:eastAsia="宋体" w:cs="Times New Roman"/>
                <w:b w:val="0"/>
                <w:bCs w:val="0"/>
                <w:color w:val="auto"/>
                <w:kern w:val="21"/>
                <w:sz w:val="21"/>
                <w:szCs w:val="21"/>
                <w:highlight w:val="none"/>
                <w:lang w:eastAsia="zh-CN"/>
              </w:rPr>
              <w:t>□</w:t>
            </w:r>
          </w:p>
        </w:tc>
        <w:tc>
          <w:tcPr>
            <w:tcW w:w="1859" w:type="dxa"/>
            <w:gridSpan w:val="5"/>
            <w:noWrap w:val="0"/>
            <w:vAlign w:val="center"/>
          </w:tcPr>
          <w:p w14:paraId="4974C533">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地下水</w:t>
            </w:r>
            <w:r>
              <w:rPr>
                <w:rFonts w:hint="default" w:ascii="Times New Roman" w:hAnsi="Times New Roman" w:eastAsia="宋体" w:cs="Times New Roman"/>
                <w:b w:val="0"/>
                <w:bCs w:val="0"/>
                <w:color w:val="auto"/>
                <w:kern w:val="21"/>
                <w:sz w:val="21"/>
                <w:szCs w:val="21"/>
                <w:highlight w:val="none"/>
                <w:lang w:eastAsia="zh-CN"/>
              </w:rPr>
              <w:t>□</w:t>
            </w:r>
          </w:p>
        </w:tc>
      </w:tr>
      <w:tr w14:paraId="66E88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98" w:type="dxa"/>
            <w:gridSpan w:val="2"/>
            <w:noWrap w:val="0"/>
            <w:vAlign w:val="center"/>
          </w:tcPr>
          <w:p w14:paraId="40C5E9B8">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事故情形分析</w:t>
            </w:r>
          </w:p>
        </w:tc>
        <w:tc>
          <w:tcPr>
            <w:tcW w:w="1130" w:type="dxa"/>
            <w:noWrap w:val="0"/>
            <w:vAlign w:val="center"/>
          </w:tcPr>
          <w:p w14:paraId="73751DC2">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spacing w:val="-17"/>
                <w:kern w:val="21"/>
                <w:sz w:val="21"/>
                <w:szCs w:val="21"/>
                <w:highlight w:val="none"/>
              </w:rPr>
              <w:t>源强设定方法</w:t>
            </w:r>
          </w:p>
        </w:tc>
        <w:tc>
          <w:tcPr>
            <w:tcW w:w="1720" w:type="dxa"/>
            <w:gridSpan w:val="3"/>
            <w:noWrap w:val="0"/>
            <w:vAlign w:val="center"/>
          </w:tcPr>
          <w:p w14:paraId="36BB6093">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计算法 </w:t>
            </w:r>
            <w:r>
              <w:rPr>
                <w:rFonts w:hint="default" w:ascii="Times New Roman" w:hAnsi="Times New Roman" w:eastAsia="宋体" w:cs="Times New Roman"/>
                <w:b w:val="0"/>
                <w:bCs w:val="0"/>
                <w:color w:val="auto"/>
                <w:kern w:val="21"/>
                <w:sz w:val="21"/>
                <w:szCs w:val="21"/>
                <w:highlight w:val="none"/>
                <w:lang w:eastAsia="zh-CN"/>
              </w:rPr>
              <w:t>☑</w:t>
            </w:r>
          </w:p>
        </w:tc>
        <w:tc>
          <w:tcPr>
            <w:tcW w:w="1930" w:type="dxa"/>
            <w:gridSpan w:val="5"/>
            <w:noWrap w:val="0"/>
            <w:vAlign w:val="center"/>
          </w:tcPr>
          <w:p w14:paraId="65DCCDFC">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经验估算法 </w:t>
            </w:r>
            <w:r>
              <w:rPr>
                <w:rFonts w:hint="default" w:ascii="Times New Roman" w:hAnsi="Times New Roman" w:eastAsia="宋体" w:cs="Times New Roman"/>
                <w:b w:val="0"/>
                <w:bCs w:val="0"/>
                <w:color w:val="auto"/>
                <w:kern w:val="21"/>
                <w:sz w:val="21"/>
                <w:szCs w:val="21"/>
                <w:highlight w:val="none"/>
                <w:lang w:eastAsia="zh-CN"/>
              </w:rPr>
              <w:t>□</w:t>
            </w:r>
          </w:p>
        </w:tc>
        <w:tc>
          <w:tcPr>
            <w:tcW w:w="1859" w:type="dxa"/>
            <w:gridSpan w:val="5"/>
            <w:noWrap w:val="0"/>
            <w:vAlign w:val="center"/>
          </w:tcPr>
          <w:p w14:paraId="0B9645E6">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其他估算法 </w:t>
            </w:r>
            <w:r>
              <w:rPr>
                <w:rFonts w:hint="default" w:ascii="Times New Roman" w:hAnsi="Times New Roman" w:eastAsia="宋体" w:cs="Times New Roman"/>
                <w:b w:val="0"/>
                <w:bCs w:val="0"/>
                <w:color w:val="auto"/>
                <w:kern w:val="21"/>
                <w:sz w:val="21"/>
                <w:szCs w:val="21"/>
                <w:highlight w:val="none"/>
                <w:lang w:eastAsia="zh-CN"/>
              </w:rPr>
              <w:t>□</w:t>
            </w:r>
          </w:p>
        </w:tc>
      </w:tr>
      <w:tr w14:paraId="37417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8" w:type="dxa"/>
            <w:vMerge w:val="restart"/>
            <w:noWrap w:val="0"/>
            <w:vAlign w:val="center"/>
          </w:tcPr>
          <w:p w14:paraId="01CC15E7">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风险 预测 与评价</w:t>
            </w:r>
          </w:p>
        </w:tc>
        <w:tc>
          <w:tcPr>
            <w:tcW w:w="1210" w:type="dxa"/>
            <w:vMerge w:val="restart"/>
            <w:noWrap w:val="0"/>
            <w:vAlign w:val="center"/>
          </w:tcPr>
          <w:p w14:paraId="71AA4B7F">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大气</w:t>
            </w:r>
          </w:p>
        </w:tc>
        <w:tc>
          <w:tcPr>
            <w:tcW w:w="1130" w:type="dxa"/>
            <w:noWrap w:val="0"/>
            <w:vAlign w:val="center"/>
          </w:tcPr>
          <w:p w14:paraId="3BD4DC12">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预测模型</w:t>
            </w:r>
          </w:p>
        </w:tc>
        <w:tc>
          <w:tcPr>
            <w:tcW w:w="1720" w:type="dxa"/>
            <w:gridSpan w:val="3"/>
            <w:noWrap w:val="0"/>
            <w:vAlign w:val="center"/>
          </w:tcPr>
          <w:p w14:paraId="22F36D91">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SLAB </w:t>
            </w:r>
            <w:r>
              <w:rPr>
                <w:rFonts w:hint="default" w:ascii="Times New Roman" w:hAnsi="Times New Roman" w:eastAsia="宋体" w:cs="Times New Roman"/>
                <w:b w:val="0"/>
                <w:bCs w:val="0"/>
                <w:color w:val="auto"/>
                <w:kern w:val="21"/>
                <w:sz w:val="21"/>
                <w:szCs w:val="21"/>
                <w:highlight w:val="none"/>
                <w:lang w:eastAsia="zh-CN"/>
              </w:rPr>
              <w:t>□</w:t>
            </w:r>
          </w:p>
        </w:tc>
        <w:tc>
          <w:tcPr>
            <w:tcW w:w="1930" w:type="dxa"/>
            <w:gridSpan w:val="5"/>
            <w:noWrap w:val="0"/>
            <w:vAlign w:val="center"/>
          </w:tcPr>
          <w:p w14:paraId="74400017">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AFTOX </w:t>
            </w:r>
            <w:r>
              <w:rPr>
                <w:rFonts w:hint="default" w:ascii="Times New Roman" w:hAnsi="Times New Roman" w:eastAsia="宋体" w:cs="Times New Roman"/>
                <w:b w:val="0"/>
                <w:bCs w:val="0"/>
                <w:color w:val="auto"/>
                <w:kern w:val="21"/>
                <w:sz w:val="21"/>
                <w:szCs w:val="21"/>
                <w:highlight w:val="none"/>
                <w:lang w:eastAsia="zh-CN"/>
              </w:rPr>
              <w:t>☑</w:t>
            </w:r>
          </w:p>
        </w:tc>
        <w:tc>
          <w:tcPr>
            <w:tcW w:w="1859" w:type="dxa"/>
            <w:gridSpan w:val="5"/>
            <w:noWrap w:val="0"/>
            <w:vAlign w:val="center"/>
          </w:tcPr>
          <w:p w14:paraId="047CBDDD">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 xml:space="preserve">其他 </w:t>
            </w:r>
            <w:r>
              <w:rPr>
                <w:rFonts w:hint="default" w:ascii="Times New Roman" w:hAnsi="Times New Roman" w:eastAsia="宋体" w:cs="Times New Roman"/>
                <w:b w:val="0"/>
                <w:bCs w:val="0"/>
                <w:color w:val="auto"/>
                <w:kern w:val="21"/>
                <w:sz w:val="21"/>
                <w:szCs w:val="21"/>
                <w:highlight w:val="none"/>
                <w:lang w:eastAsia="zh-CN"/>
              </w:rPr>
              <w:t>□</w:t>
            </w:r>
          </w:p>
        </w:tc>
      </w:tr>
      <w:tr w14:paraId="2471F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8" w:type="dxa"/>
            <w:vMerge w:val="continue"/>
            <w:noWrap w:val="0"/>
            <w:vAlign w:val="center"/>
          </w:tcPr>
          <w:p w14:paraId="08CE06D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1210" w:type="dxa"/>
            <w:vMerge w:val="continue"/>
            <w:noWrap w:val="0"/>
            <w:vAlign w:val="center"/>
          </w:tcPr>
          <w:p w14:paraId="1F60FA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p>
        </w:tc>
        <w:tc>
          <w:tcPr>
            <w:tcW w:w="1130" w:type="dxa"/>
            <w:vMerge w:val="restart"/>
            <w:noWrap w:val="0"/>
            <w:vAlign w:val="center"/>
          </w:tcPr>
          <w:p w14:paraId="7BC01BE2">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预测结果</w:t>
            </w:r>
          </w:p>
        </w:tc>
        <w:tc>
          <w:tcPr>
            <w:tcW w:w="5509" w:type="dxa"/>
            <w:gridSpan w:val="13"/>
            <w:noWrap w:val="0"/>
            <w:vAlign w:val="center"/>
          </w:tcPr>
          <w:p w14:paraId="6400B213">
            <w:pPr>
              <w:pStyle w:val="79"/>
              <w:keepNext w:val="0"/>
              <w:keepLines w:val="0"/>
              <w:pageBreakBefore w:val="0"/>
              <w:widowControl w:val="0"/>
              <w:tabs>
                <w:tab w:val="left" w:pos="461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eastAsia="zh-CN"/>
              </w:rPr>
            </w:pPr>
            <w:r>
              <w:rPr>
                <w:rFonts w:hint="default" w:ascii="Times New Roman" w:hAnsi="Times New Roman" w:eastAsia="宋体" w:cs="Times New Roman"/>
                <w:b w:val="0"/>
                <w:bCs w:val="0"/>
                <w:color w:val="auto"/>
                <w:kern w:val="21"/>
                <w:sz w:val="21"/>
                <w:szCs w:val="21"/>
                <w:highlight w:val="none"/>
                <w:lang w:eastAsia="zh-CN"/>
              </w:rPr>
              <w:t>大气毒性终点浓度-1  最大影响范围</w:t>
            </w:r>
            <w:r>
              <w:rPr>
                <w:rFonts w:hint="default" w:ascii="Times New Roman" w:hAnsi="Times New Roman" w:eastAsia="宋体" w:cs="Times New Roman"/>
                <w:b w:val="0"/>
                <w:bCs w:val="0"/>
                <w:color w:val="auto"/>
                <w:kern w:val="21"/>
                <w:sz w:val="21"/>
                <w:szCs w:val="21"/>
                <w:highlight w:val="none"/>
                <w:u w:val="single" w:color="000000"/>
                <w:lang w:eastAsia="zh-CN"/>
              </w:rPr>
              <w:t xml:space="preserve"> </w:t>
            </w:r>
            <w:r>
              <w:rPr>
                <w:rFonts w:hint="default" w:ascii="Times New Roman" w:hAnsi="Times New Roman" w:eastAsia="宋体" w:cs="Times New Roman"/>
                <w:b w:val="0"/>
                <w:bCs w:val="0"/>
                <w:color w:val="auto"/>
                <w:kern w:val="21"/>
                <w:sz w:val="21"/>
                <w:szCs w:val="21"/>
                <w:highlight w:val="none"/>
                <w:u w:val="single" w:color="000000"/>
                <w:lang w:val="en-US" w:eastAsia="zh-CN"/>
              </w:rPr>
              <w:t>133.9</w:t>
            </w:r>
            <w:r>
              <w:rPr>
                <w:rFonts w:hint="default" w:ascii="Times New Roman" w:hAnsi="Times New Roman" w:eastAsia="宋体" w:cs="Times New Roman"/>
                <w:b w:val="0"/>
                <w:bCs w:val="0"/>
                <w:color w:val="auto"/>
                <w:kern w:val="21"/>
                <w:sz w:val="21"/>
                <w:szCs w:val="21"/>
                <w:highlight w:val="none"/>
                <w:u w:val="single" w:color="000000"/>
                <w:lang w:eastAsia="zh-CN"/>
              </w:rPr>
              <w:t xml:space="preserve"> </w:t>
            </w:r>
            <w:r>
              <w:rPr>
                <w:rFonts w:hint="default" w:ascii="Times New Roman" w:hAnsi="Times New Roman" w:eastAsia="宋体" w:cs="Times New Roman"/>
                <w:b w:val="0"/>
                <w:bCs w:val="0"/>
                <w:color w:val="auto"/>
                <w:kern w:val="21"/>
                <w:sz w:val="21"/>
                <w:szCs w:val="21"/>
                <w:highlight w:val="none"/>
                <w:lang w:eastAsia="zh-CN"/>
              </w:rPr>
              <w:t>m</w:t>
            </w:r>
          </w:p>
        </w:tc>
      </w:tr>
      <w:tr w14:paraId="68A4E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8" w:type="dxa"/>
            <w:vMerge w:val="continue"/>
            <w:noWrap w:val="0"/>
            <w:vAlign w:val="center"/>
          </w:tcPr>
          <w:p w14:paraId="3709EF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eastAsia="zh-CN"/>
              </w:rPr>
            </w:pPr>
          </w:p>
        </w:tc>
        <w:tc>
          <w:tcPr>
            <w:tcW w:w="1210" w:type="dxa"/>
            <w:vMerge w:val="continue"/>
            <w:noWrap w:val="0"/>
            <w:vAlign w:val="center"/>
          </w:tcPr>
          <w:p w14:paraId="76C286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eastAsia="zh-CN"/>
              </w:rPr>
            </w:pPr>
          </w:p>
        </w:tc>
        <w:tc>
          <w:tcPr>
            <w:tcW w:w="1130" w:type="dxa"/>
            <w:vMerge w:val="continue"/>
            <w:noWrap w:val="0"/>
            <w:vAlign w:val="center"/>
          </w:tcPr>
          <w:p w14:paraId="5B225C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eastAsia="zh-CN"/>
              </w:rPr>
            </w:pPr>
          </w:p>
        </w:tc>
        <w:tc>
          <w:tcPr>
            <w:tcW w:w="5509" w:type="dxa"/>
            <w:gridSpan w:val="13"/>
            <w:noWrap w:val="0"/>
            <w:vAlign w:val="center"/>
          </w:tcPr>
          <w:p w14:paraId="5A6B525E">
            <w:pPr>
              <w:pStyle w:val="79"/>
              <w:keepNext w:val="0"/>
              <w:keepLines w:val="0"/>
              <w:pageBreakBefore w:val="0"/>
              <w:widowControl w:val="0"/>
              <w:tabs>
                <w:tab w:val="left" w:pos="461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eastAsia="zh-CN"/>
              </w:rPr>
            </w:pPr>
            <w:r>
              <w:rPr>
                <w:rFonts w:hint="default" w:ascii="Times New Roman" w:hAnsi="Times New Roman" w:eastAsia="宋体" w:cs="Times New Roman"/>
                <w:b w:val="0"/>
                <w:bCs w:val="0"/>
                <w:color w:val="auto"/>
                <w:kern w:val="21"/>
                <w:sz w:val="21"/>
                <w:szCs w:val="21"/>
                <w:highlight w:val="none"/>
                <w:lang w:eastAsia="zh-CN"/>
              </w:rPr>
              <w:t>大气毒性终点浓度-2  最大影响范围</w:t>
            </w:r>
            <w:r>
              <w:rPr>
                <w:rFonts w:hint="default" w:ascii="Times New Roman" w:hAnsi="Times New Roman" w:eastAsia="宋体" w:cs="Times New Roman"/>
                <w:b w:val="0"/>
                <w:bCs w:val="0"/>
                <w:color w:val="auto"/>
                <w:kern w:val="21"/>
                <w:sz w:val="21"/>
                <w:szCs w:val="21"/>
                <w:highlight w:val="none"/>
                <w:u w:val="single" w:color="000000"/>
                <w:lang w:eastAsia="zh-CN"/>
              </w:rPr>
              <w:t xml:space="preserve"> </w:t>
            </w:r>
            <w:r>
              <w:rPr>
                <w:rFonts w:hint="default" w:ascii="Times New Roman" w:hAnsi="Times New Roman" w:eastAsia="宋体" w:cs="Times New Roman"/>
                <w:b w:val="0"/>
                <w:bCs w:val="0"/>
                <w:color w:val="auto"/>
                <w:kern w:val="21"/>
                <w:sz w:val="21"/>
                <w:szCs w:val="21"/>
                <w:highlight w:val="none"/>
                <w:u w:val="single" w:color="000000"/>
                <w:lang w:val="en-US" w:eastAsia="zh-CN"/>
              </w:rPr>
              <w:t>211.1</w:t>
            </w:r>
            <w:r>
              <w:rPr>
                <w:rFonts w:hint="default" w:ascii="Times New Roman" w:hAnsi="Times New Roman" w:eastAsia="宋体" w:cs="Times New Roman"/>
                <w:b w:val="0"/>
                <w:bCs w:val="0"/>
                <w:color w:val="auto"/>
                <w:kern w:val="21"/>
                <w:sz w:val="21"/>
                <w:szCs w:val="21"/>
                <w:highlight w:val="none"/>
                <w:u w:val="single" w:color="000000"/>
                <w:lang w:eastAsia="zh-CN"/>
              </w:rPr>
              <w:t xml:space="preserve"> </w:t>
            </w:r>
            <w:r>
              <w:rPr>
                <w:rFonts w:hint="default" w:ascii="Times New Roman" w:hAnsi="Times New Roman" w:eastAsia="宋体" w:cs="Times New Roman"/>
                <w:b w:val="0"/>
                <w:bCs w:val="0"/>
                <w:color w:val="auto"/>
                <w:kern w:val="21"/>
                <w:sz w:val="21"/>
                <w:szCs w:val="21"/>
                <w:highlight w:val="none"/>
                <w:lang w:eastAsia="zh-CN"/>
              </w:rPr>
              <w:t>m</w:t>
            </w:r>
          </w:p>
        </w:tc>
      </w:tr>
      <w:tr w14:paraId="26D0B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8" w:type="dxa"/>
            <w:vMerge w:val="continue"/>
            <w:noWrap w:val="0"/>
            <w:vAlign w:val="center"/>
          </w:tcPr>
          <w:p w14:paraId="38DB1B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eastAsia="zh-CN"/>
              </w:rPr>
            </w:pPr>
          </w:p>
        </w:tc>
        <w:tc>
          <w:tcPr>
            <w:tcW w:w="1210" w:type="dxa"/>
            <w:noWrap w:val="0"/>
            <w:vAlign w:val="center"/>
          </w:tcPr>
          <w:p w14:paraId="150F427C">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地表水</w:t>
            </w:r>
          </w:p>
        </w:tc>
        <w:tc>
          <w:tcPr>
            <w:tcW w:w="6639" w:type="dxa"/>
            <w:gridSpan w:val="14"/>
            <w:noWrap w:val="0"/>
            <w:vAlign w:val="center"/>
          </w:tcPr>
          <w:p w14:paraId="1776AF84">
            <w:pPr>
              <w:pStyle w:val="79"/>
              <w:keepNext w:val="0"/>
              <w:keepLines w:val="0"/>
              <w:pageBreakBefore w:val="0"/>
              <w:widowControl w:val="0"/>
              <w:tabs>
                <w:tab w:val="left" w:pos="4167"/>
                <w:tab w:val="left" w:pos="5517"/>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eastAsia="zh-CN"/>
              </w:rPr>
            </w:pPr>
            <w:r>
              <w:rPr>
                <w:rFonts w:hint="default" w:ascii="Times New Roman" w:hAnsi="Times New Roman" w:eastAsia="宋体" w:cs="Times New Roman"/>
                <w:b w:val="0"/>
                <w:bCs w:val="0"/>
                <w:color w:val="auto"/>
                <w:kern w:val="21"/>
                <w:sz w:val="21"/>
                <w:szCs w:val="21"/>
                <w:highlight w:val="none"/>
                <w:lang w:eastAsia="zh-CN"/>
              </w:rPr>
              <w:t>最近环境敏感目标</w:t>
            </w:r>
            <w:r>
              <w:rPr>
                <w:rFonts w:hint="default" w:ascii="Times New Roman" w:hAnsi="Times New Roman" w:eastAsia="宋体" w:cs="Times New Roman"/>
                <w:b w:val="0"/>
                <w:bCs w:val="0"/>
                <w:color w:val="auto"/>
                <w:kern w:val="21"/>
                <w:sz w:val="21"/>
                <w:szCs w:val="21"/>
                <w:highlight w:val="none"/>
                <w:u w:val="single"/>
                <w:lang w:eastAsia="zh-CN"/>
              </w:rPr>
              <w:t xml:space="preserve">    </w:t>
            </w:r>
            <w:r>
              <w:rPr>
                <w:rFonts w:hint="default" w:ascii="Times New Roman" w:hAnsi="Times New Roman" w:eastAsia="宋体" w:cs="Times New Roman"/>
                <w:b w:val="0"/>
                <w:bCs w:val="0"/>
                <w:color w:val="auto"/>
                <w:kern w:val="21"/>
                <w:sz w:val="21"/>
                <w:szCs w:val="21"/>
                <w:highlight w:val="none"/>
                <w:lang w:eastAsia="zh-CN"/>
              </w:rPr>
              <w:t>，到达时间</w:t>
            </w:r>
            <w:r>
              <w:rPr>
                <w:rFonts w:hint="default" w:ascii="Times New Roman" w:hAnsi="Times New Roman" w:eastAsia="宋体" w:cs="Times New Roman"/>
                <w:b w:val="0"/>
                <w:bCs w:val="0"/>
                <w:color w:val="auto"/>
                <w:kern w:val="21"/>
                <w:sz w:val="21"/>
                <w:szCs w:val="21"/>
                <w:highlight w:val="none"/>
                <w:u w:val="single"/>
                <w:lang w:eastAsia="zh-CN"/>
              </w:rPr>
              <w:t xml:space="preserve">    </w:t>
            </w:r>
            <w:r>
              <w:rPr>
                <w:rFonts w:hint="default" w:ascii="Times New Roman" w:hAnsi="Times New Roman" w:eastAsia="宋体" w:cs="Times New Roman"/>
                <w:b w:val="0"/>
                <w:bCs w:val="0"/>
                <w:color w:val="auto"/>
                <w:kern w:val="21"/>
                <w:sz w:val="21"/>
                <w:szCs w:val="21"/>
                <w:highlight w:val="none"/>
                <w:lang w:eastAsia="zh-CN"/>
              </w:rPr>
              <w:t>h</w:t>
            </w:r>
          </w:p>
        </w:tc>
      </w:tr>
      <w:tr w14:paraId="5682D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8" w:type="dxa"/>
            <w:vMerge w:val="continue"/>
            <w:noWrap w:val="0"/>
            <w:vAlign w:val="center"/>
          </w:tcPr>
          <w:p w14:paraId="3497AEE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eastAsia="zh-CN"/>
              </w:rPr>
            </w:pPr>
          </w:p>
        </w:tc>
        <w:tc>
          <w:tcPr>
            <w:tcW w:w="1210" w:type="dxa"/>
            <w:vMerge w:val="restart"/>
            <w:noWrap w:val="0"/>
            <w:vAlign w:val="center"/>
          </w:tcPr>
          <w:p w14:paraId="256E64E2">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地下水</w:t>
            </w:r>
          </w:p>
        </w:tc>
        <w:tc>
          <w:tcPr>
            <w:tcW w:w="6639" w:type="dxa"/>
            <w:gridSpan w:val="14"/>
            <w:noWrap w:val="0"/>
            <w:vAlign w:val="center"/>
          </w:tcPr>
          <w:p w14:paraId="434004A1">
            <w:pPr>
              <w:pStyle w:val="79"/>
              <w:keepNext w:val="0"/>
              <w:keepLines w:val="0"/>
              <w:pageBreakBefore w:val="0"/>
              <w:widowControl w:val="0"/>
              <w:tabs>
                <w:tab w:val="left" w:pos="2254"/>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eastAsia="zh-CN"/>
              </w:rPr>
            </w:pPr>
            <w:r>
              <w:rPr>
                <w:rFonts w:hint="default" w:ascii="Times New Roman" w:hAnsi="Times New Roman" w:eastAsia="宋体" w:cs="Times New Roman"/>
                <w:b w:val="0"/>
                <w:bCs w:val="0"/>
                <w:color w:val="auto"/>
                <w:kern w:val="21"/>
                <w:sz w:val="21"/>
                <w:szCs w:val="21"/>
                <w:highlight w:val="none"/>
                <w:lang w:eastAsia="zh-CN"/>
              </w:rPr>
              <w:t>下游厂区边界到达时间</w:t>
            </w:r>
            <w:r>
              <w:rPr>
                <w:rFonts w:hint="default" w:ascii="Times New Roman" w:hAnsi="Times New Roman" w:eastAsia="宋体" w:cs="Times New Roman"/>
                <w:b w:val="0"/>
                <w:bCs w:val="0"/>
                <w:color w:val="auto"/>
                <w:kern w:val="21"/>
                <w:sz w:val="21"/>
                <w:szCs w:val="21"/>
                <w:highlight w:val="none"/>
                <w:u w:val="single"/>
                <w:lang w:eastAsia="zh-CN"/>
              </w:rPr>
              <w:t xml:space="preserve">    </w:t>
            </w:r>
            <w:r>
              <w:rPr>
                <w:rFonts w:hint="default" w:ascii="Times New Roman" w:hAnsi="Times New Roman" w:eastAsia="宋体" w:cs="Times New Roman"/>
                <w:b w:val="0"/>
                <w:bCs w:val="0"/>
                <w:color w:val="auto"/>
                <w:kern w:val="21"/>
                <w:sz w:val="21"/>
                <w:szCs w:val="21"/>
                <w:highlight w:val="none"/>
                <w:lang w:eastAsia="zh-CN"/>
              </w:rPr>
              <w:t>d</w:t>
            </w:r>
          </w:p>
        </w:tc>
      </w:tr>
      <w:tr w14:paraId="58970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8" w:type="dxa"/>
            <w:vMerge w:val="continue"/>
            <w:noWrap w:val="0"/>
            <w:vAlign w:val="center"/>
          </w:tcPr>
          <w:p w14:paraId="263E04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eastAsia="zh-CN"/>
              </w:rPr>
            </w:pPr>
          </w:p>
        </w:tc>
        <w:tc>
          <w:tcPr>
            <w:tcW w:w="1210" w:type="dxa"/>
            <w:vMerge w:val="continue"/>
            <w:noWrap w:val="0"/>
            <w:vAlign w:val="center"/>
          </w:tcPr>
          <w:p w14:paraId="03B817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eastAsia="zh-CN"/>
              </w:rPr>
            </w:pPr>
          </w:p>
        </w:tc>
        <w:tc>
          <w:tcPr>
            <w:tcW w:w="6639" w:type="dxa"/>
            <w:gridSpan w:val="14"/>
            <w:noWrap w:val="0"/>
            <w:vAlign w:val="center"/>
          </w:tcPr>
          <w:p w14:paraId="2FD5A8A8">
            <w:pPr>
              <w:pStyle w:val="79"/>
              <w:keepNext w:val="0"/>
              <w:keepLines w:val="0"/>
              <w:pageBreakBefore w:val="0"/>
              <w:widowControl w:val="0"/>
              <w:tabs>
                <w:tab w:val="left" w:pos="4167"/>
                <w:tab w:val="left" w:pos="5517"/>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eastAsia="zh-CN"/>
              </w:rPr>
            </w:pPr>
            <w:r>
              <w:rPr>
                <w:rFonts w:hint="default" w:ascii="Times New Roman" w:hAnsi="Times New Roman" w:eastAsia="宋体" w:cs="Times New Roman"/>
                <w:b w:val="0"/>
                <w:bCs w:val="0"/>
                <w:color w:val="auto"/>
                <w:kern w:val="21"/>
                <w:sz w:val="21"/>
                <w:szCs w:val="21"/>
                <w:highlight w:val="none"/>
                <w:lang w:eastAsia="zh-CN"/>
              </w:rPr>
              <w:t>最近环境敏感目标</w:t>
            </w:r>
            <w:r>
              <w:rPr>
                <w:rFonts w:hint="default" w:ascii="Times New Roman" w:hAnsi="Times New Roman" w:eastAsia="宋体" w:cs="Times New Roman"/>
                <w:b w:val="0"/>
                <w:bCs w:val="0"/>
                <w:color w:val="auto"/>
                <w:kern w:val="21"/>
                <w:sz w:val="21"/>
                <w:szCs w:val="21"/>
                <w:highlight w:val="none"/>
                <w:u w:val="single"/>
                <w:lang w:eastAsia="zh-CN"/>
              </w:rPr>
              <w:t xml:space="preserve">    </w:t>
            </w:r>
            <w:r>
              <w:rPr>
                <w:rFonts w:hint="default" w:ascii="Times New Roman" w:hAnsi="Times New Roman" w:eastAsia="宋体" w:cs="Times New Roman"/>
                <w:b w:val="0"/>
                <w:bCs w:val="0"/>
                <w:color w:val="auto"/>
                <w:kern w:val="21"/>
                <w:sz w:val="21"/>
                <w:szCs w:val="21"/>
                <w:highlight w:val="none"/>
                <w:lang w:eastAsia="zh-CN"/>
              </w:rPr>
              <w:t>，到达时间</w:t>
            </w:r>
            <w:r>
              <w:rPr>
                <w:rFonts w:hint="default" w:ascii="Times New Roman" w:hAnsi="Times New Roman" w:eastAsia="宋体" w:cs="Times New Roman"/>
                <w:b w:val="0"/>
                <w:bCs w:val="0"/>
                <w:color w:val="auto"/>
                <w:kern w:val="21"/>
                <w:sz w:val="21"/>
                <w:szCs w:val="21"/>
                <w:highlight w:val="none"/>
                <w:u w:val="single"/>
                <w:lang w:eastAsia="zh-CN"/>
              </w:rPr>
              <w:t xml:space="preserve">    </w:t>
            </w:r>
            <w:r>
              <w:rPr>
                <w:rFonts w:hint="default" w:ascii="Times New Roman" w:hAnsi="Times New Roman" w:eastAsia="宋体" w:cs="Times New Roman"/>
                <w:b w:val="0"/>
                <w:bCs w:val="0"/>
                <w:color w:val="auto"/>
                <w:kern w:val="21"/>
                <w:sz w:val="21"/>
                <w:szCs w:val="21"/>
                <w:highlight w:val="none"/>
                <w:u w:val="single" w:color="000000"/>
                <w:lang w:eastAsia="zh-CN"/>
              </w:rPr>
              <w:t>d</w:t>
            </w:r>
          </w:p>
        </w:tc>
      </w:tr>
      <w:tr w14:paraId="19B4A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8" w:hRule="atLeast"/>
          <w:jc w:val="center"/>
        </w:trPr>
        <w:tc>
          <w:tcPr>
            <w:tcW w:w="1698" w:type="dxa"/>
            <w:gridSpan w:val="2"/>
            <w:noWrap w:val="0"/>
            <w:vAlign w:val="center"/>
          </w:tcPr>
          <w:p w14:paraId="2B910FDA">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spacing w:val="-11"/>
                <w:kern w:val="21"/>
                <w:sz w:val="21"/>
                <w:szCs w:val="21"/>
                <w:highlight w:val="none"/>
              </w:rPr>
              <w:t>重点风险防范措施</w:t>
            </w:r>
          </w:p>
        </w:tc>
        <w:tc>
          <w:tcPr>
            <w:tcW w:w="6639" w:type="dxa"/>
            <w:gridSpan w:val="14"/>
            <w:noWrap w:val="0"/>
            <w:vAlign w:val="center"/>
          </w:tcPr>
          <w:p w14:paraId="431913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eastAsia="zh-CN"/>
              </w:rPr>
            </w:pPr>
            <w:r>
              <w:rPr>
                <w:rFonts w:hint="default" w:ascii="Times New Roman" w:hAnsi="Times New Roman" w:eastAsia="宋体" w:cs="Times New Roman"/>
                <w:b w:val="0"/>
                <w:bCs w:val="0"/>
                <w:color w:val="auto"/>
                <w:kern w:val="21"/>
                <w:sz w:val="21"/>
                <w:szCs w:val="21"/>
                <w:highlight w:val="none"/>
                <w:lang w:eastAsia="zh-CN"/>
              </w:rPr>
              <w:t>设立标志，加强巡检，防止人为破坏。建成</w:t>
            </w:r>
            <w:r>
              <w:rPr>
                <w:rFonts w:hint="default" w:ascii="Times New Roman" w:hAnsi="Times New Roman" w:cs="Times New Roman"/>
                <w:b w:val="0"/>
                <w:bCs w:val="0"/>
                <w:color w:val="auto"/>
                <w:kern w:val="21"/>
                <w:sz w:val="21"/>
                <w:szCs w:val="21"/>
                <w:highlight w:val="none"/>
                <w:lang w:eastAsia="zh-CN"/>
              </w:rPr>
              <w:t>运营</w:t>
            </w:r>
            <w:r>
              <w:rPr>
                <w:rFonts w:hint="default" w:ascii="Times New Roman" w:hAnsi="Times New Roman" w:eastAsia="宋体" w:cs="Times New Roman"/>
                <w:b w:val="0"/>
                <w:bCs w:val="0"/>
                <w:color w:val="auto"/>
                <w:kern w:val="21"/>
                <w:sz w:val="21"/>
                <w:szCs w:val="21"/>
                <w:highlight w:val="none"/>
                <w:lang w:eastAsia="zh-CN"/>
              </w:rPr>
              <w:t>后，要提</w:t>
            </w:r>
            <w:r>
              <w:rPr>
                <w:rFonts w:hint="default" w:ascii="Times New Roman" w:hAnsi="Times New Roman" w:cs="Times New Roman"/>
                <w:b w:val="0"/>
                <w:bCs w:val="0"/>
                <w:color w:val="auto"/>
                <w:kern w:val="21"/>
                <w:sz w:val="21"/>
                <w:szCs w:val="21"/>
                <w:highlight w:val="none"/>
                <w:lang w:eastAsia="zh-CN"/>
              </w:rPr>
              <w:t>高</w:t>
            </w:r>
            <w:r>
              <w:rPr>
                <w:rFonts w:hint="default" w:ascii="Times New Roman" w:hAnsi="Times New Roman" w:eastAsia="宋体" w:cs="Times New Roman"/>
                <w:b w:val="0"/>
                <w:bCs w:val="0"/>
                <w:color w:val="auto"/>
                <w:kern w:val="21"/>
                <w:sz w:val="21"/>
                <w:szCs w:val="21"/>
                <w:highlight w:val="none"/>
                <w:lang w:eastAsia="zh-CN"/>
              </w:rPr>
              <w:t>操作人员的素质和管理水平，防止或减少事故风险的发生，确保柴油罐状况正常。</w:t>
            </w:r>
          </w:p>
        </w:tc>
      </w:tr>
      <w:tr w14:paraId="42A7D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96" w:hRule="atLeast"/>
          <w:jc w:val="center"/>
        </w:trPr>
        <w:tc>
          <w:tcPr>
            <w:tcW w:w="1698" w:type="dxa"/>
            <w:gridSpan w:val="2"/>
            <w:noWrap w:val="0"/>
            <w:vAlign w:val="center"/>
          </w:tcPr>
          <w:p w14:paraId="11A8A9C6">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rPr>
              <w:t>评价结论与建议</w:t>
            </w:r>
          </w:p>
        </w:tc>
        <w:tc>
          <w:tcPr>
            <w:tcW w:w="6639" w:type="dxa"/>
            <w:gridSpan w:val="14"/>
            <w:noWrap w:val="0"/>
            <w:vAlign w:val="center"/>
          </w:tcPr>
          <w:p w14:paraId="1647F88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rPr>
            </w:pPr>
            <w:r>
              <w:rPr>
                <w:rFonts w:hint="default" w:ascii="Times New Roman" w:hAnsi="Times New Roman" w:eastAsia="宋体" w:cs="Times New Roman"/>
                <w:b w:val="0"/>
                <w:bCs w:val="0"/>
                <w:color w:val="auto"/>
                <w:kern w:val="21"/>
                <w:sz w:val="21"/>
                <w:szCs w:val="21"/>
                <w:highlight w:val="none"/>
                <w:lang w:eastAsia="zh-CN"/>
              </w:rPr>
              <w:t>从环境风险的角度考虑，本项目的建设可行。本项目一旦发生环境风险事故，其对周围环境的影响均在环境风险可接受范围内。若企业能认真做好各项风险防范措施，完善生产管理制度，并根据实际生产情况结合本报告中提出的应急预案，确保防范措施的运行。可将发生环境风险事件的概率大大降低。</w:t>
            </w:r>
          </w:p>
        </w:tc>
      </w:tr>
      <w:tr w14:paraId="0BB53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7" w:hRule="atLeast"/>
          <w:jc w:val="center"/>
        </w:trPr>
        <w:tc>
          <w:tcPr>
            <w:tcW w:w="8337" w:type="dxa"/>
            <w:gridSpan w:val="16"/>
            <w:noWrap w:val="0"/>
            <w:vAlign w:val="center"/>
          </w:tcPr>
          <w:p w14:paraId="147B0D12">
            <w:pPr>
              <w:pStyle w:val="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1"/>
                <w:sz w:val="21"/>
                <w:szCs w:val="21"/>
                <w:highlight w:val="none"/>
                <w:lang w:eastAsia="zh-CN"/>
              </w:rPr>
            </w:pPr>
            <w:r>
              <w:rPr>
                <w:rFonts w:hint="default" w:ascii="Times New Roman" w:hAnsi="Times New Roman" w:eastAsia="宋体" w:cs="Times New Roman"/>
                <w:b w:val="0"/>
                <w:bCs w:val="0"/>
                <w:color w:val="auto"/>
                <w:kern w:val="21"/>
                <w:sz w:val="21"/>
                <w:szCs w:val="21"/>
                <w:highlight w:val="none"/>
                <w:lang w:eastAsia="zh-CN"/>
              </w:rPr>
              <w:t>注：“□”为勾选项，“</w:t>
            </w:r>
            <w:r>
              <w:rPr>
                <w:rFonts w:hint="default" w:ascii="Times New Roman" w:hAnsi="Times New Roman" w:eastAsia="宋体" w:cs="Times New Roman"/>
                <w:b w:val="0"/>
                <w:bCs w:val="0"/>
                <w:color w:val="auto"/>
                <w:kern w:val="21"/>
                <w:sz w:val="21"/>
                <w:szCs w:val="21"/>
                <w:highlight w:val="none"/>
                <w:u w:val="single"/>
                <w:lang w:eastAsia="zh-CN"/>
              </w:rPr>
              <w:t xml:space="preserve">    </w:t>
            </w:r>
            <w:r>
              <w:rPr>
                <w:rFonts w:hint="default" w:ascii="Times New Roman" w:hAnsi="Times New Roman" w:eastAsia="宋体" w:cs="Times New Roman"/>
                <w:b w:val="0"/>
                <w:bCs w:val="0"/>
                <w:color w:val="auto"/>
                <w:kern w:val="21"/>
                <w:sz w:val="21"/>
                <w:szCs w:val="21"/>
                <w:highlight w:val="none"/>
                <w:lang w:eastAsia="zh-CN"/>
              </w:rPr>
              <w:t>”为填写项。</w:t>
            </w:r>
          </w:p>
        </w:tc>
      </w:tr>
    </w:tbl>
    <w:p w14:paraId="59359008">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bCs/>
          <w:snapToGrid w:val="0"/>
          <w:color w:val="auto"/>
          <w:spacing w:val="0"/>
          <w:position w:val="0"/>
          <w:sz w:val="24"/>
          <w:szCs w:val="24"/>
          <w:highlight w:val="none"/>
          <w:lang w:val="en-US" w:eastAsia="zh-CN"/>
        </w:rPr>
      </w:pPr>
    </w:p>
    <w:sectPr>
      <w:pgSz w:w="11905" w:h="16838"/>
      <w:pgMar w:top="1440" w:right="1531" w:bottom="1440" w:left="1531" w:header="851" w:footer="1077" w:gutter="0"/>
      <w:pgBorders>
        <w:top w:val="none" w:sz="0" w:space="0"/>
        <w:left w:val="none" w:sz="0" w:space="0"/>
        <w:bottom w:val="none" w:sz="0" w:space="0"/>
        <w:right w:val="none" w:sz="0" w:space="0"/>
      </w:pgBorders>
      <w:pgNumType w:fmt="numberInDash"/>
      <w:cols w:space="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88"/>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embedRegular r:id="rId1" w:fontKey="{DDD8C05F-7F39-456A-9E2D-F0072205E5E1}"/>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embedRegular r:id="rId2" w:fontKey="{3D9D47BC-3A49-40DF-9705-48B34868F7AB}"/>
  </w:font>
  <w:font w:name="Arial Unicode MS">
    <w:altName w:val="宋体"/>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default"/>
    <w:sig w:usb0="E00002FF" w:usb1="400004FF" w:usb2="00000000" w:usb3="00000000" w:csb0="2000019F" w:csb1="00000000"/>
  </w:font>
  <w:font w:name="方正小标宋_GBK">
    <w:panose1 w:val="02000000000000000000"/>
    <w:charset w:val="86"/>
    <w:family w:val="script"/>
    <w:pitch w:val="default"/>
    <w:sig w:usb0="A00002BF" w:usb1="38CF7CFA" w:usb2="00082016" w:usb3="00000000" w:csb0="00040001" w:csb1="00000000"/>
    <w:embedRegular r:id="rId3" w:fontKey="{83BD4BAB-F734-466A-A736-B60F5C03CD7C}"/>
  </w:font>
  <w:font w:name="Wingdings 2">
    <w:panose1 w:val="05020102010507070707"/>
    <w:charset w:val="02"/>
    <w:family w:val="auto"/>
    <w:pitch w:val="default"/>
    <w:sig w:usb0="00000000" w:usb1="00000000" w:usb2="00000000" w:usb3="00000000" w:csb0="80000000" w:csb1="00000000"/>
    <w:embedRegular r:id="rId4" w:fontKey="{0D6D618D-E9EE-4750-98DE-2AB5AB2EB2C5}"/>
  </w:font>
  <w:font w:name="微软雅黑">
    <w:panose1 w:val="020B0503020204020204"/>
    <w:charset w:val="86"/>
    <w:family w:val="auto"/>
    <w:pitch w:val="default"/>
    <w:sig w:usb0="80000287" w:usb1="280F3C52" w:usb2="00000016" w:usb3="00000000" w:csb0="0004001F" w:csb1="00000000"/>
    <w:embedRegular r:id="rId5" w:fontKey="{56F482BF-5403-419A-9232-8D78FB1D5DDF}"/>
  </w:font>
  <w:font w:name="WPSEMBED2">
    <w:panose1 w:val="02000000000000000000"/>
    <w:charset w:val="86"/>
    <w:family w:val="auto"/>
    <w:pitch w:val="default"/>
    <w:sig w:usb0="A00002BF" w:usb1="38CF7CFA" w:usb2="00082016" w:usb3="00000000" w:csb0="00040001" w:csb1="00000000"/>
  </w:font>
  <w:font w:name="WPSEMBED3">
    <w:panose1 w:val="05020102010507070707"/>
    <w:charset w:val="00"/>
    <w:family w:val="auto"/>
    <w:pitch w:val="default"/>
    <w:sig w:usb0="00000000" w:usb1="00000000" w:usb2="00000000" w:usb3="00000000" w:csb0="80000000" w:csb1="00000000"/>
  </w:font>
  <w:font w:name="Gulim">
    <w:panose1 w:val="020B0600000101010101"/>
    <w:charset w:val="81"/>
    <w:family w:val="auto"/>
    <w:pitch w:val="default"/>
    <w:sig w:usb0="B00002AF" w:usb1="69D77CFB" w:usb2="00000030" w:usb3="00000000" w:csb0="4008009F" w:csb1="DFD70000"/>
  </w:font>
  <w:font w:name="WPSEMBED1">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E3671F">
    <w:pPr>
      <w:pStyle w:val="17"/>
      <w:ind w:right="360"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74D79A">
    <w:pPr>
      <w:pStyle w:val="17"/>
      <w:spacing w:line="240" w:lineRule="auto"/>
      <w:ind w:firstLine="0" w:firstLineChars="0"/>
      <w:jc w:val="center"/>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1" name="文本框 1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CC54AA">
                          <w:pPr>
                            <w:pStyle w:val="17"/>
                          </w:pPr>
                          <w:r>
                            <w:fldChar w:fldCharType="begin"/>
                          </w:r>
                          <w:r>
                            <w:instrText xml:space="preserve"> PAGE  \* MERGEFORMAT </w:instrText>
                          </w:r>
                          <w:r>
                            <w:fldChar w:fldCharType="separate"/>
                          </w:r>
                          <w:r>
                            <w:t>155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o34aczAgAAZQ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o34aczAgAAZQQAAA4AAAAAAAAAAQAgAAAAHwEAAGRycy9lMm9Eb2MueG1sUEsF&#10;BgAAAAAGAAYAWQEAAMQFAAAAAA==&#10;">
              <v:fill on="f" focussize="0,0"/>
              <v:stroke on="f" weight="0.5pt"/>
              <v:imagedata o:title=""/>
              <o:lock v:ext="edit" aspectratio="f"/>
              <v:textbox inset="0mm,0mm,0mm,0mm" style="mso-fit-shape-to-text:t;">
                <w:txbxContent>
                  <w:p w14:paraId="58CC54AA">
                    <w:pPr>
                      <w:pStyle w:val="17"/>
                    </w:pPr>
                    <w:r>
                      <w:fldChar w:fldCharType="begin"/>
                    </w:r>
                    <w:r>
                      <w:instrText xml:space="preserve"> PAGE  \* MERGEFORMAT </w:instrText>
                    </w:r>
                    <w:r>
                      <w:fldChar w:fldCharType="separate"/>
                    </w:r>
                    <w:r>
                      <w:t>155</w:t>
                    </w:r>
                    <w:r>
                      <w:fldChar w:fldCharType="end"/>
                    </w:r>
                  </w:p>
                </w:txbxContent>
              </v:textbox>
            </v:shape>
          </w:pict>
        </mc:Fallback>
      </mc:AlternateContent>
    </w:r>
  </w:p>
  <w:p w14:paraId="08221CEF">
    <w:pPr>
      <w:pStyle w:val="17"/>
      <w:spacing w:line="240" w:lineRule="auto"/>
      <w:ind w:firstLine="0" w:firstLineChars="0"/>
      <w:rPr>
        <w:rFonts w:ascii="Times New Roman" w:hAnsi="Times New Roman"/>
        <w:sz w:val="21"/>
        <w:szCs w:val="21"/>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4CA1FC">
    <w:pPr>
      <w:pStyle w:val="17"/>
      <w:spacing w:line="240" w:lineRule="auto"/>
      <w:ind w:firstLine="0" w:firstLineChars="0"/>
      <w:jc w:val="center"/>
    </w:pP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2" name="文本框 1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68D01A">
                          <w:pPr>
                            <w:pStyle w:val="17"/>
                          </w:pPr>
                          <w:r>
                            <w:fldChar w:fldCharType="begin"/>
                          </w:r>
                          <w:r>
                            <w:instrText xml:space="preserve"> PAGE  \* MERGEFORMAT </w:instrText>
                          </w:r>
                          <w:r>
                            <w:fldChar w:fldCharType="separate"/>
                          </w:r>
                          <w:r>
                            <w:t>157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b1M9k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b1M9kzAgAAZQQAAA4AAAAAAAAAAQAgAAAAHwEAAGRycy9lMm9Eb2MueG1sUEsF&#10;BgAAAAAGAAYAWQEAAMQFAAAAAA==&#10;">
              <v:fill on="f" focussize="0,0"/>
              <v:stroke on="f" weight="0.5pt"/>
              <v:imagedata o:title=""/>
              <o:lock v:ext="edit" aspectratio="f"/>
              <v:textbox inset="0mm,0mm,0mm,0mm" style="mso-fit-shape-to-text:t;">
                <w:txbxContent>
                  <w:p w14:paraId="6668D01A">
                    <w:pPr>
                      <w:pStyle w:val="17"/>
                    </w:pPr>
                    <w:r>
                      <w:fldChar w:fldCharType="begin"/>
                    </w:r>
                    <w:r>
                      <w:instrText xml:space="preserve"> PAGE  \* MERGEFORMAT </w:instrText>
                    </w:r>
                    <w:r>
                      <w:fldChar w:fldCharType="separate"/>
                    </w:r>
                    <w:r>
                      <w:t>157</w:t>
                    </w:r>
                    <w:r>
                      <w:fldChar w:fldCharType="end"/>
                    </w:r>
                  </w:p>
                </w:txbxContent>
              </v:textbox>
            </v:shape>
          </w:pict>
        </mc:Fallback>
      </mc:AlternateContent>
    </w:r>
  </w:p>
  <w:p w14:paraId="1D56E0F6">
    <w:pPr>
      <w:pStyle w:val="17"/>
      <w:spacing w:line="240" w:lineRule="auto"/>
      <w:ind w:firstLine="0" w:firstLineChars="0"/>
      <w:jc w:val="center"/>
      <w:rPr>
        <w:rFonts w:ascii="Times New Roman" w:hAnsi="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4100E0">
    <w:pPr>
      <w:pStyle w:val="17"/>
      <w:framePr w:wrap="around" w:vAnchor="text" w:hAnchor="margin" w:xAlign="center" w:y="1"/>
      <w:rPr>
        <w:rStyle w:val="33"/>
      </w:rPr>
    </w:pPr>
    <w:r>
      <w:fldChar w:fldCharType="begin"/>
    </w:r>
    <w:r>
      <w:rPr>
        <w:rStyle w:val="33"/>
      </w:rPr>
      <w:instrText xml:space="preserve">PAGE  </w:instrText>
    </w:r>
    <w:r>
      <w:fldChar w:fldCharType="end"/>
    </w:r>
  </w:p>
  <w:p w14:paraId="77A12606">
    <w:pPr>
      <w:pStyle w:val="17"/>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D18380">
    <w:pPr>
      <w:pStyle w:val="17"/>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85C366">
    <w:pPr>
      <w:pStyle w:val="17"/>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161A3E">
                          <w:pPr>
                            <w:pStyle w:val="1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haH+c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CFof5zICAABjBAAADgAAAAAAAAABACAAAAAfAQAAZHJzL2Uyb0RvYy54bWxQSwUG&#10;AAAAAAYABgBZAQAAwwUAAAAA&#10;">
              <v:fill on="f" focussize="0,0"/>
              <v:stroke on="f" weight="0.5pt"/>
              <v:imagedata o:title=""/>
              <o:lock v:ext="edit" aspectratio="f"/>
              <v:textbox inset="0mm,0mm,0mm,0mm" style="mso-fit-shape-to-text:t;">
                <w:txbxContent>
                  <w:p w14:paraId="54161A3E">
                    <w:pPr>
                      <w:pStyle w:val="1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3F90A4">
    <w:pPr>
      <w:pStyle w:val="17"/>
      <w:rPr>
        <w:rStyle w:val="33"/>
        <w:rFonts w:hint="eastAsia"/>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D46614">
                          <w:pPr>
                            <w:pStyle w:val="17"/>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ryiAg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tJYZpVPz04/vp&#10;58Pp1zeCMwjUuDBD3L1DZGzf2RZtM5wHHCbebeV1+oIRgR/yHi/yijYSni5NJ9NpDheHb9gAP3u8&#10;7nyI74XVJBkF9ahfJys7bELsQ4eQlM3YtVSqq6EypAGJ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ryiAgzAgAAYwQAAA4AAAAAAAAAAQAgAAAAHwEAAGRycy9lMm9Eb2MueG1sUEsF&#10;BgAAAAAGAAYAWQEAAMQFAAAAAA==&#10;">
              <v:fill on="f" focussize="0,0"/>
              <v:stroke on="f" weight="0.5pt"/>
              <v:imagedata o:title=""/>
              <o:lock v:ext="edit" aspectratio="f"/>
              <v:textbox inset="0mm,0mm,0mm,0mm" style="mso-fit-shape-to-text:t;">
                <w:txbxContent>
                  <w:p w14:paraId="1DD46614">
                    <w:pPr>
                      <w:pStyle w:val="17"/>
                    </w:pPr>
                    <w:r>
                      <w:fldChar w:fldCharType="begin"/>
                    </w:r>
                    <w:r>
                      <w:instrText xml:space="preserve"> PAGE  \* MERGEFORMAT </w:instrText>
                    </w:r>
                    <w:r>
                      <w:fldChar w:fldCharType="separate"/>
                    </w:r>
                    <w:r>
                      <w:t>3</w:t>
                    </w:r>
                    <w:r>
                      <w:fldChar w:fldCharType="end"/>
                    </w:r>
                  </w:p>
                </w:txbxContent>
              </v:textbox>
            </v:shape>
          </w:pict>
        </mc:Fallback>
      </mc:AlternateContent>
    </w:r>
  </w:p>
  <w:p w14:paraId="2B5F74AF">
    <w:pPr>
      <w:pStyle w:val="17"/>
      <w:rPr>
        <w:rFonts w:hint="eastAsia"/>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69D27D">
    <w:pPr>
      <w:pStyle w:val="17"/>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EFDFA4">
                          <w:pPr>
                            <w:pStyle w:val="17"/>
                          </w:pPr>
                          <w:r>
                            <w:fldChar w:fldCharType="begin"/>
                          </w:r>
                          <w:r>
                            <w:instrText xml:space="preserve"> PAGE  \* MERGEFORMAT </w:instrText>
                          </w:r>
                          <w:r>
                            <w:fldChar w:fldCharType="separate"/>
                          </w:r>
                          <w:r>
                            <w:t>94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P6hPo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T+oT6MQIAAGMEAAAOAAAAAAAAAAEAIAAAAB8BAABkcnMvZTJvRG9jLnhtbFBLBQYA&#10;AAAABgAGAFkBAADCBQAAAAA=&#10;">
              <v:fill on="f" focussize="0,0"/>
              <v:stroke on="f" weight="0.5pt"/>
              <v:imagedata o:title=""/>
              <o:lock v:ext="edit" aspectratio="f"/>
              <v:textbox inset="0mm,0mm,0mm,0mm" style="mso-fit-shape-to-text:t;">
                <w:txbxContent>
                  <w:p w14:paraId="21EFDFA4">
                    <w:pPr>
                      <w:pStyle w:val="17"/>
                    </w:pPr>
                    <w:r>
                      <w:fldChar w:fldCharType="begin"/>
                    </w:r>
                    <w:r>
                      <w:instrText xml:space="preserve"> PAGE  \* MERGEFORMAT </w:instrText>
                    </w:r>
                    <w:r>
                      <w:fldChar w:fldCharType="separate"/>
                    </w:r>
                    <w:r>
                      <w:t>94</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C61F89">
    <w:pPr>
      <w:pStyle w:val="17"/>
      <w:spacing w:line="240" w:lineRule="auto"/>
      <w:ind w:firstLine="0" w:firstLineChars="0"/>
      <w:jc w:val="center"/>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29" name="文本框 1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D2F162">
                          <w:pPr>
                            <w:pStyle w:val="1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nzkI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yZvKTFMo+SnH99P&#10;Px9Ov76RdAiJGhdmiLx3iI3tO9sifDgPOEzM28rr9AUnAj8EPl4EFm0kPF2aTqbTHC4O37ABfvZ4&#10;3fkQ3wurSTIK6lHBTlh22ITYhw4hKZuxa6lUV0VlSFPQq9dv8u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I585CNAIAAGUEAAAOAAAAAAAAAAEAIAAAAB8BAABkcnMvZTJvRG9jLnhtbFBL&#10;BQYAAAAABgAGAFkBAADFBQAAAAA=&#10;">
              <v:fill on="f" focussize="0,0"/>
              <v:stroke on="f" weight="0.5pt"/>
              <v:imagedata o:title=""/>
              <o:lock v:ext="edit" aspectratio="f"/>
              <v:textbox inset="0mm,0mm,0mm,0mm" style="mso-fit-shape-to-text:t;">
                <w:txbxContent>
                  <w:p w14:paraId="73D2F162">
                    <w:pPr>
                      <w:pStyle w:val="17"/>
                    </w:pPr>
                    <w:r>
                      <w:fldChar w:fldCharType="begin"/>
                    </w:r>
                    <w:r>
                      <w:instrText xml:space="preserve"> PAGE  \* MERGEFORMAT </w:instrText>
                    </w:r>
                    <w:r>
                      <w:fldChar w:fldCharType="separate"/>
                    </w:r>
                    <w:r>
                      <w:t>1</w:t>
                    </w:r>
                    <w:r>
                      <w:fldChar w:fldCharType="end"/>
                    </w:r>
                  </w:p>
                </w:txbxContent>
              </v:textbox>
            </v:shape>
          </w:pict>
        </mc:Fallback>
      </mc:AlternateContent>
    </w:r>
    <w:r>
      <w:pict>
        <v:shape id="_x0000_i1031" o:spt="75" type="#_x0000_t75" style="height:6.9pt;width:414.9pt;" filled="f" o:preferrelative="t" stroked="f" coordsize="21600,21600" o:hr="t" o:hrpct="0" o:hralign="center">
          <v:path/>
          <v:fill on="f" focussize="0,0"/>
          <v:stroke on="f" joinstyle="miter"/>
          <v:imagedata r:id="rId1" embosscolor="#FFFFFF" o:title="BD10289_"/>
          <o:lock v:ext="edit" aspectratio="t"/>
          <w10:wrap type="none"/>
          <w10:anchorlock/>
        </v:shape>
      </w:pict>
    </w:r>
  </w:p>
  <w:p w14:paraId="714DEF43">
    <w:pPr>
      <w:pStyle w:val="17"/>
      <w:spacing w:line="240" w:lineRule="auto"/>
      <w:ind w:firstLine="0" w:firstLineChars="0"/>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9"/>
      <w:tblW w:w="0" w:type="auto"/>
      <w:tblInd w:w="0" w:type="dxa"/>
      <w:tblBorders>
        <w:top w:val="single" w:color="8064A2"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33"/>
      <w:gridCol w:w="7989"/>
    </w:tblGrid>
    <w:tr w14:paraId="0C64B67A">
      <w:tblPrEx>
        <w:tblBorders>
          <w:top w:val="single" w:color="8064A2"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33" w:type="dxa"/>
          <w:shd w:val="clear" w:color="auto" w:fill="8064A2"/>
        </w:tcPr>
        <w:p w14:paraId="5E772F3A">
          <w:pPr>
            <w:pStyle w:val="17"/>
            <w:ind w:firstLine="360"/>
            <w:rPr>
              <w:rFonts w:ascii="Times New Roman" w:hAnsi="Times New Roman" w:eastAsia="仿宋_GB2312"/>
              <w:color w:val="FFFFFF"/>
              <w:kern w:val="2"/>
            </w:rPr>
          </w:pPr>
          <w:r>
            <w:rPr>
              <w:rFonts w:ascii="Times New Roman" w:hAnsi="Times New Roman" w:eastAsia="仿宋_GB2312"/>
              <w:kern w:val="2"/>
            </w:rPr>
            <w:fldChar w:fldCharType="begin"/>
          </w:r>
          <w:r>
            <w:rPr>
              <w:rFonts w:ascii="Times New Roman" w:hAnsi="Times New Roman" w:eastAsia="仿宋_GB2312"/>
              <w:kern w:val="2"/>
            </w:rPr>
            <w:instrText xml:space="preserve"> PAGE   \* MERGEFORMAT </w:instrText>
          </w:r>
          <w:r>
            <w:rPr>
              <w:rFonts w:ascii="Times New Roman" w:hAnsi="Times New Roman" w:eastAsia="仿宋_GB2312"/>
              <w:kern w:val="2"/>
            </w:rPr>
            <w:fldChar w:fldCharType="separate"/>
          </w:r>
          <w:r>
            <w:rPr>
              <w:rFonts w:ascii="Times New Roman" w:hAnsi="Times New Roman" w:eastAsia="仿宋_GB2312"/>
              <w:color w:val="FFFFFF"/>
              <w:kern w:val="2"/>
              <w:lang w:val="zh-CN"/>
            </w:rPr>
            <w:t>2</w:t>
          </w:r>
          <w:r>
            <w:rPr>
              <w:rFonts w:ascii="Times New Roman" w:hAnsi="Times New Roman" w:eastAsia="仿宋_GB2312"/>
              <w:kern w:val="2"/>
            </w:rPr>
            <w:fldChar w:fldCharType="end"/>
          </w:r>
        </w:p>
      </w:tc>
      <w:tc>
        <w:tcPr>
          <w:tcW w:w="7989" w:type="dxa"/>
        </w:tcPr>
        <w:p w14:paraId="696FEF39">
          <w:pPr>
            <w:pStyle w:val="17"/>
            <w:ind w:firstLine="4590" w:firstLineChars="2177"/>
            <w:rPr>
              <w:rFonts w:ascii="Times New Roman" w:hAnsi="Times New Roman" w:eastAsia="仿宋_GB2312"/>
              <w:kern w:val="2"/>
            </w:rPr>
          </w:pPr>
          <w:r>
            <w:rPr>
              <w:rFonts w:hint="eastAsia" w:ascii="Times New Roman" w:hAnsi="Times New Roman" w:eastAsia="仿宋_GB2312"/>
              <w:b/>
              <w:kern w:val="2"/>
              <w:sz w:val="21"/>
              <w:szCs w:val="21"/>
            </w:rPr>
            <w:t>中</w:t>
          </w:r>
          <w:r>
            <w:rPr>
              <w:rFonts w:ascii="Times New Roman" w:hAnsi="Times New Roman" w:eastAsia="仿宋_GB2312"/>
              <w:b/>
              <w:kern w:val="2"/>
              <w:sz w:val="21"/>
              <w:szCs w:val="21"/>
            </w:rPr>
            <w:t>国人民解放军环境科学研究中心</w:t>
          </w:r>
        </w:p>
      </w:tc>
    </w:tr>
  </w:tbl>
  <w:p w14:paraId="553F0052">
    <w:pPr>
      <w:pStyle w:val="17"/>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B50416">
    <w:pPr>
      <w:pStyle w:val="17"/>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30" name="文本框 1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92357D">
                          <w:pPr>
                            <w:pStyle w:val="17"/>
                          </w:pPr>
                          <w:r>
                            <w:fldChar w:fldCharType="begin"/>
                          </w:r>
                          <w:r>
                            <w:instrText xml:space="preserve"> PAGE  \* MERGEFORMAT </w:instrText>
                          </w:r>
                          <w:r>
                            <w:fldChar w:fldCharType="separate"/>
                          </w:r>
                          <w:r>
                            <w:t>154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GLfzs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GLfzszAgAAZQQAAA4AAAAAAAAAAQAgAAAAHwEAAGRycy9lMm9Eb2MueG1sUEsF&#10;BgAAAAAGAAYAWQEAAMQFAAAAAA==&#10;">
              <v:fill on="f" focussize="0,0"/>
              <v:stroke on="f" weight="0.5pt"/>
              <v:imagedata o:title=""/>
              <o:lock v:ext="edit" aspectratio="f"/>
              <v:textbox inset="0mm,0mm,0mm,0mm" style="mso-fit-shape-to-text:t;">
                <w:txbxContent>
                  <w:p w14:paraId="0992357D">
                    <w:pPr>
                      <w:pStyle w:val="17"/>
                    </w:pPr>
                    <w:r>
                      <w:fldChar w:fldCharType="begin"/>
                    </w:r>
                    <w:r>
                      <w:instrText xml:space="preserve"> PAGE  \* MERGEFORMAT </w:instrText>
                    </w:r>
                    <w:r>
                      <w:fldChar w:fldCharType="separate"/>
                    </w:r>
                    <w:r>
                      <w:t>154</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1EB371">
    <w:pPr>
      <w:pStyle w:val="18"/>
      <w:spacing w:line="240" w:lineRule="auto"/>
      <w:ind w:firstLine="0" w:firstLineChars="0"/>
      <w:rPr>
        <w:rFonts w:ascii="宋体" w:hAnsi="宋体"/>
        <w:b/>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215FF1">
    <w:pPr>
      <w:pStyle w:val="18"/>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91441C">
    <w:pPr>
      <w:pStyle w:val="18"/>
      <w:pBdr>
        <w:bottom w:val="none" w:color="auto" w:sz="0" w:space="0"/>
      </w:pBdr>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74CC9F">
    <w:pPr>
      <w:pStyle w:val="18"/>
      <w:pBdr>
        <w:bottom w:val="single" w:color="auto" w:sz="6" w:space="0"/>
      </w:pBdr>
      <w:tabs>
        <w:tab w:val="center" w:pos="4535"/>
        <w:tab w:val="right" w:pos="9070"/>
      </w:tabs>
      <w:ind w:firstLine="38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08AE26"/>
    <w:multiLevelType w:val="singleLevel"/>
    <w:tmpl w:val="B008AE26"/>
    <w:lvl w:ilvl="0" w:tentative="0">
      <w:start w:val="1"/>
      <w:numFmt w:val="bullet"/>
      <w:pStyle w:val="14"/>
      <w:lvlText w:val=""/>
      <w:lvlJc w:val="left"/>
      <w:pPr>
        <w:tabs>
          <w:tab w:val="left" w:pos="2040"/>
        </w:tabs>
        <w:ind w:left="2040" w:hanging="360"/>
      </w:pPr>
      <w:rPr>
        <w:rFonts w:hint="default" w:ascii="Wingdings" w:hAnsi="Wingdings"/>
      </w:rPr>
    </w:lvl>
  </w:abstractNum>
  <w:abstractNum w:abstractNumId="1">
    <w:nsid w:val="EA6E4E26"/>
    <w:multiLevelType w:val="singleLevel"/>
    <w:tmpl w:val="EA6E4E26"/>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60"/>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llNWQyMDg4NTJlYzlmMjRkNGJmMzcxNWM1MmQzYzYifQ=="/>
  </w:docVars>
  <w:rsids>
    <w:rsidRoot w:val="00172A27"/>
    <w:rsid w:val="000060B3"/>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315D9"/>
    <w:rsid w:val="00131F42"/>
    <w:rsid w:val="001357F1"/>
    <w:rsid w:val="00140FA8"/>
    <w:rsid w:val="00142FEB"/>
    <w:rsid w:val="00143A2D"/>
    <w:rsid w:val="00145A41"/>
    <w:rsid w:val="00151675"/>
    <w:rsid w:val="00157435"/>
    <w:rsid w:val="001701E7"/>
    <w:rsid w:val="0017504D"/>
    <w:rsid w:val="0017671A"/>
    <w:rsid w:val="00177422"/>
    <w:rsid w:val="00184590"/>
    <w:rsid w:val="00186AA9"/>
    <w:rsid w:val="001870D1"/>
    <w:rsid w:val="0018781E"/>
    <w:rsid w:val="0019262D"/>
    <w:rsid w:val="001A1B35"/>
    <w:rsid w:val="001A48A2"/>
    <w:rsid w:val="001A6F61"/>
    <w:rsid w:val="001B72B8"/>
    <w:rsid w:val="001C69B3"/>
    <w:rsid w:val="001D5595"/>
    <w:rsid w:val="001D7874"/>
    <w:rsid w:val="001D7D08"/>
    <w:rsid w:val="001D7F22"/>
    <w:rsid w:val="001F0F17"/>
    <w:rsid w:val="001F3347"/>
    <w:rsid w:val="001F69E4"/>
    <w:rsid w:val="002125B4"/>
    <w:rsid w:val="00212A4D"/>
    <w:rsid w:val="00213CF6"/>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45F57"/>
    <w:rsid w:val="00356653"/>
    <w:rsid w:val="0035743F"/>
    <w:rsid w:val="00357BE2"/>
    <w:rsid w:val="0036170C"/>
    <w:rsid w:val="00366E0F"/>
    <w:rsid w:val="00381A72"/>
    <w:rsid w:val="00384676"/>
    <w:rsid w:val="00390857"/>
    <w:rsid w:val="00395D73"/>
    <w:rsid w:val="003A4BF3"/>
    <w:rsid w:val="003B420D"/>
    <w:rsid w:val="003C6C16"/>
    <w:rsid w:val="003D72AC"/>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63E57"/>
    <w:rsid w:val="005720AE"/>
    <w:rsid w:val="00594D77"/>
    <w:rsid w:val="005969E4"/>
    <w:rsid w:val="005A06B7"/>
    <w:rsid w:val="005A1759"/>
    <w:rsid w:val="005A68A7"/>
    <w:rsid w:val="005D36AB"/>
    <w:rsid w:val="00617CC3"/>
    <w:rsid w:val="006377A6"/>
    <w:rsid w:val="00637A3D"/>
    <w:rsid w:val="0064093A"/>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C3C36"/>
    <w:rsid w:val="007E4BD2"/>
    <w:rsid w:val="00801393"/>
    <w:rsid w:val="00802F88"/>
    <w:rsid w:val="0081293E"/>
    <w:rsid w:val="00815465"/>
    <w:rsid w:val="00817E9A"/>
    <w:rsid w:val="008306BD"/>
    <w:rsid w:val="00831A80"/>
    <w:rsid w:val="00833743"/>
    <w:rsid w:val="008340A4"/>
    <w:rsid w:val="008712D9"/>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66022"/>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23A51"/>
    <w:rsid w:val="00A32A83"/>
    <w:rsid w:val="00A368DB"/>
    <w:rsid w:val="00A423AA"/>
    <w:rsid w:val="00A53EC6"/>
    <w:rsid w:val="00A545D2"/>
    <w:rsid w:val="00A55C0F"/>
    <w:rsid w:val="00A8713F"/>
    <w:rsid w:val="00A90BA1"/>
    <w:rsid w:val="00A97A9A"/>
    <w:rsid w:val="00AA0671"/>
    <w:rsid w:val="00AA2531"/>
    <w:rsid w:val="00AB1E09"/>
    <w:rsid w:val="00AB5330"/>
    <w:rsid w:val="00AB7747"/>
    <w:rsid w:val="00AC14CE"/>
    <w:rsid w:val="00AC2A56"/>
    <w:rsid w:val="00AD055E"/>
    <w:rsid w:val="00AD47A7"/>
    <w:rsid w:val="00AD75C6"/>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268"/>
    <w:rsid w:val="00C45A06"/>
    <w:rsid w:val="00C47E5B"/>
    <w:rsid w:val="00C5342D"/>
    <w:rsid w:val="00C61E4B"/>
    <w:rsid w:val="00C64BFF"/>
    <w:rsid w:val="00C704E9"/>
    <w:rsid w:val="00C72387"/>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46A2"/>
    <w:rsid w:val="00DC56BC"/>
    <w:rsid w:val="00DC5B2B"/>
    <w:rsid w:val="00DD318D"/>
    <w:rsid w:val="00DF2E12"/>
    <w:rsid w:val="00DF514A"/>
    <w:rsid w:val="00DF6690"/>
    <w:rsid w:val="00DF6804"/>
    <w:rsid w:val="00E0358D"/>
    <w:rsid w:val="00E04323"/>
    <w:rsid w:val="00E070A2"/>
    <w:rsid w:val="00E2656A"/>
    <w:rsid w:val="00E412D0"/>
    <w:rsid w:val="00E546B9"/>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0958"/>
    <w:rsid w:val="00F3383E"/>
    <w:rsid w:val="00F44B61"/>
    <w:rsid w:val="00F465A7"/>
    <w:rsid w:val="00F50B7C"/>
    <w:rsid w:val="00F550E6"/>
    <w:rsid w:val="00F74345"/>
    <w:rsid w:val="00F80A0A"/>
    <w:rsid w:val="00F82B19"/>
    <w:rsid w:val="00F9212D"/>
    <w:rsid w:val="00F965DA"/>
    <w:rsid w:val="00FA406A"/>
    <w:rsid w:val="00FB503A"/>
    <w:rsid w:val="00FB516C"/>
    <w:rsid w:val="00FC206D"/>
    <w:rsid w:val="00FD0236"/>
    <w:rsid w:val="00FD18F4"/>
    <w:rsid w:val="00FD54DB"/>
    <w:rsid w:val="00FD619F"/>
    <w:rsid w:val="01025392"/>
    <w:rsid w:val="011A09BC"/>
    <w:rsid w:val="0123076B"/>
    <w:rsid w:val="01290F7E"/>
    <w:rsid w:val="012D0E35"/>
    <w:rsid w:val="01492F8B"/>
    <w:rsid w:val="015D1E09"/>
    <w:rsid w:val="016A5209"/>
    <w:rsid w:val="016E2F6B"/>
    <w:rsid w:val="01A6225E"/>
    <w:rsid w:val="01B545D9"/>
    <w:rsid w:val="01BB435A"/>
    <w:rsid w:val="01BD35AB"/>
    <w:rsid w:val="01E83C7F"/>
    <w:rsid w:val="02010C12"/>
    <w:rsid w:val="02142D58"/>
    <w:rsid w:val="022444C1"/>
    <w:rsid w:val="023F5F4D"/>
    <w:rsid w:val="024E007B"/>
    <w:rsid w:val="026659F0"/>
    <w:rsid w:val="02697903"/>
    <w:rsid w:val="028B5457"/>
    <w:rsid w:val="02942745"/>
    <w:rsid w:val="029A69F0"/>
    <w:rsid w:val="02A70548"/>
    <w:rsid w:val="02B37C97"/>
    <w:rsid w:val="02B524D4"/>
    <w:rsid w:val="02B5709C"/>
    <w:rsid w:val="02C866AB"/>
    <w:rsid w:val="02EB40C6"/>
    <w:rsid w:val="02EC1132"/>
    <w:rsid w:val="02F96569"/>
    <w:rsid w:val="02FC196D"/>
    <w:rsid w:val="03013859"/>
    <w:rsid w:val="031E337A"/>
    <w:rsid w:val="03285F67"/>
    <w:rsid w:val="033015DE"/>
    <w:rsid w:val="033E0386"/>
    <w:rsid w:val="033F6241"/>
    <w:rsid w:val="035D3D9F"/>
    <w:rsid w:val="036F4DCF"/>
    <w:rsid w:val="03783DCD"/>
    <w:rsid w:val="0394658D"/>
    <w:rsid w:val="03A41AD5"/>
    <w:rsid w:val="03B40D30"/>
    <w:rsid w:val="03B867B1"/>
    <w:rsid w:val="03D00ABD"/>
    <w:rsid w:val="03D1609B"/>
    <w:rsid w:val="03D2123A"/>
    <w:rsid w:val="03EA7B21"/>
    <w:rsid w:val="03EB5163"/>
    <w:rsid w:val="03FB7D71"/>
    <w:rsid w:val="040E2F10"/>
    <w:rsid w:val="041067BE"/>
    <w:rsid w:val="041E2934"/>
    <w:rsid w:val="0435361E"/>
    <w:rsid w:val="043B6095"/>
    <w:rsid w:val="044D1536"/>
    <w:rsid w:val="045B4BB3"/>
    <w:rsid w:val="045F6B9B"/>
    <w:rsid w:val="04967F52"/>
    <w:rsid w:val="04A07723"/>
    <w:rsid w:val="04AB2920"/>
    <w:rsid w:val="04B263C5"/>
    <w:rsid w:val="04C329ED"/>
    <w:rsid w:val="05023B41"/>
    <w:rsid w:val="051E0804"/>
    <w:rsid w:val="053D0385"/>
    <w:rsid w:val="05412745"/>
    <w:rsid w:val="055B017D"/>
    <w:rsid w:val="05883ED0"/>
    <w:rsid w:val="05934B47"/>
    <w:rsid w:val="05A01219"/>
    <w:rsid w:val="05B9413F"/>
    <w:rsid w:val="05BB141B"/>
    <w:rsid w:val="05CB6326"/>
    <w:rsid w:val="05D62D07"/>
    <w:rsid w:val="05F2174D"/>
    <w:rsid w:val="05F477B7"/>
    <w:rsid w:val="05F83EAE"/>
    <w:rsid w:val="060D2627"/>
    <w:rsid w:val="060E0349"/>
    <w:rsid w:val="06344057"/>
    <w:rsid w:val="063E7D85"/>
    <w:rsid w:val="06464E2B"/>
    <w:rsid w:val="066B1F18"/>
    <w:rsid w:val="067420BD"/>
    <w:rsid w:val="068312F8"/>
    <w:rsid w:val="06A270BC"/>
    <w:rsid w:val="06A602AA"/>
    <w:rsid w:val="06C32896"/>
    <w:rsid w:val="06D06D13"/>
    <w:rsid w:val="06E96BF0"/>
    <w:rsid w:val="06EC34D5"/>
    <w:rsid w:val="07017F4B"/>
    <w:rsid w:val="0707678E"/>
    <w:rsid w:val="07083CA6"/>
    <w:rsid w:val="07293586"/>
    <w:rsid w:val="07295285"/>
    <w:rsid w:val="072D2F81"/>
    <w:rsid w:val="07481B19"/>
    <w:rsid w:val="074F3A06"/>
    <w:rsid w:val="07636392"/>
    <w:rsid w:val="076D20AD"/>
    <w:rsid w:val="0772145C"/>
    <w:rsid w:val="07770C56"/>
    <w:rsid w:val="07807554"/>
    <w:rsid w:val="07884A88"/>
    <w:rsid w:val="07B35006"/>
    <w:rsid w:val="07BB15A5"/>
    <w:rsid w:val="07C5765D"/>
    <w:rsid w:val="07D02393"/>
    <w:rsid w:val="07D65130"/>
    <w:rsid w:val="07F2421B"/>
    <w:rsid w:val="08002443"/>
    <w:rsid w:val="080041F1"/>
    <w:rsid w:val="0807426E"/>
    <w:rsid w:val="08115626"/>
    <w:rsid w:val="08183C31"/>
    <w:rsid w:val="083B4076"/>
    <w:rsid w:val="08464C04"/>
    <w:rsid w:val="08581A1C"/>
    <w:rsid w:val="085B7E3F"/>
    <w:rsid w:val="085E7EC8"/>
    <w:rsid w:val="08674270"/>
    <w:rsid w:val="087F5A5E"/>
    <w:rsid w:val="088C21E3"/>
    <w:rsid w:val="088F7F74"/>
    <w:rsid w:val="089B04B7"/>
    <w:rsid w:val="08A96637"/>
    <w:rsid w:val="08B17BE1"/>
    <w:rsid w:val="08CF1E2D"/>
    <w:rsid w:val="08D86F1C"/>
    <w:rsid w:val="08DA3C1A"/>
    <w:rsid w:val="08F03AF7"/>
    <w:rsid w:val="090E64A9"/>
    <w:rsid w:val="091C14FF"/>
    <w:rsid w:val="092217DD"/>
    <w:rsid w:val="09232F3B"/>
    <w:rsid w:val="09265ED9"/>
    <w:rsid w:val="092F0F0C"/>
    <w:rsid w:val="0935611C"/>
    <w:rsid w:val="093A2C43"/>
    <w:rsid w:val="093A7294"/>
    <w:rsid w:val="094471BA"/>
    <w:rsid w:val="095549FE"/>
    <w:rsid w:val="09572537"/>
    <w:rsid w:val="09612D6F"/>
    <w:rsid w:val="096532FC"/>
    <w:rsid w:val="097323CB"/>
    <w:rsid w:val="097D76F7"/>
    <w:rsid w:val="09A97DEE"/>
    <w:rsid w:val="09BA2AC6"/>
    <w:rsid w:val="09EF09C1"/>
    <w:rsid w:val="0A026026"/>
    <w:rsid w:val="0A263993"/>
    <w:rsid w:val="0A2D3AC2"/>
    <w:rsid w:val="0A3C028E"/>
    <w:rsid w:val="0A6A6084"/>
    <w:rsid w:val="0A7C1CF8"/>
    <w:rsid w:val="0A8530D4"/>
    <w:rsid w:val="0A8D6BC7"/>
    <w:rsid w:val="0A982E07"/>
    <w:rsid w:val="0AA755DF"/>
    <w:rsid w:val="0ABB6AF5"/>
    <w:rsid w:val="0ACF7666"/>
    <w:rsid w:val="0AE46D19"/>
    <w:rsid w:val="0AFD47FB"/>
    <w:rsid w:val="0B0032FA"/>
    <w:rsid w:val="0B120D44"/>
    <w:rsid w:val="0B224DC6"/>
    <w:rsid w:val="0B276789"/>
    <w:rsid w:val="0B380910"/>
    <w:rsid w:val="0B8909A2"/>
    <w:rsid w:val="0B8D2177"/>
    <w:rsid w:val="0BBA0B5B"/>
    <w:rsid w:val="0BC84BA4"/>
    <w:rsid w:val="0BD27BF6"/>
    <w:rsid w:val="0BE176EE"/>
    <w:rsid w:val="0BE672C0"/>
    <w:rsid w:val="0C0232B9"/>
    <w:rsid w:val="0C3B3C7D"/>
    <w:rsid w:val="0C4D6243"/>
    <w:rsid w:val="0C631198"/>
    <w:rsid w:val="0C8573BB"/>
    <w:rsid w:val="0C882A07"/>
    <w:rsid w:val="0C9B273A"/>
    <w:rsid w:val="0CA1551B"/>
    <w:rsid w:val="0CAB2EAE"/>
    <w:rsid w:val="0CB16402"/>
    <w:rsid w:val="0CC7352F"/>
    <w:rsid w:val="0CD43E9E"/>
    <w:rsid w:val="0CD5274C"/>
    <w:rsid w:val="0CEF0CD8"/>
    <w:rsid w:val="0D0F7651"/>
    <w:rsid w:val="0D497F62"/>
    <w:rsid w:val="0D621C7D"/>
    <w:rsid w:val="0D716827"/>
    <w:rsid w:val="0D7C256C"/>
    <w:rsid w:val="0D8D1825"/>
    <w:rsid w:val="0D9513B2"/>
    <w:rsid w:val="0DAE397F"/>
    <w:rsid w:val="0DE01F26"/>
    <w:rsid w:val="0E0B33A9"/>
    <w:rsid w:val="0E0F1632"/>
    <w:rsid w:val="0E125B48"/>
    <w:rsid w:val="0E160D25"/>
    <w:rsid w:val="0E250E55"/>
    <w:rsid w:val="0E3066B6"/>
    <w:rsid w:val="0E407A3D"/>
    <w:rsid w:val="0E553876"/>
    <w:rsid w:val="0E5D3F19"/>
    <w:rsid w:val="0E5F7C56"/>
    <w:rsid w:val="0E6B0E94"/>
    <w:rsid w:val="0E73034D"/>
    <w:rsid w:val="0E742998"/>
    <w:rsid w:val="0EA63D16"/>
    <w:rsid w:val="0EB2042D"/>
    <w:rsid w:val="0EB75826"/>
    <w:rsid w:val="0ED208F1"/>
    <w:rsid w:val="0EEE7499"/>
    <w:rsid w:val="0F13775A"/>
    <w:rsid w:val="0F16276E"/>
    <w:rsid w:val="0F3B0E33"/>
    <w:rsid w:val="0F4149A2"/>
    <w:rsid w:val="0F4C2412"/>
    <w:rsid w:val="0F5F45FE"/>
    <w:rsid w:val="0F625791"/>
    <w:rsid w:val="0F8E47D8"/>
    <w:rsid w:val="0F9A112B"/>
    <w:rsid w:val="0F9D4A1B"/>
    <w:rsid w:val="0FA43FFC"/>
    <w:rsid w:val="0FF03062"/>
    <w:rsid w:val="10025F72"/>
    <w:rsid w:val="10060813"/>
    <w:rsid w:val="100B5E29"/>
    <w:rsid w:val="1021389E"/>
    <w:rsid w:val="1021564D"/>
    <w:rsid w:val="10321608"/>
    <w:rsid w:val="10390BE8"/>
    <w:rsid w:val="104738DB"/>
    <w:rsid w:val="10503EAF"/>
    <w:rsid w:val="10593038"/>
    <w:rsid w:val="106D2F64"/>
    <w:rsid w:val="107003E2"/>
    <w:rsid w:val="10790FE5"/>
    <w:rsid w:val="107D4D09"/>
    <w:rsid w:val="10881228"/>
    <w:rsid w:val="10AA0ABF"/>
    <w:rsid w:val="10AF2C58"/>
    <w:rsid w:val="10B23E66"/>
    <w:rsid w:val="10B63710"/>
    <w:rsid w:val="10DD7FD9"/>
    <w:rsid w:val="10E04EA0"/>
    <w:rsid w:val="10E93381"/>
    <w:rsid w:val="10F10820"/>
    <w:rsid w:val="10F966FC"/>
    <w:rsid w:val="110C3C07"/>
    <w:rsid w:val="110F36F7"/>
    <w:rsid w:val="111A360F"/>
    <w:rsid w:val="111C2F7A"/>
    <w:rsid w:val="11394B85"/>
    <w:rsid w:val="11501E10"/>
    <w:rsid w:val="1154735C"/>
    <w:rsid w:val="11665CA1"/>
    <w:rsid w:val="1170063A"/>
    <w:rsid w:val="11841398"/>
    <w:rsid w:val="119D4C64"/>
    <w:rsid w:val="11B7217E"/>
    <w:rsid w:val="11CB1D14"/>
    <w:rsid w:val="11CF0EE0"/>
    <w:rsid w:val="11CF1673"/>
    <w:rsid w:val="11CF4134"/>
    <w:rsid w:val="11D010D8"/>
    <w:rsid w:val="11D916EE"/>
    <w:rsid w:val="11D94AE2"/>
    <w:rsid w:val="11EF0C3A"/>
    <w:rsid w:val="11F16F65"/>
    <w:rsid w:val="11FB1922"/>
    <w:rsid w:val="120E1C01"/>
    <w:rsid w:val="12137217"/>
    <w:rsid w:val="121973C2"/>
    <w:rsid w:val="123258EF"/>
    <w:rsid w:val="124B075F"/>
    <w:rsid w:val="12541D09"/>
    <w:rsid w:val="12C1415F"/>
    <w:rsid w:val="12D30AAF"/>
    <w:rsid w:val="12D41F64"/>
    <w:rsid w:val="12E90BB0"/>
    <w:rsid w:val="12F03E44"/>
    <w:rsid w:val="1300779B"/>
    <w:rsid w:val="132F0080"/>
    <w:rsid w:val="133A1191"/>
    <w:rsid w:val="134648D9"/>
    <w:rsid w:val="135B70C7"/>
    <w:rsid w:val="136917E4"/>
    <w:rsid w:val="13734411"/>
    <w:rsid w:val="13852A1B"/>
    <w:rsid w:val="138D5EFC"/>
    <w:rsid w:val="138F28CD"/>
    <w:rsid w:val="13951726"/>
    <w:rsid w:val="1396745A"/>
    <w:rsid w:val="139E05CB"/>
    <w:rsid w:val="13A32F4B"/>
    <w:rsid w:val="13C62793"/>
    <w:rsid w:val="13CB7DA9"/>
    <w:rsid w:val="13D824C6"/>
    <w:rsid w:val="14157276"/>
    <w:rsid w:val="143036BA"/>
    <w:rsid w:val="14396509"/>
    <w:rsid w:val="14455E25"/>
    <w:rsid w:val="14743DD7"/>
    <w:rsid w:val="14952165"/>
    <w:rsid w:val="14AA12FF"/>
    <w:rsid w:val="14AF4473"/>
    <w:rsid w:val="14DD2C3C"/>
    <w:rsid w:val="14EB4E60"/>
    <w:rsid w:val="14F81B80"/>
    <w:rsid w:val="15015A4D"/>
    <w:rsid w:val="152E3299"/>
    <w:rsid w:val="153D5446"/>
    <w:rsid w:val="15481002"/>
    <w:rsid w:val="15542020"/>
    <w:rsid w:val="15574091"/>
    <w:rsid w:val="15AF54A9"/>
    <w:rsid w:val="15CB7EB7"/>
    <w:rsid w:val="15CC1BB7"/>
    <w:rsid w:val="15DE1CB6"/>
    <w:rsid w:val="15FC3BDD"/>
    <w:rsid w:val="16087E1D"/>
    <w:rsid w:val="160B6B83"/>
    <w:rsid w:val="16123774"/>
    <w:rsid w:val="16626B86"/>
    <w:rsid w:val="168B577F"/>
    <w:rsid w:val="168F6882"/>
    <w:rsid w:val="1693628B"/>
    <w:rsid w:val="16A15CFC"/>
    <w:rsid w:val="16A61AD9"/>
    <w:rsid w:val="16A902E6"/>
    <w:rsid w:val="16CD47FE"/>
    <w:rsid w:val="16CE13C2"/>
    <w:rsid w:val="16DC350D"/>
    <w:rsid w:val="16E834DB"/>
    <w:rsid w:val="16F75500"/>
    <w:rsid w:val="17140D4B"/>
    <w:rsid w:val="17384D95"/>
    <w:rsid w:val="174C193E"/>
    <w:rsid w:val="17701D14"/>
    <w:rsid w:val="17707E84"/>
    <w:rsid w:val="17735226"/>
    <w:rsid w:val="177357D4"/>
    <w:rsid w:val="17856DAD"/>
    <w:rsid w:val="1790275C"/>
    <w:rsid w:val="17C823E3"/>
    <w:rsid w:val="18043A28"/>
    <w:rsid w:val="180A3BAE"/>
    <w:rsid w:val="181635BD"/>
    <w:rsid w:val="183D4FEE"/>
    <w:rsid w:val="184B23BE"/>
    <w:rsid w:val="1853025A"/>
    <w:rsid w:val="18842C1C"/>
    <w:rsid w:val="188C1618"/>
    <w:rsid w:val="18952734"/>
    <w:rsid w:val="189D1670"/>
    <w:rsid w:val="189F624C"/>
    <w:rsid w:val="18BB38C2"/>
    <w:rsid w:val="18C0146F"/>
    <w:rsid w:val="18DE1333"/>
    <w:rsid w:val="18F25DD8"/>
    <w:rsid w:val="18F50076"/>
    <w:rsid w:val="190D0735"/>
    <w:rsid w:val="191E17B5"/>
    <w:rsid w:val="191E2F7A"/>
    <w:rsid w:val="19232BB3"/>
    <w:rsid w:val="19353F17"/>
    <w:rsid w:val="19470A0A"/>
    <w:rsid w:val="19554846"/>
    <w:rsid w:val="196D16C7"/>
    <w:rsid w:val="196E02FA"/>
    <w:rsid w:val="197762DD"/>
    <w:rsid w:val="1983187A"/>
    <w:rsid w:val="19924683"/>
    <w:rsid w:val="19EC1950"/>
    <w:rsid w:val="1A01284C"/>
    <w:rsid w:val="1A181E5D"/>
    <w:rsid w:val="1A1C66C0"/>
    <w:rsid w:val="1A371B62"/>
    <w:rsid w:val="1A402B73"/>
    <w:rsid w:val="1A42393B"/>
    <w:rsid w:val="1A530AF8"/>
    <w:rsid w:val="1A544DD0"/>
    <w:rsid w:val="1A715164"/>
    <w:rsid w:val="1A75281D"/>
    <w:rsid w:val="1AAA2C02"/>
    <w:rsid w:val="1AAD45DE"/>
    <w:rsid w:val="1ADA2672"/>
    <w:rsid w:val="1AE90BE2"/>
    <w:rsid w:val="1AE9320B"/>
    <w:rsid w:val="1AE94FB9"/>
    <w:rsid w:val="1AFC2F3E"/>
    <w:rsid w:val="1B01328F"/>
    <w:rsid w:val="1B021CF3"/>
    <w:rsid w:val="1B046F80"/>
    <w:rsid w:val="1B1D4C62"/>
    <w:rsid w:val="1B270A4A"/>
    <w:rsid w:val="1B2D6F30"/>
    <w:rsid w:val="1B3267B5"/>
    <w:rsid w:val="1B3702A1"/>
    <w:rsid w:val="1B40161D"/>
    <w:rsid w:val="1B441859"/>
    <w:rsid w:val="1B6606B1"/>
    <w:rsid w:val="1B682381"/>
    <w:rsid w:val="1B740620"/>
    <w:rsid w:val="1B9448BE"/>
    <w:rsid w:val="1B9664BE"/>
    <w:rsid w:val="1BAA5E8D"/>
    <w:rsid w:val="1BB6460E"/>
    <w:rsid w:val="1BBC26CD"/>
    <w:rsid w:val="1BC577D4"/>
    <w:rsid w:val="1BCA04A8"/>
    <w:rsid w:val="1BCC2910"/>
    <w:rsid w:val="1BFA5D17"/>
    <w:rsid w:val="1C2A3ADB"/>
    <w:rsid w:val="1C320C23"/>
    <w:rsid w:val="1C5131B2"/>
    <w:rsid w:val="1C5E7925"/>
    <w:rsid w:val="1C61087C"/>
    <w:rsid w:val="1C776FFB"/>
    <w:rsid w:val="1C995844"/>
    <w:rsid w:val="1CA63F49"/>
    <w:rsid w:val="1CBD759A"/>
    <w:rsid w:val="1CCC21E1"/>
    <w:rsid w:val="1CFD070F"/>
    <w:rsid w:val="1D015956"/>
    <w:rsid w:val="1D174105"/>
    <w:rsid w:val="1D1D0A52"/>
    <w:rsid w:val="1D5C5F16"/>
    <w:rsid w:val="1D5F6196"/>
    <w:rsid w:val="1D601E98"/>
    <w:rsid w:val="1D6132A5"/>
    <w:rsid w:val="1D631052"/>
    <w:rsid w:val="1D8D5B75"/>
    <w:rsid w:val="1D8E56D5"/>
    <w:rsid w:val="1D920F53"/>
    <w:rsid w:val="1DA43268"/>
    <w:rsid w:val="1DC062A4"/>
    <w:rsid w:val="1DCC4DA9"/>
    <w:rsid w:val="1DD65CC8"/>
    <w:rsid w:val="1DEA6654"/>
    <w:rsid w:val="1E063A99"/>
    <w:rsid w:val="1E071573"/>
    <w:rsid w:val="1E076183"/>
    <w:rsid w:val="1E08413E"/>
    <w:rsid w:val="1E1865C7"/>
    <w:rsid w:val="1E191D18"/>
    <w:rsid w:val="1E380731"/>
    <w:rsid w:val="1E3F3350"/>
    <w:rsid w:val="1E5170FD"/>
    <w:rsid w:val="1E5613E4"/>
    <w:rsid w:val="1E5A11E8"/>
    <w:rsid w:val="1E6037E4"/>
    <w:rsid w:val="1E62223B"/>
    <w:rsid w:val="1E6613A6"/>
    <w:rsid w:val="1E754522"/>
    <w:rsid w:val="1E7A43DA"/>
    <w:rsid w:val="1EA33F74"/>
    <w:rsid w:val="1EB663DD"/>
    <w:rsid w:val="1EC41DEF"/>
    <w:rsid w:val="1EC93137"/>
    <w:rsid w:val="1ED11A82"/>
    <w:rsid w:val="1ED9146D"/>
    <w:rsid w:val="1EE10F6B"/>
    <w:rsid w:val="1EE14925"/>
    <w:rsid w:val="1EEF3527"/>
    <w:rsid w:val="1EF762B5"/>
    <w:rsid w:val="1F067F44"/>
    <w:rsid w:val="1F221FBE"/>
    <w:rsid w:val="1F234F3D"/>
    <w:rsid w:val="1F301408"/>
    <w:rsid w:val="1F367C56"/>
    <w:rsid w:val="1F422B6E"/>
    <w:rsid w:val="1F534629"/>
    <w:rsid w:val="1F5C002D"/>
    <w:rsid w:val="1F610D66"/>
    <w:rsid w:val="1F63372C"/>
    <w:rsid w:val="1F680BA2"/>
    <w:rsid w:val="1F741065"/>
    <w:rsid w:val="1F7F413E"/>
    <w:rsid w:val="1F830E20"/>
    <w:rsid w:val="1F9663CE"/>
    <w:rsid w:val="1F9A4AD4"/>
    <w:rsid w:val="1FD04999"/>
    <w:rsid w:val="1FD15FCD"/>
    <w:rsid w:val="1FE7539E"/>
    <w:rsid w:val="1FE8687D"/>
    <w:rsid w:val="200A1C59"/>
    <w:rsid w:val="200D0C92"/>
    <w:rsid w:val="201254CA"/>
    <w:rsid w:val="20210D51"/>
    <w:rsid w:val="20304E78"/>
    <w:rsid w:val="20342D59"/>
    <w:rsid w:val="204436B2"/>
    <w:rsid w:val="205D7FFE"/>
    <w:rsid w:val="20607ACB"/>
    <w:rsid w:val="20671BE0"/>
    <w:rsid w:val="206F4F3B"/>
    <w:rsid w:val="207B26B7"/>
    <w:rsid w:val="20963CB8"/>
    <w:rsid w:val="20A81A1B"/>
    <w:rsid w:val="20AA5034"/>
    <w:rsid w:val="20B07FB6"/>
    <w:rsid w:val="20B61F70"/>
    <w:rsid w:val="20B646FB"/>
    <w:rsid w:val="213B74B1"/>
    <w:rsid w:val="21515BEA"/>
    <w:rsid w:val="21582E98"/>
    <w:rsid w:val="215A2310"/>
    <w:rsid w:val="216A49C6"/>
    <w:rsid w:val="216D695C"/>
    <w:rsid w:val="2170205A"/>
    <w:rsid w:val="219355B9"/>
    <w:rsid w:val="21B81661"/>
    <w:rsid w:val="21C31D75"/>
    <w:rsid w:val="21D81AF1"/>
    <w:rsid w:val="21DC7DB1"/>
    <w:rsid w:val="21DE318A"/>
    <w:rsid w:val="21E34525"/>
    <w:rsid w:val="21EF5B80"/>
    <w:rsid w:val="21F260FE"/>
    <w:rsid w:val="21F506E7"/>
    <w:rsid w:val="21FD009A"/>
    <w:rsid w:val="22022AED"/>
    <w:rsid w:val="22172E99"/>
    <w:rsid w:val="22380836"/>
    <w:rsid w:val="2250500B"/>
    <w:rsid w:val="22576990"/>
    <w:rsid w:val="225F4A0F"/>
    <w:rsid w:val="22761828"/>
    <w:rsid w:val="229E5988"/>
    <w:rsid w:val="22C20830"/>
    <w:rsid w:val="22D22ADD"/>
    <w:rsid w:val="22F47480"/>
    <w:rsid w:val="230D77E1"/>
    <w:rsid w:val="231D5B04"/>
    <w:rsid w:val="232A223C"/>
    <w:rsid w:val="23596084"/>
    <w:rsid w:val="235D197A"/>
    <w:rsid w:val="2368073F"/>
    <w:rsid w:val="2373137C"/>
    <w:rsid w:val="238503D1"/>
    <w:rsid w:val="23933325"/>
    <w:rsid w:val="23B26890"/>
    <w:rsid w:val="23D95C81"/>
    <w:rsid w:val="23DE1C48"/>
    <w:rsid w:val="23E2705E"/>
    <w:rsid w:val="23FB761F"/>
    <w:rsid w:val="240210CD"/>
    <w:rsid w:val="24083319"/>
    <w:rsid w:val="24426E54"/>
    <w:rsid w:val="24482D50"/>
    <w:rsid w:val="244B0A92"/>
    <w:rsid w:val="24565FAC"/>
    <w:rsid w:val="245F32DF"/>
    <w:rsid w:val="24755A80"/>
    <w:rsid w:val="2489070F"/>
    <w:rsid w:val="24AF1ECB"/>
    <w:rsid w:val="24B76505"/>
    <w:rsid w:val="24BA5C4B"/>
    <w:rsid w:val="24BF09F7"/>
    <w:rsid w:val="24F50B4B"/>
    <w:rsid w:val="250A6257"/>
    <w:rsid w:val="251C5F6F"/>
    <w:rsid w:val="252D53FE"/>
    <w:rsid w:val="252D5B32"/>
    <w:rsid w:val="254A4F66"/>
    <w:rsid w:val="25514918"/>
    <w:rsid w:val="258D534E"/>
    <w:rsid w:val="25A120E3"/>
    <w:rsid w:val="25A416F9"/>
    <w:rsid w:val="25A92529"/>
    <w:rsid w:val="25BD32CA"/>
    <w:rsid w:val="25D30D3F"/>
    <w:rsid w:val="25EC2D81"/>
    <w:rsid w:val="26213859"/>
    <w:rsid w:val="269C7383"/>
    <w:rsid w:val="26A548D7"/>
    <w:rsid w:val="26B63C25"/>
    <w:rsid w:val="26B64384"/>
    <w:rsid w:val="26B84A57"/>
    <w:rsid w:val="26BB1EFF"/>
    <w:rsid w:val="26CF6268"/>
    <w:rsid w:val="26D27249"/>
    <w:rsid w:val="26DB471A"/>
    <w:rsid w:val="26DB58F8"/>
    <w:rsid w:val="26EF70CD"/>
    <w:rsid w:val="270B100F"/>
    <w:rsid w:val="271543C9"/>
    <w:rsid w:val="2742617D"/>
    <w:rsid w:val="27476180"/>
    <w:rsid w:val="276E340E"/>
    <w:rsid w:val="277057A2"/>
    <w:rsid w:val="277409CC"/>
    <w:rsid w:val="27814EF7"/>
    <w:rsid w:val="279F5C2C"/>
    <w:rsid w:val="27BB1A8B"/>
    <w:rsid w:val="27C41A02"/>
    <w:rsid w:val="27C43061"/>
    <w:rsid w:val="27C472B7"/>
    <w:rsid w:val="27D112AE"/>
    <w:rsid w:val="27D14117"/>
    <w:rsid w:val="27DC23F3"/>
    <w:rsid w:val="27F11033"/>
    <w:rsid w:val="2806390C"/>
    <w:rsid w:val="280A17AD"/>
    <w:rsid w:val="281555D5"/>
    <w:rsid w:val="281D1BE4"/>
    <w:rsid w:val="283520D6"/>
    <w:rsid w:val="283D24BD"/>
    <w:rsid w:val="284303FE"/>
    <w:rsid w:val="284F4A2A"/>
    <w:rsid w:val="2856148A"/>
    <w:rsid w:val="286B3843"/>
    <w:rsid w:val="286D6BEB"/>
    <w:rsid w:val="28A65CA7"/>
    <w:rsid w:val="28A9170E"/>
    <w:rsid w:val="28AD1821"/>
    <w:rsid w:val="28C90D01"/>
    <w:rsid w:val="28CC4DDE"/>
    <w:rsid w:val="28D465BF"/>
    <w:rsid w:val="29045D83"/>
    <w:rsid w:val="2908451C"/>
    <w:rsid w:val="290F02E0"/>
    <w:rsid w:val="29192CA1"/>
    <w:rsid w:val="291A6516"/>
    <w:rsid w:val="29206EB8"/>
    <w:rsid w:val="292328A0"/>
    <w:rsid w:val="2929442B"/>
    <w:rsid w:val="292A4BF1"/>
    <w:rsid w:val="293E4722"/>
    <w:rsid w:val="29547602"/>
    <w:rsid w:val="29595666"/>
    <w:rsid w:val="297043D4"/>
    <w:rsid w:val="29874881"/>
    <w:rsid w:val="299625B8"/>
    <w:rsid w:val="29A46C7B"/>
    <w:rsid w:val="29AB287C"/>
    <w:rsid w:val="29DA269C"/>
    <w:rsid w:val="29E25D0C"/>
    <w:rsid w:val="29E26F57"/>
    <w:rsid w:val="29E325E0"/>
    <w:rsid w:val="2A0B6CFA"/>
    <w:rsid w:val="2A0C5030"/>
    <w:rsid w:val="2A2E4A46"/>
    <w:rsid w:val="2A3C1D86"/>
    <w:rsid w:val="2A3F16EE"/>
    <w:rsid w:val="2A3F4BF5"/>
    <w:rsid w:val="2A452503"/>
    <w:rsid w:val="2A520DDD"/>
    <w:rsid w:val="2A5561C7"/>
    <w:rsid w:val="2A5A1A2F"/>
    <w:rsid w:val="2A622A04"/>
    <w:rsid w:val="2A6F54DA"/>
    <w:rsid w:val="2A70106F"/>
    <w:rsid w:val="2A796284"/>
    <w:rsid w:val="2A83413A"/>
    <w:rsid w:val="2A895E70"/>
    <w:rsid w:val="2AC84BEB"/>
    <w:rsid w:val="2ADE5C36"/>
    <w:rsid w:val="2AFA06CB"/>
    <w:rsid w:val="2AFB4E7E"/>
    <w:rsid w:val="2B1A04ED"/>
    <w:rsid w:val="2B29158A"/>
    <w:rsid w:val="2B392412"/>
    <w:rsid w:val="2B522706"/>
    <w:rsid w:val="2BA54F2C"/>
    <w:rsid w:val="2BA936A8"/>
    <w:rsid w:val="2BAE7B55"/>
    <w:rsid w:val="2BD0750D"/>
    <w:rsid w:val="2BF4766A"/>
    <w:rsid w:val="2C296099"/>
    <w:rsid w:val="2C2E4F21"/>
    <w:rsid w:val="2C315A5A"/>
    <w:rsid w:val="2C337B5E"/>
    <w:rsid w:val="2C3A38C6"/>
    <w:rsid w:val="2C4A2F61"/>
    <w:rsid w:val="2C4B1C25"/>
    <w:rsid w:val="2C565779"/>
    <w:rsid w:val="2C9A19F1"/>
    <w:rsid w:val="2CC17A07"/>
    <w:rsid w:val="2CD63DA1"/>
    <w:rsid w:val="2D013DAA"/>
    <w:rsid w:val="2D060B47"/>
    <w:rsid w:val="2D095E1A"/>
    <w:rsid w:val="2D144117"/>
    <w:rsid w:val="2D305725"/>
    <w:rsid w:val="2D3104AA"/>
    <w:rsid w:val="2D433964"/>
    <w:rsid w:val="2D742E08"/>
    <w:rsid w:val="2D8D3ECA"/>
    <w:rsid w:val="2D906DFC"/>
    <w:rsid w:val="2D9E56F5"/>
    <w:rsid w:val="2DAA4EB3"/>
    <w:rsid w:val="2DCC49F2"/>
    <w:rsid w:val="2DDB408A"/>
    <w:rsid w:val="2DF32906"/>
    <w:rsid w:val="2E0A21E2"/>
    <w:rsid w:val="2E10478E"/>
    <w:rsid w:val="2E1462FE"/>
    <w:rsid w:val="2E1D5BCB"/>
    <w:rsid w:val="2E2F2113"/>
    <w:rsid w:val="2E474078"/>
    <w:rsid w:val="2E5234C2"/>
    <w:rsid w:val="2E605819"/>
    <w:rsid w:val="2E667F96"/>
    <w:rsid w:val="2E805A4F"/>
    <w:rsid w:val="2E8226AB"/>
    <w:rsid w:val="2E9010A6"/>
    <w:rsid w:val="2E936585"/>
    <w:rsid w:val="2EC67E6D"/>
    <w:rsid w:val="2ECB1032"/>
    <w:rsid w:val="2ED723D3"/>
    <w:rsid w:val="2EF21911"/>
    <w:rsid w:val="2F192E5E"/>
    <w:rsid w:val="2F290403"/>
    <w:rsid w:val="2F303BA3"/>
    <w:rsid w:val="2F391C13"/>
    <w:rsid w:val="2F3C1703"/>
    <w:rsid w:val="2F4570FA"/>
    <w:rsid w:val="2F4B1946"/>
    <w:rsid w:val="2F621884"/>
    <w:rsid w:val="2F7D2536"/>
    <w:rsid w:val="2F950E14"/>
    <w:rsid w:val="2FBF0670"/>
    <w:rsid w:val="2FCB335C"/>
    <w:rsid w:val="2FD065E6"/>
    <w:rsid w:val="2FD91B38"/>
    <w:rsid w:val="2FD96870"/>
    <w:rsid w:val="2FDD2EE6"/>
    <w:rsid w:val="2FE856BF"/>
    <w:rsid w:val="2FE90983"/>
    <w:rsid w:val="30116344"/>
    <w:rsid w:val="3015747B"/>
    <w:rsid w:val="30526A3B"/>
    <w:rsid w:val="30580BC9"/>
    <w:rsid w:val="306727B0"/>
    <w:rsid w:val="309B7EAE"/>
    <w:rsid w:val="30C17806"/>
    <w:rsid w:val="30CA0E9F"/>
    <w:rsid w:val="30DC4135"/>
    <w:rsid w:val="30E3242D"/>
    <w:rsid w:val="30E82A9C"/>
    <w:rsid w:val="30F82D6E"/>
    <w:rsid w:val="3119474C"/>
    <w:rsid w:val="311C5ACF"/>
    <w:rsid w:val="311E04F6"/>
    <w:rsid w:val="311E2ED7"/>
    <w:rsid w:val="314B1BB5"/>
    <w:rsid w:val="315619EE"/>
    <w:rsid w:val="315C449C"/>
    <w:rsid w:val="31646E54"/>
    <w:rsid w:val="319A42E4"/>
    <w:rsid w:val="31B82709"/>
    <w:rsid w:val="31D05482"/>
    <w:rsid w:val="31D41389"/>
    <w:rsid w:val="32143716"/>
    <w:rsid w:val="322045B1"/>
    <w:rsid w:val="32232D61"/>
    <w:rsid w:val="322A7F39"/>
    <w:rsid w:val="3234134F"/>
    <w:rsid w:val="323E39E4"/>
    <w:rsid w:val="32400B34"/>
    <w:rsid w:val="32442118"/>
    <w:rsid w:val="324D4927"/>
    <w:rsid w:val="32805DAB"/>
    <w:rsid w:val="329E6876"/>
    <w:rsid w:val="32BD5DD0"/>
    <w:rsid w:val="32BF342E"/>
    <w:rsid w:val="32D14858"/>
    <w:rsid w:val="33031A8E"/>
    <w:rsid w:val="331F6C38"/>
    <w:rsid w:val="332640F5"/>
    <w:rsid w:val="333015F2"/>
    <w:rsid w:val="3334497B"/>
    <w:rsid w:val="334B6320"/>
    <w:rsid w:val="33516C78"/>
    <w:rsid w:val="33562AE6"/>
    <w:rsid w:val="33616012"/>
    <w:rsid w:val="337955D1"/>
    <w:rsid w:val="338340D7"/>
    <w:rsid w:val="3398549F"/>
    <w:rsid w:val="33A622F9"/>
    <w:rsid w:val="33A931A5"/>
    <w:rsid w:val="33AE5FD9"/>
    <w:rsid w:val="33BE6B8B"/>
    <w:rsid w:val="33C323F3"/>
    <w:rsid w:val="33CA3782"/>
    <w:rsid w:val="33D85151"/>
    <w:rsid w:val="33D934D4"/>
    <w:rsid w:val="33E4293A"/>
    <w:rsid w:val="33FE2F6A"/>
    <w:rsid w:val="340A1DD0"/>
    <w:rsid w:val="340E07E5"/>
    <w:rsid w:val="341708DB"/>
    <w:rsid w:val="34235BF7"/>
    <w:rsid w:val="34514AE3"/>
    <w:rsid w:val="34781430"/>
    <w:rsid w:val="347C3FD8"/>
    <w:rsid w:val="349873DC"/>
    <w:rsid w:val="34B32468"/>
    <w:rsid w:val="34D1508C"/>
    <w:rsid w:val="34E22DB3"/>
    <w:rsid w:val="34E23C5E"/>
    <w:rsid w:val="34F2207B"/>
    <w:rsid w:val="35077F0A"/>
    <w:rsid w:val="350C7DCA"/>
    <w:rsid w:val="350D5531"/>
    <w:rsid w:val="35107A26"/>
    <w:rsid w:val="35235A7A"/>
    <w:rsid w:val="35264AEE"/>
    <w:rsid w:val="35282F97"/>
    <w:rsid w:val="352B0250"/>
    <w:rsid w:val="352F7D5D"/>
    <w:rsid w:val="35326B98"/>
    <w:rsid w:val="353A4937"/>
    <w:rsid w:val="3556190E"/>
    <w:rsid w:val="358C5FA8"/>
    <w:rsid w:val="359F29EC"/>
    <w:rsid w:val="35A149B6"/>
    <w:rsid w:val="35A973C7"/>
    <w:rsid w:val="35C15DF1"/>
    <w:rsid w:val="35D54660"/>
    <w:rsid w:val="35E0728C"/>
    <w:rsid w:val="35E13004"/>
    <w:rsid w:val="36074A7F"/>
    <w:rsid w:val="36401AD9"/>
    <w:rsid w:val="36462E68"/>
    <w:rsid w:val="36662320"/>
    <w:rsid w:val="36812E82"/>
    <w:rsid w:val="36923549"/>
    <w:rsid w:val="36975155"/>
    <w:rsid w:val="3699743B"/>
    <w:rsid w:val="369E2CA4"/>
    <w:rsid w:val="36AE12D8"/>
    <w:rsid w:val="36B75FBF"/>
    <w:rsid w:val="36BD0C45"/>
    <w:rsid w:val="36C57C8A"/>
    <w:rsid w:val="36F4278C"/>
    <w:rsid w:val="370A134D"/>
    <w:rsid w:val="372132A6"/>
    <w:rsid w:val="37265173"/>
    <w:rsid w:val="373302F4"/>
    <w:rsid w:val="376B702A"/>
    <w:rsid w:val="376E5B8F"/>
    <w:rsid w:val="377C2FE5"/>
    <w:rsid w:val="377F628E"/>
    <w:rsid w:val="37A442EA"/>
    <w:rsid w:val="37A57561"/>
    <w:rsid w:val="37B564F7"/>
    <w:rsid w:val="37B77717"/>
    <w:rsid w:val="37BA2A00"/>
    <w:rsid w:val="37C624B2"/>
    <w:rsid w:val="37DC2FA4"/>
    <w:rsid w:val="37E00298"/>
    <w:rsid w:val="380753BC"/>
    <w:rsid w:val="381272AB"/>
    <w:rsid w:val="381F713F"/>
    <w:rsid w:val="383C4522"/>
    <w:rsid w:val="383D44F5"/>
    <w:rsid w:val="38651CCB"/>
    <w:rsid w:val="386C3059"/>
    <w:rsid w:val="3885236D"/>
    <w:rsid w:val="389855ED"/>
    <w:rsid w:val="38B302F9"/>
    <w:rsid w:val="38D17D10"/>
    <w:rsid w:val="38D64977"/>
    <w:rsid w:val="38DC2E54"/>
    <w:rsid w:val="38F12CD3"/>
    <w:rsid w:val="38F46317"/>
    <w:rsid w:val="38F94775"/>
    <w:rsid w:val="39001944"/>
    <w:rsid w:val="39094D4C"/>
    <w:rsid w:val="39137979"/>
    <w:rsid w:val="392971ED"/>
    <w:rsid w:val="39325651"/>
    <w:rsid w:val="39455706"/>
    <w:rsid w:val="395500EC"/>
    <w:rsid w:val="395B646A"/>
    <w:rsid w:val="399B34CA"/>
    <w:rsid w:val="39A14F85"/>
    <w:rsid w:val="39C30312"/>
    <w:rsid w:val="39C3314D"/>
    <w:rsid w:val="39C50452"/>
    <w:rsid w:val="39FF48E8"/>
    <w:rsid w:val="3A027EF0"/>
    <w:rsid w:val="3A241712"/>
    <w:rsid w:val="3A276938"/>
    <w:rsid w:val="3A390A75"/>
    <w:rsid w:val="3A540249"/>
    <w:rsid w:val="3A5E7A7F"/>
    <w:rsid w:val="3A6804A3"/>
    <w:rsid w:val="3A872856"/>
    <w:rsid w:val="3A9F3859"/>
    <w:rsid w:val="3AAD5BAB"/>
    <w:rsid w:val="3AAD7959"/>
    <w:rsid w:val="3ACF167E"/>
    <w:rsid w:val="3ACF5214"/>
    <w:rsid w:val="3AEA06C8"/>
    <w:rsid w:val="3AF567CE"/>
    <w:rsid w:val="3B126616"/>
    <w:rsid w:val="3B247C1B"/>
    <w:rsid w:val="3B2C2FB7"/>
    <w:rsid w:val="3B3763D1"/>
    <w:rsid w:val="3B3A13F8"/>
    <w:rsid w:val="3B3B31B7"/>
    <w:rsid w:val="3B593CFD"/>
    <w:rsid w:val="3B852B15"/>
    <w:rsid w:val="3B887F1B"/>
    <w:rsid w:val="3B8A603B"/>
    <w:rsid w:val="3BAA37E2"/>
    <w:rsid w:val="3BAC01D1"/>
    <w:rsid w:val="3BBD3BCC"/>
    <w:rsid w:val="3BDF1D94"/>
    <w:rsid w:val="3BE356E6"/>
    <w:rsid w:val="3BE9676F"/>
    <w:rsid w:val="3BEE0229"/>
    <w:rsid w:val="3C222180"/>
    <w:rsid w:val="3C29300F"/>
    <w:rsid w:val="3C2F6E1E"/>
    <w:rsid w:val="3C3245BA"/>
    <w:rsid w:val="3C4F64BA"/>
    <w:rsid w:val="3C672FA3"/>
    <w:rsid w:val="3C6978B0"/>
    <w:rsid w:val="3C6E1E1A"/>
    <w:rsid w:val="3C7F45B7"/>
    <w:rsid w:val="3C8F4B50"/>
    <w:rsid w:val="3C9944EA"/>
    <w:rsid w:val="3CA37FC9"/>
    <w:rsid w:val="3CAF79B9"/>
    <w:rsid w:val="3CB52776"/>
    <w:rsid w:val="3CBE19AA"/>
    <w:rsid w:val="3CCA034E"/>
    <w:rsid w:val="3CDA245A"/>
    <w:rsid w:val="3CE461A1"/>
    <w:rsid w:val="3CE77152"/>
    <w:rsid w:val="3CF51E11"/>
    <w:rsid w:val="3CFD654F"/>
    <w:rsid w:val="3D1E06B7"/>
    <w:rsid w:val="3D27748A"/>
    <w:rsid w:val="3D2A703F"/>
    <w:rsid w:val="3D2C796E"/>
    <w:rsid w:val="3D4845F9"/>
    <w:rsid w:val="3D4F6AA6"/>
    <w:rsid w:val="3D537D2F"/>
    <w:rsid w:val="3D790395"/>
    <w:rsid w:val="3D8875A5"/>
    <w:rsid w:val="3D89417F"/>
    <w:rsid w:val="3D962926"/>
    <w:rsid w:val="3DA43295"/>
    <w:rsid w:val="3DAE271E"/>
    <w:rsid w:val="3DD17CC6"/>
    <w:rsid w:val="3DE25B6C"/>
    <w:rsid w:val="3DE4047F"/>
    <w:rsid w:val="3DE45A32"/>
    <w:rsid w:val="3E224F99"/>
    <w:rsid w:val="3E23065E"/>
    <w:rsid w:val="3E357552"/>
    <w:rsid w:val="3E38411C"/>
    <w:rsid w:val="3E3948E9"/>
    <w:rsid w:val="3E3C5490"/>
    <w:rsid w:val="3E3D329D"/>
    <w:rsid w:val="3E3F38F1"/>
    <w:rsid w:val="3E481E73"/>
    <w:rsid w:val="3E4B370A"/>
    <w:rsid w:val="3E8E35FE"/>
    <w:rsid w:val="3E9926CE"/>
    <w:rsid w:val="3EB92D70"/>
    <w:rsid w:val="3EBA3874"/>
    <w:rsid w:val="3ED876B3"/>
    <w:rsid w:val="3EDA0523"/>
    <w:rsid w:val="3EF64886"/>
    <w:rsid w:val="3F0C6A58"/>
    <w:rsid w:val="3F124F53"/>
    <w:rsid w:val="3F146478"/>
    <w:rsid w:val="3F266549"/>
    <w:rsid w:val="3F285800"/>
    <w:rsid w:val="3F3F6D6F"/>
    <w:rsid w:val="3F423EEC"/>
    <w:rsid w:val="3F424B14"/>
    <w:rsid w:val="3F483954"/>
    <w:rsid w:val="3F632CDC"/>
    <w:rsid w:val="3F9B1EF0"/>
    <w:rsid w:val="3F9E5AC2"/>
    <w:rsid w:val="3FA55B61"/>
    <w:rsid w:val="3FB105CD"/>
    <w:rsid w:val="3FBA4C52"/>
    <w:rsid w:val="3FC177BA"/>
    <w:rsid w:val="3FC22366"/>
    <w:rsid w:val="3FC25C55"/>
    <w:rsid w:val="3FC8449E"/>
    <w:rsid w:val="3FD24CBE"/>
    <w:rsid w:val="3FF47352"/>
    <w:rsid w:val="40235A23"/>
    <w:rsid w:val="40290192"/>
    <w:rsid w:val="4037219F"/>
    <w:rsid w:val="404D19C2"/>
    <w:rsid w:val="40740280"/>
    <w:rsid w:val="407951A3"/>
    <w:rsid w:val="407A6407"/>
    <w:rsid w:val="40824B22"/>
    <w:rsid w:val="40BD0803"/>
    <w:rsid w:val="410D746C"/>
    <w:rsid w:val="41102D6C"/>
    <w:rsid w:val="411F18B2"/>
    <w:rsid w:val="41526B64"/>
    <w:rsid w:val="41664A74"/>
    <w:rsid w:val="417027B8"/>
    <w:rsid w:val="41A42D5A"/>
    <w:rsid w:val="41AC363B"/>
    <w:rsid w:val="41B522ED"/>
    <w:rsid w:val="41BB0BAE"/>
    <w:rsid w:val="41E73A35"/>
    <w:rsid w:val="41E81277"/>
    <w:rsid w:val="4200449D"/>
    <w:rsid w:val="42067ABC"/>
    <w:rsid w:val="42201101"/>
    <w:rsid w:val="42206C63"/>
    <w:rsid w:val="42336150"/>
    <w:rsid w:val="423A3BCC"/>
    <w:rsid w:val="42424604"/>
    <w:rsid w:val="424E57D2"/>
    <w:rsid w:val="425C413F"/>
    <w:rsid w:val="428E4EA8"/>
    <w:rsid w:val="42A467DC"/>
    <w:rsid w:val="42B26C49"/>
    <w:rsid w:val="42B9333F"/>
    <w:rsid w:val="42BF022A"/>
    <w:rsid w:val="42DF44AA"/>
    <w:rsid w:val="42FF2D1C"/>
    <w:rsid w:val="43043B25"/>
    <w:rsid w:val="43291B47"/>
    <w:rsid w:val="433A6FE6"/>
    <w:rsid w:val="434164A7"/>
    <w:rsid w:val="43480868"/>
    <w:rsid w:val="4350713C"/>
    <w:rsid w:val="435E1152"/>
    <w:rsid w:val="43621200"/>
    <w:rsid w:val="436653E0"/>
    <w:rsid w:val="437A33BA"/>
    <w:rsid w:val="438D4DCF"/>
    <w:rsid w:val="43AA712C"/>
    <w:rsid w:val="43B24903"/>
    <w:rsid w:val="43BC591C"/>
    <w:rsid w:val="43C4431A"/>
    <w:rsid w:val="43E4355B"/>
    <w:rsid w:val="43E73EDC"/>
    <w:rsid w:val="43EA48B0"/>
    <w:rsid w:val="4420119C"/>
    <w:rsid w:val="44340680"/>
    <w:rsid w:val="44350CB7"/>
    <w:rsid w:val="445C07A1"/>
    <w:rsid w:val="44641089"/>
    <w:rsid w:val="447A74D7"/>
    <w:rsid w:val="44A71D59"/>
    <w:rsid w:val="44B951CC"/>
    <w:rsid w:val="44CC3808"/>
    <w:rsid w:val="44CD14E0"/>
    <w:rsid w:val="44E24B49"/>
    <w:rsid w:val="44EA7A87"/>
    <w:rsid w:val="44F20B0B"/>
    <w:rsid w:val="450F0CA6"/>
    <w:rsid w:val="45196C01"/>
    <w:rsid w:val="452E5F4C"/>
    <w:rsid w:val="454902A4"/>
    <w:rsid w:val="455C2A89"/>
    <w:rsid w:val="455E428D"/>
    <w:rsid w:val="45612018"/>
    <w:rsid w:val="4564348B"/>
    <w:rsid w:val="45651B07"/>
    <w:rsid w:val="45681A1A"/>
    <w:rsid w:val="458946E9"/>
    <w:rsid w:val="458D5970"/>
    <w:rsid w:val="45943EE9"/>
    <w:rsid w:val="45A0554E"/>
    <w:rsid w:val="45A47C0E"/>
    <w:rsid w:val="45BA07CB"/>
    <w:rsid w:val="45C15609"/>
    <w:rsid w:val="45C246D0"/>
    <w:rsid w:val="45C72E9A"/>
    <w:rsid w:val="45EE1552"/>
    <w:rsid w:val="45F067C2"/>
    <w:rsid w:val="45F60406"/>
    <w:rsid w:val="46126463"/>
    <w:rsid w:val="462E2E36"/>
    <w:rsid w:val="464339A2"/>
    <w:rsid w:val="46577FD6"/>
    <w:rsid w:val="46584C1D"/>
    <w:rsid w:val="465D3F9B"/>
    <w:rsid w:val="465E37E5"/>
    <w:rsid w:val="46625A9C"/>
    <w:rsid w:val="46644C65"/>
    <w:rsid w:val="466E5641"/>
    <w:rsid w:val="467C4F8E"/>
    <w:rsid w:val="468477C0"/>
    <w:rsid w:val="468D2F08"/>
    <w:rsid w:val="46A208AC"/>
    <w:rsid w:val="46A87B0A"/>
    <w:rsid w:val="46B07C8D"/>
    <w:rsid w:val="46C67DD9"/>
    <w:rsid w:val="46D0341A"/>
    <w:rsid w:val="46D955A7"/>
    <w:rsid w:val="47133957"/>
    <w:rsid w:val="47170634"/>
    <w:rsid w:val="47186B23"/>
    <w:rsid w:val="47403530"/>
    <w:rsid w:val="47674BE6"/>
    <w:rsid w:val="477D25C7"/>
    <w:rsid w:val="47895D30"/>
    <w:rsid w:val="47A0687C"/>
    <w:rsid w:val="47A07E0C"/>
    <w:rsid w:val="47A21BC1"/>
    <w:rsid w:val="47BA022B"/>
    <w:rsid w:val="47EC7C75"/>
    <w:rsid w:val="47F23E1C"/>
    <w:rsid w:val="47F646ED"/>
    <w:rsid w:val="48084421"/>
    <w:rsid w:val="480F7597"/>
    <w:rsid w:val="48227754"/>
    <w:rsid w:val="4852257E"/>
    <w:rsid w:val="486F26F2"/>
    <w:rsid w:val="4870272E"/>
    <w:rsid w:val="48934632"/>
    <w:rsid w:val="489B34E7"/>
    <w:rsid w:val="48A37CD0"/>
    <w:rsid w:val="48AA7836"/>
    <w:rsid w:val="48AF1E11"/>
    <w:rsid w:val="48B02708"/>
    <w:rsid w:val="48B14AB8"/>
    <w:rsid w:val="48CC52D2"/>
    <w:rsid w:val="48E20F7A"/>
    <w:rsid w:val="48E42798"/>
    <w:rsid w:val="491A00CD"/>
    <w:rsid w:val="494E3E5E"/>
    <w:rsid w:val="495C0A9C"/>
    <w:rsid w:val="49632354"/>
    <w:rsid w:val="49813280"/>
    <w:rsid w:val="498A3217"/>
    <w:rsid w:val="498F17DE"/>
    <w:rsid w:val="49DC7715"/>
    <w:rsid w:val="49EB61B7"/>
    <w:rsid w:val="4A023139"/>
    <w:rsid w:val="4A1938CA"/>
    <w:rsid w:val="4A2D54F4"/>
    <w:rsid w:val="4A436B32"/>
    <w:rsid w:val="4A584C2E"/>
    <w:rsid w:val="4A625E97"/>
    <w:rsid w:val="4A727F4B"/>
    <w:rsid w:val="4A7B418F"/>
    <w:rsid w:val="4A7B576F"/>
    <w:rsid w:val="4A9D70A2"/>
    <w:rsid w:val="4A9F6188"/>
    <w:rsid w:val="4AA85A47"/>
    <w:rsid w:val="4ABA0CFA"/>
    <w:rsid w:val="4AE72A13"/>
    <w:rsid w:val="4AF561A9"/>
    <w:rsid w:val="4AFF4723"/>
    <w:rsid w:val="4B032373"/>
    <w:rsid w:val="4B0B6702"/>
    <w:rsid w:val="4B103D18"/>
    <w:rsid w:val="4B374587"/>
    <w:rsid w:val="4B3F0159"/>
    <w:rsid w:val="4B4130DB"/>
    <w:rsid w:val="4B444749"/>
    <w:rsid w:val="4B48132D"/>
    <w:rsid w:val="4B555216"/>
    <w:rsid w:val="4B5A5C8C"/>
    <w:rsid w:val="4B63653E"/>
    <w:rsid w:val="4B6978CC"/>
    <w:rsid w:val="4B8A41F5"/>
    <w:rsid w:val="4B9931CA"/>
    <w:rsid w:val="4BA03C9F"/>
    <w:rsid w:val="4BAE52DF"/>
    <w:rsid w:val="4BD935E8"/>
    <w:rsid w:val="4C1B303A"/>
    <w:rsid w:val="4C341C88"/>
    <w:rsid w:val="4C3449A1"/>
    <w:rsid w:val="4C4A0649"/>
    <w:rsid w:val="4C7E5ECA"/>
    <w:rsid w:val="4C876AA5"/>
    <w:rsid w:val="4CA63D37"/>
    <w:rsid w:val="4CE03BBE"/>
    <w:rsid w:val="4CEF795D"/>
    <w:rsid w:val="4CFD59AE"/>
    <w:rsid w:val="4D042047"/>
    <w:rsid w:val="4D0E00FB"/>
    <w:rsid w:val="4D176606"/>
    <w:rsid w:val="4D316ED5"/>
    <w:rsid w:val="4D357A66"/>
    <w:rsid w:val="4D3E644D"/>
    <w:rsid w:val="4D497847"/>
    <w:rsid w:val="4D5C1C86"/>
    <w:rsid w:val="4D65495E"/>
    <w:rsid w:val="4D7308E3"/>
    <w:rsid w:val="4D840B09"/>
    <w:rsid w:val="4D871E6A"/>
    <w:rsid w:val="4DA70238"/>
    <w:rsid w:val="4DAB41CC"/>
    <w:rsid w:val="4DB51AE8"/>
    <w:rsid w:val="4DC017A2"/>
    <w:rsid w:val="4DD22D83"/>
    <w:rsid w:val="4DEB4063"/>
    <w:rsid w:val="4DEC4FB0"/>
    <w:rsid w:val="4E075D8A"/>
    <w:rsid w:val="4E2B2C17"/>
    <w:rsid w:val="4E301B3E"/>
    <w:rsid w:val="4E4147EA"/>
    <w:rsid w:val="4E540F66"/>
    <w:rsid w:val="4E9E693D"/>
    <w:rsid w:val="4EA266FA"/>
    <w:rsid w:val="4EC00FAD"/>
    <w:rsid w:val="4EC9129A"/>
    <w:rsid w:val="4ECB035C"/>
    <w:rsid w:val="4ED432AF"/>
    <w:rsid w:val="4ED90E02"/>
    <w:rsid w:val="4F0426F1"/>
    <w:rsid w:val="4F1D2EA8"/>
    <w:rsid w:val="4F220641"/>
    <w:rsid w:val="4F310701"/>
    <w:rsid w:val="4F406A45"/>
    <w:rsid w:val="4F5F27A2"/>
    <w:rsid w:val="4F661E75"/>
    <w:rsid w:val="4F684623"/>
    <w:rsid w:val="4F702586"/>
    <w:rsid w:val="4F7D36BB"/>
    <w:rsid w:val="4F7E6A08"/>
    <w:rsid w:val="4F8D1DDB"/>
    <w:rsid w:val="4F9502D1"/>
    <w:rsid w:val="4F9843DC"/>
    <w:rsid w:val="4FB20111"/>
    <w:rsid w:val="4FC62A8C"/>
    <w:rsid w:val="4FC63615"/>
    <w:rsid w:val="4FCC6806"/>
    <w:rsid w:val="4FD25A40"/>
    <w:rsid w:val="4FE20F0D"/>
    <w:rsid w:val="4FE51552"/>
    <w:rsid w:val="4FE94B38"/>
    <w:rsid w:val="4FF8114A"/>
    <w:rsid w:val="501871CB"/>
    <w:rsid w:val="50191030"/>
    <w:rsid w:val="501F0559"/>
    <w:rsid w:val="502447CA"/>
    <w:rsid w:val="503A140B"/>
    <w:rsid w:val="503C110B"/>
    <w:rsid w:val="50504C4B"/>
    <w:rsid w:val="5074208A"/>
    <w:rsid w:val="5075461D"/>
    <w:rsid w:val="509102BB"/>
    <w:rsid w:val="509C6E7C"/>
    <w:rsid w:val="50BC456B"/>
    <w:rsid w:val="50D41344"/>
    <w:rsid w:val="50E05F3B"/>
    <w:rsid w:val="50E6191C"/>
    <w:rsid w:val="50F91962"/>
    <w:rsid w:val="51124451"/>
    <w:rsid w:val="511B6F71"/>
    <w:rsid w:val="511F740B"/>
    <w:rsid w:val="512108E5"/>
    <w:rsid w:val="51275918"/>
    <w:rsid w:val="51340035"/>
    <w:rsid w:val="513E1162"/>
    <w:rsid w:val="513F7105"/>
    <w:rsid w:val="514D281C"/>
    <w:rsid w:val="51593684"/>
    <w:rsid w:val="51611FC7"/>
    <w:rsid w:val="5162104E"/>
    <w:rsid w:val="51834E72"/>
    <w:rsid w:val="5183711D"/>
    <w:rsid w:val="51965B46"/>
    <w:rsid w:val="519C253B"/>
    <w:rsid w:val="51BD69A0"/>
    <w:rsid w:val="51C623E0"/>
    <w:rsid w:val="51CE7D99"/>
    <w:rsid w:val="51D13AD5"/>
    <w:rsid w:val="51D93495"/>
    <w:rsid w:val="51F24964"/>
    <w:rsid w:val="51FD48CA"/>
    <w:rsid w:val="51FF4AE6"/>
    <w:rsid w:val="520C0B22"/>
    <w:rsid w:val="521E61FD"/>
    <w:rsid w:val="52202A9A"/>
    <w:rsid w:val="522F36EB"/>
    <w:rsid w:val="52383B54"/>
    <w:rsid w:val="523E560F"/>
    <w:rsid w:val="52531921"/>
    <w:rsid w:val="52752181"/>
    <w:rsid w:val="527E1EAF"/>
    <w:rsid w:val="528253DF"/>
    <w:rsid w:val="529A2398"/>
    <w:rsid w:val="52B15DE1"/>
    <w:rsid w:val="52B601E8"/>
    <w:rsid w:val="52BC29D7"/>
    <w:rsid w:val="52CB6B79"/>
    <w:rsid w:val="52D41ACF"/>
    <w:rsid w:val="52E26842"/>
    <w:rsid w:val="52FD14CF"/>
    <w:rsid w:val="53126808"/>
    <w:rsid w:val="531E2576"/>
    <w:rsid w:val="5327023B"/>
    <w:rsid w:val="53411D5D"/>
    <w:rsid w:val="534857B7"/>
    <w:rsid w:val="534D53DE"/>
    <w:rsid w:val="535624E4"/>
    <w:rsid w:val="536015B5"/>
    <w:rsid w:val="536109D4"/>
    <w:rsid w:val="536F35A6"/>
    <w:rsid w:val="53771D4A"/>
    <w:rsid w:val="53816F69"/>
    <w:rsid w:val="538D32AF"/>
    <w:rsid w:val="53917827"/>
    <w:rsid w:val="53940C40"/>
    <w:rsid w:val="539614FA"/>
    <w:rsid w:val="53A039CC"/>
    <w:rsid w:val="53A1505A"/>
    <w:rsid w:val="53C27FBD"/>
    <w:rsid w:val="53DF133F"/>
    <w:rsid w:val="5406215C"/>
    <w:rsid w:val="54063E08"/>
    <w:rsid w:val="542177DB"/>
    <w:rsid w:val="54295E4B"/>
    <w:rsid w:val="543258F8"/>
    <w:rsid w:val="54340889"/>
    <w:rsid w:val="543437E8"/>
    <w:rsid w:val="543B5CCE"/>
    <w:rsid w:val="543D671F"/>
    <w:rsid w:val="544D2D99"/>
    <w:rsid w:val="54686973"/>
    <w:rsid w:val="547062E9"/>
    <w:rsid w:val="54794BD7"/>
    <w:rsid w:val="54976B79"/>
    <w:rsid w:val="54AC4959"/>
    <w:rsid w:val="54C31AE6"/>
    <w:rsid w:val="54D5177B"/>
    <w:rsid w:val="54E218F8"/>
    <w:rsid w:val="54E81D81"/>
    <w:rsid w:val="54F55D2D"/>
    <w:rsid w:val="54F73313"/>
    <w:rsid w:val="54F80955"/>
    <w:rsid w:val="54FF095A"/>
    <w:rsid w:val="5519427F"/>
    <w:rsid w:val="551E1F1A"/>
    <w:rsid w:val="55240BC0"/>
    <w:rsid w:val="55456CB4"/>
    <w:rsid w:val="554D5B69"/>
    <w:rsid w:val="555170A7"/>
    <w:rsid w:val="55583680"/>
    <w:rsid w:val="556A35A9"/>
    <w:rsid w:val="5587536D"/>
    <w:rsid w:val="5599034A"/>
    <w:rsid w:val="559B174B"/>
    <w:rsid w:val="559B4B26"/>
    <w:rsid w:val="55C4655D"/>
    <w:rsid w:val="55C57874"/>
    <w:rsid w:val="55C8013B"/>
    <w:rsid w:val="55CE0CF4"/>
    <w:rsid w:val="55D40718"/>
    <w:rsid w:val="55FB7373"/>
    <w:rsid w:val="561C2964"/>
    <w:rsid w:val="5631591B"/>
    <w:rsid w:val="56327239"/>
    <w:rsid w:val="56613388"/>
    <w:rsid w:val="568B7885"/>
    <w:rsid w:val="569577C7"/>
    <w:rsid w:val="56971FE8"/>
    <w:rsid w:val="56B22A9C"/>
    <w:rsid w:val="56B9252A"/>
    <w:rsid w:val="56C24C57"/>
    <w:rsid w:val="56D71B8E"/>
    <w:rsid w:val="56DE4CCA"/>
    <w:rsid w:val="56DE78E1"/>
    <w:rsid w:val="56E65890"/>
    <w:rsid w:val="56EC4D28"/>
    <w:rsid w:val="56ED3E8F"/>
    <w:rsid w:val="56F22E5D"/>
    <w:rsid w:val="570B1838"/>
    <w:rsid w:val="570B7A8A"/>
    <w:rsid w:val="570F348A"/>
    <w:rsid w:val="57207E5D"/>
    <w:rsid w:val="572D7A00"/>
    <w:rsid w:val="573012AB"/>
    <w:rsid w:val="57667071"/>
    <w:rsid w:val="576B410A"/>
    <w:rsid w:val="57771297"/>
    <w:rsid w:val="578735B4"/>
    <w:rsid w:val="578A6444"/>
    <w:rsid w:val="578F33CD"/>
    <w:rsid w:val="57933F45"/>
    <w:rsid w:val="57B72A76"/>
    <w:rsid w:val="57C04D85"/>
    <w:rsid w:val="57C3426C"/>
    <w:rsid w:val="57CE1F93"/>
    <w:rsid w:val="57E6138A"/>
    <w:rsid w:val="57F35171"/>
    <w:rsid w:val="57F462B3"/>
    <w:rsid w:val="57FC7A3D"/>
    <w:rsid w:val="57FF0C4D"/>
    <w:rsid w:val="58326ECE"/>
    <w:rsid w:val="585B2D04"/>
    <w:rsid w:val="586737E8"/>
    <w:rsid w:val="5876465F"/>
    <w:rsid w:val="587E2CC1"/>
    <w:rsid w:val="58831C5C"/>
    <w:rsid w:val="588743D1"/>
    <w:rsid w:val="5887701A"/>
    <w:rsid w:val="589870FB"/>
    <w:rsid w:val="589B1B29"/>
    <w:rsid w:val="58CE6FC1"/>
    <w:rsid w:val="58D26AB1"/>
    <w:rsid w:val="58D72319"/>
    <w:rsid w:val="58E6255C"/>
    <w:rsid w:val="58F0436D"/>
    <w:rsid w:val="59011144"/>
    <w:rsid w:val="59014EDB"/>
    <w:rsid w:val="59190EFC"/>
    <w:rsid w:val="591F0A74"/>
    <w:rsid w:val="59367040"/>
    <w:rsid w:val="594A5219"/>
    <w:rsid w:val="59500362"/>
    <w:rsid w:val="595A5A6A"/>
    <w:rsid w:val="596F60AE"/>
    <w:rsid w:val="597E030A"/>
    <w:rsid w:val="597E4543"/>
    <w:rsid w:val="59814033"/>
    <w:rsid w:val="59AD67CA"/>
    <w:rsid w:val="59B870D6"/>
    <w:rsid w:val="59C0439F"/>
    <w:rsid w:val="59CA59DA"/>
    <w:rsid w:val="59E06500"/>
    <w:rsid w:val="59F01EC5"/>
    <w:rsid w:val="5A0A25C1"/>
    <w:rsid w:val="5A2275C4"/>
    <w:rsid w:val="5A274BDA"/>
    <w:rsid w:val="5A2B7F23"/>
    <w:rsid w:val="5A785436"/>
    <w:rsid w:val="5A9B2ED2"/>
    <w:rsid w:val="5A9D3190"/>
    <w:rsid w:val="5A9E276E"/>
    <w:rsid w:val="5ABE2233"/>
    <w:rsid w:val="5AF80F16"/>
    <w:rsid w:val="5B0311A3"/>
    <w:rsid w:val="5B0B62AA"/>
    <w:rsid w:val="5B20519B"/>
    <w:rsid w:val="5B527A35"/>
    <w:rsid w:val="5B8027F4"/>
    <w:rsid w:val="5B863B83"/>
    <w:rsid w:val="5B917039"/>
    <w:rsid w:val="5BD36544"/>
    <w:rsid w:val="5BDF5D95"/>
    <w:rsid w:val="5BFE7528"/>
    <w:rsid w:val="5C0844B9"/>
    <w:rsid w:val="5C5617A7"/>
    <w:rsid w:val="5C631368"/>
    <w:rsid w:val="5C644C84"/>
    <w:rsid w:val="5C7D42EE"/>
    <w:rsid w:val="5C8A7FF4"/>
    <w:rsid w:val="5C910A31"/>
    <w:rsid w:val="5CB448FB"/>
    <w:rsid w:val="5CD932F0"/>
    <w:rsid w:val="5D117946"/>
    <w:rsid w:val="5D221689"/>
    <w:rsid w:val="5D2B49E2"/>
    <w:rsid w:val="5D3B1D05"/>
    <w:rsid w:val="5D415FB3"/>
    <w:rsid w:val="5D7768BE"/>
    <w:rsid w:val="5D8130C8"/>
    <w:rsid w:val="5D892177"/>
    <w:rsid w:val="5DA30A1C"/>
    <w:rsid w:val="5DA57049"/>
    <w:rsid w:val="5DC0337C"/>
    <w:rsid w:val="5DD2768E"/>
    <w:rsid w:val="5DDF24FF"/>
    <w:rsid w:val="5E135BA1"/>
    <w:rsid w:val="5E1E4546"/>
    <w:rsid w:val="5E2467F1"/>
    <w:rsid w:val="5E257683"/>
    <w:rsid w:val="5E2C27BF"/>
    <w:rsid w:val="5E65717D"/>
    <w:rsid w:val="5E806366"/>
    <w:rsid w:val="5E8720EC"/>
    <w:rsid w:val="5E91332C"/>
    <w:rsid w:val="5E9F7C7B"/>
    <w:rsid w:val="5EA01598"/>
    <w:rsid w:val="5EA46EC5"/>
    <w:rsid w:val="5EDB7C60"/>
    <w:rsid w:val="5F052943"/>
    <w:rsid w:val="5F1A2B43"/>
    <w:rsid w:val="5F2B2A77"/>
    <w:rsid w:val="5F481CA4"/>
    <w:rsid w:val="5F4B16A5"/>
    <w:rsid w:val="5F5209F9"/>
    <w:rsid w:val="5F531FCE"/>
    <w:rsid w:val="5F560B92"/>
    <w:rsid w:val="5F684369"/>
    <w:rsid w:val="5F8403D9"/>
    <w:rsid w:val="5F8B0825"/>
    <w:rsid w:val="5FA041B0"/>
    <w:rsid w:val="5FA25187"/>
    <w:rsid w:val="5FA52617"/>
    <w:rsid w:val="5FB837BB"/>
    <w:rsid w:val="5FD316B6"/>
    <w:rsid w:val="600B413C"/>
    <w:rsid w:val="60174144"/>
    <w:rsid w:val="60334E86"/>
    <w:rsid w:val="6037544B"/>
    <w:rsid w:val="603B782A"/>
    <w:rsid w:val="603D6F06"/>
    <w:rsid w:val="60522285"/>
    <w:rsid w:val="606D0DB3"/>
    <w:rsid w:val="60715403"/>
    <w:rsid w:val="60A32AE1"/>
    <w:rsid w:val="60C2768B"/>
    <w:rsid w:val="60CC405A"/>
    <w:rsid w:val="60D1412C"/>
    <w:rsid w:val="61077514"/>
    <w:rsid w:val="611607F5"/>
    <w:rsid w:val="6146665F"/>
    <w:rsid w:val="61572249"/>
    <w:rsid w:val="61621763"/>
    <w:rsid w:val="61665FE8"/>
    <w:rsid w:val="617E3A13"/>
    <w:rsid w:val="617F1C2A"/>
    <w:rsid w:val="61A3273A"/>
    <w:rsid w:val="61B46F0F"/>
    <w:rsid w:val="61C74D7E"/>
    <w:rsid w:val="61CB5C55"/>
    <w:rsid w:val="61DA03CE"/>
    <w:rsid w:val="61E215D8"/>
    <w:rsid w:val="621B3775"/>
    <w:rsid w:val="62242C6D"/>
    <w:rsid w:val="622A5268"/>
    <w:rsid w:val="623431F3"/>
    <w:rsid w:val="62364782"/>
    <w:rsid w:val="624E0CBE"/>
    <w:rsid w:val="62645F3E"/>
    <w:rsid w:val="62667BC2"/>
    <w:rsid w:val="627A4CF6"/>
    <w:rsid w:val="62864468"/>
    <w:rsid w:val="628A7EF6"/>
    <w:rsid w:val="62A019CE"/>
    <w:rsid w:val="62A20EC5"/>
    <w:rsid w:val="62C76F5B"/>
    <w:rsid w:val="62DF66B5"/>
    <w:rsid w:val="62E30B65"/>
    <w:rsid w:val="62E34D56"/>
    <w:rsid w:val="62E936F7"/>
    <w:rsid w:val="62E944E6"/>
    <w:rsid w:val="632C6B55"/>
    <w:rsid w:val="63304B00"/>
    <w:rsid w:val="63512CC8"/>
    <w:rsid w:val="635A66BF"/>
    <w:rsid w:val="636747B4"/>
    <w:rsid w:val="636F1D94"/>
    <w:rsid w:val="63851B48"/>
    <w:rsid w:val="638B4C7A"/>
    <w:rsid w:val="6394356A"/>
    <w:rsid w:val="63C41CFC"/>
    <w:rsid w:val="63C61B2C"/>
    <w:rsid w:val="63D40BE9"/>
    <w:rsid w:val="63F41BB0"/>
    <w:rsid w:val="64030466"/>
    <w:rsid w:val="64095351"/>
    <w:rsid w:val="64102431"/>
    <w:rsid w:val="641463F8"/>
    <w:rsid w:val="64196A32"/>
    <w:rsid w:val="64416899"/>
    <w:rsid w:val="645338D9"/>
    <w:rsid w:val="64544199"/>
    <w:rsid w:val="64636B99"/>
    <w:rsid w:val="647E7AED"/>
    <w:rsid w:val="64825558"/>
    <w:rsid w:val="648D35A4"/>
    <w:rsid w:val="649857C4"/>
    <w:rsid w:val="649C66AA"/>
    <w:rsid w:val="64A5243A"/>
    <w:rsid w:val="64BE25DF"/>
    <w:rsid w:val="64C0329E"/>
    <w:rsid w:val="64F531DE"/>
    <w:rsid w:val="65007DB9"/>
    <w:rsid w:val="65182B62"/>
    <w:rsid w:val="65297A59"/>
    <w:rsid w:val="65373578"/>
    <w:rsid w:val="654D2CE3"/>
    <w:rsid w:val="65884033"/>
    <w:rsid w:val="65A370BE"/>
    <w:rsid w:val="65BD5506"/>
    <w:rsid w:val="65C23A09"/>
    <w:rsid w:val="65F31132"/>
    <w:rsid w:val="65F55B8D"/>
    <w:rsid w:val="65FC516D"/>
    <w:rsid w:val="660A26CA"/>
    <w:rsid w:val="662E6F5B"/>
    <w:rsid w:val="664214F6"/>
    <w:rsid w:val="668131B7"/>
    <w:rsid w:val="668447B5"/>
    <w:rsid w:val="669C323F"/>
    <w:rsid w:val="66AA4BC9"/>
    <w:rsid w:val="66AF5AC4"/>
    <w:rsid w:val="66BC66AA"/>
    <w:rsid w:val="670036FB"/>
    <w:rsid w:val="671F124A"/>
    <w:rsid w:val="677551D7"/>
    <w:rsid w:val="677A33C6"/>
    <w:rsid w:val="679C6156"/>
    <w:rsid w:val="67B778DE"/>
    <w:rsid w:val="67C65A33"/>
    <w:rsid w:val="67C972D1"/>
    <w:rsid w:val="67F61E3B"/>
    <w:rsid w:val="6801349E"/>
    <w:rsid w:val="681566DA"/>
    <w:rsid w:val="681C5AD2"/>
    <w:rsid w:val="681F6961"/>
    <w:rsid w:val="68386205"/>
    <w:rsid w:val="68531ADB"/>
    <w:rsid w:val="685B395E"/>
    <w:rsid w:val="685F7C35"/>
    <w:rsid w:val="68610A2F"/>
    <w:rsid w:val="68805514"/>
    <w:rsid w:val="688D02FE"/>
    <w:rsid w:val="689B3163"/>
    <w:rsid w:val="689D11D4"/>
    <w:rsid w:val="689D6F9F"/>
    <w:rsid w:val="68A044D6"/>
    <w:rsid w:val="68CC3BA9"/>
    <w:rsid w:val="68D423D1"/>
    <w:rsid w:val="68E25107"/>
    <w:rsid w:val="68E93CCB"/>
    <w:rsid w:val="6905258B"/>
    <w:rsid w:val="69263736"/>
    <w:rsid w:val="69306003"/>
    <w:rsid w:val="69316E2F"/>
    <w:rsid w:val="69352C0E"/>
    <w:rsid w:val="694E2071"/>
    <w:rsid w:val="694F7BCD"/>
    <w:rsid w:val="69766163"/>
    <w:rsid w:val="69776924"/>
    <w:rsid w:val="697A3B33"/>
    <w:rsid w:val="697B6606"/>
    <w:rsid w:val="69801D7A"/>
    <w:rsid w:val="69805AC0"/>
    <w:rsid w:val="69912070"/>
    <w:rsid w:val="699C32E1"/>
    <w:rsid w:val="69AD2CCA"/>
    <w:rsid w:val="69AF3292"/>
    <w:rsid w:val="69B04076"/>
    <w:rsid w:val="69C63578"/>
    <w:rsid w:val="69CA78A6"/>
    <w:rsid w:val="69D33BE7"/>
    <w:rsid w:val="69D44760"/>
    <w:rsid w:val="69D837FB"/>
    <w:rsid w:val="69E06C10"/>
    <w:rsid w:val="69FA19C4"/>
    <w:rsid w:val="6A021675"/>
    <w:rsid w:val="6A14349E"/>
    <w:rsid w:val="6A1A38F8"/>
    <w:rsid w:val="6A31288F"/>
    <w:rsid w:val="6A3F387A"/>
    <w:rsid w:val="6A425119"/>
    <w:rsid w:val="6A4375F0"/>
    <w:rsid w:val="6A510FF9"/>
    <w:rsid w:val="6A520EC7"/>
    <w:rsid w:val="6A546883"/>
    <w:rsid w:val="6A7774B8"/>
    <w:rsid w:val="6A835E5D"/>
    <w:rsid w:val="6A8D6CDC"/>
    <w:rsid w:val="6A950AB2"/>
    <w:rsid w:val="6A9F2C6E"/>
    <w:rsid w:val="6A9F322A"/>
    <w:rsid w:val="6ABE6E95"/>
    <w:rsid w:val="6AD4436E"/>
    <w:rsid w:val="6AD55724"/>
    <w:rsid w:val="6ADD1209"/>
    <w:rsid w:val="6AE51C4B"/>
    <w:rsid w:val="6AF723A7"/>
    <w:rsid w:val="6AF87E20"/>
    <w:rsid w:val="6B032A58"/>
    <w:rsid w:val="6B0D3978"/>
    <w:rsid w:val="6B1271E1"/>
    <w:rsid w:val="6B17645A"/>
    <w:rsid w:val="6B1D3D36"/>
    <w:rsid w:val="6B211EE5"/>
    <w:rsid w:val="6B237465"/>
    <w:rsid w:val="6B2C3CAF"/>
    <w:rsid w:val="6B314950"/>
    <w:rsid w:val="6B322639"/>
    <w:rsid w:val="6B4327C3"/>
    <w:rsid w:val="6B453112"/>
    <w:rsid w:val="6B513865"/>
    <w:rsid w:val="6B6F2688"/>
    <w:rsid w:val="6B7865BE"/>
    <w:rsid w:val="6B893B0C"/>
    <w:rsid w:val="6BA67E11"/>
    <w:rsid w:val="6BB43DF4"/>
    <w:rsid w:val="6BC77FCB"/>
    <w:rsid w:val="6BDB5825"/>
    <w:rsid w:val="6BDF7C71"/>
    <w:rsid w:val="6BE338F6"/>
    <w:rsid w:val="6BE8510D"/>
    <w:rsid w:val="6C2B5015"/>
    <w:rsid w:val="6C2D7D76"/>
    <w:rsid w:val="6C324BC9"/>
    <w:rsid w:val="6C557385"/>
    <w:rsid w:val="6C625E43"/>
    <w:rsid w:val="6C636C38"/>
    <w:rsid w:val="6C711E87"/>
    <w:rsid w:val="6C8934D3"/>
    <w:rsid w:val="6CA06779"/>
    <w:rsid w:val="6CA34594"/>
    <w:rsid w:val="6CA65821"/>
    <w:rsid w:val="6CB247D7"/>
    <w:rsid w:val="6CB542C8"/>
    <w:rsid w:val="6CF272CA"/>
    <w:rsid w:val="6CFC3CA5"/>
    <w:rsid w:val="6CFD58E3"/>
    <w:rsid w:val="6D207B8E"/>
    <w:rsid w:val="6D2B6338"/>
    <w:rsid w:val="6D2B72A5"/>
    <w:rsid w:val="6D390A55"/>
    <w:rsid w:val="6D59436C"/>
    <w:rsid w:val="6D616D5D"/>
    <w:rsid w:val="6D8343C6"/>
    <w:rsid w:val="6D947793"/>
    <w:rsid w:val="6DAA6244"/>
    <w:rsid w:val="6DB13683"/>
    <w:rsid w:val="6DB34098"/>
    <w:rsid w:val="6DB545B6"/>
    <w:rsid w:val="6DD61353"/>
    <w:rsid w:val="6DE02FB4"/>
    <w:rsid w:val="6DEA61F3"/>
    <w:rsid w:val="6E0B7A5D"/>
    <w:rsid w:val="6E272FA3"/>
    <w:rsid w:val="6E445903"/>
    <w:rsid w:val="6E50745D"/>
    <w:rsid w:val="6E514CED"/>
    <w:rsid w:val="6E5217D6"/>
    <w:rsid w:val="6E6E43DC"/>
    <w:rsid w:val="6E766F0A"/>
    <w:rsid w:val="6EB30BA9"/>
    <w:rsid w:val="6EB563D5"/>
    <w:rsid w:val="6EB66594"/>
    <w:rsid w:val="6EBC0291"/>
    <w:rsid w:val="6EBD1212"/>
    <w:rsid w:val="6ED92677"/>
    <w:rsid w:val="6EDD3662"/>
    <w:rsid w:val="6EEE3AC1"/>
    <w:rsid w:val="6EF431E0"/>
    <w:rsid w:val="6EF51FDC"/>
    <w:rsid w:val="6EFC44CE"/>
    <w:rsid w:val="6F097047"/>
    <w:rsid w:val="6F0C2553"/>
    <w:rsid w:val="6F0F79CF"/>
    <w:rsid w:val="6F1165D9"/>
    <w:rsid w:val="6F125A01"/>
    <w:rsid w:val="6F225983"/>
    <w:rsid w:val="6F286FD3"/>
    <w:rsid w:val="6F29689C"/>
    <w:rsid w:val="6F5E3170"/>
    <w:rsid w:val="6F607213"/>
    <w:rsid w:val="6F66785A"/>
    <w:rsid w:val="6F96218E"/>
    <w:rsid w:val="6F9C52CB"/>
    <w:rsid w:val="6F9F6F11"/>
    <w:rsid w:val="6FA33A3E"/>
    <w:rsid w:val="6FAB550E"/>
    <w:rsid w:val="6FED5B27"/>
    <w:rsid w:val="6FFC5590"/>
    <w:rsid w:val="70390D6C"/>
    <w:rsid w:val="703A6FBE"/>
    <w:rsid w:val="704863BD"/>
    <w:rsid w:val="704E0BF6"/>
    <w:rsid w:val="7057602C"/>
    <w:rsid w:val="7060279C"/>
    <w:rsid w:val="706D1DD0"/>
    <w:rsid w:val="707F0E75"/>
    <w:rsid w:val="70856B87"/>
    <w:rsid w:val="70A91069"/>
    <w:rsid w:val="70C91E5B"/>
    <w:rsid w:val="70D527EE"/>
    <w:rsid w:val="70DF7B65"/>
    <w:rsid w:val="70F1163B"/>
    <w:rsid w:val="70F51137"/>
    <w:rsid w:val="71046933"/>
    <w:rsid w:val="71422687"/>
    <w:rsid w:val="714908D6"/>
    <w:rsid w:val="71566079"/>
    <w:rsid w:val="715B5300"/>
    <w:rsid w:val="716360A0"/>
    <w:rsid w:val="71A954E6"/>
    <w:rsid w:val="71B31FD9"/>
    <w:rsid w:val="71B61BC2"/>
    <w:rsid w:val="71BC017F"/>
    <w:rsid w:val="71BC0190"/>
    <w:rsid w:val="71CC1DF1"/>
    <w:rsid w:val="71CD3E62"/>
    <w:rsid w:val="71D1779B"/>
    <w:rsid w:val="71D27F8A"/>
    <w:rsid w:val="71D62D16"/>
    <w:rsid w:val="71DF7AD3"/>
    <w:rsid w:val="71F31018"/>
    <w:rsid w:val="722C6DDA"/>
    <w:rsid w:val="723D2AA9"/>
    <w:rsid w:val="724731D4"/>
    <w:rsid w:val="724A0E05"/>
    <w:rsid w:val="72553024"/>
    <w:rsid w:val="728E1843"/>
    <w:rsid w:val="72A5579F"/>
    <w:rsid w:val="72BB1F0C"/>
    <w:rsid w:val="72C9395D"/>
    <w:rsid w:val="72DD63BA"/>
    <w:rsid w:val="72EA2347"/>
    <w:rsid w:val="72F1592E"/>
    <w:rsid w:val="72FF398C"/>
    <w:rsid w:val="73122968"/>
    <w:rsid w:val="731F5D5E"/>
    <w:rsid w:val="73367381"/>
    <w:rsid w:val="73434AE4"/>
    <w:rsid w:val="7379604F"/>
    <w:rsid w:val="739C1D3D"/>
    <w:rsid w:val="739E5093"/>
    <w:rsid w:val="73A17354"/>
    <w:rsid w:val="73A77106"/>
    <w:rsid w:val="73AD2A21"/>
    <w:rsid w:val="73B9644B"/>
    <w:rsid w:val="73BC0ADD"/>
    <w:rsid w:val="73C51AD5"/>
    <w:rsid w:val="73CC7522"/>
    <w:rsid w:val="73DD1FEE"/>
    <w:rsid w:val="73E66836"/>
    <w:rsid w:val="73E84F83"/>
    <w:rsid w:val="73F62F23"/>
    <w:rsid w:val="741E793C"/>
    <w:rsid w:val="742B4CE6"/>
    <w:rsid w:val="744B6DAE"/>
    <w:rsid w:val="745427EC"/>
    <w:rsid w:val="745E3944"/>
    <w:rsid w:val="746217F9"/>
    <w:rsid w:val="74720991"/>
    <w:rsid w:val="747972C6"/>
    <w:rsid w:val="74807187"/>
    <w:rsid w:val="749D5D6D"/>
    <w:rsid w:val="74AC1392"/>
    <w:rsid w:val="74AF5AA0"/>
    <w:rsid w:val="74AF7D92"/>
    <w:rsid w:val="74BC1F59"/>
    <w:rsid w:val="74CB28DA"/>
    <w:rsid w:val="74D231A8"/>
    <w:rsid w:val="74E73A3A"/>
    <w:rsid w:val="754D1FA8"/>
    <w:rsid w:val="755729F5"/>
    <w:rsid w:val="755B7D2C"/>
    <w:rsid w:val="756B3942"/>
    <w:rsid w:val="75852079"/>
    <w:rsid w:val="75994786"/>
    <w:rsid w:val="75AA5C33"/>
    <w:rsid w:val="75AF5B8D"/>
    <w:rsid w:val="75B359B8"/>
    <w:rsid w:val="75BE1A57"/>
    <w:rsid w:val="75D20802"/>
    <w:rsid w:val="75D90A00"/>
    <w:rsid w:val="75DE4C6A"/>
    <w:rsid w:val="75ED062E"/>
    <w:rsid w:val="7635099D"/>
    <w:rsid w:val="765B256E"/>
    <w:rsid w:val="766052A4"/>
    <w:rsid w:val="76795419"/>
    <w:rsid w:val="76A44746"/>
    <w:rsid w:val="76B37ACA"/>
    <w:rsid w:val="76B949B4"/>
    <w:rsid w:val="77016C3D"/>
    <w:rsid w:val="77097833"/>
    <w:rsid w:val="77244524"/>
    <w:rsid w:val="77285DB8"/>
    <w:rsid w:val="772A68CB"/>
    <w:rsid w:val="77345802"/>
    <w:rsid w:val="773E13B6"/>
    <w:rsid w:val="77417297"/>
    <w:rsid w:val="77584391"/>
    <w:rsid w:val="77762421"/>
    <w:rsid w:val="779F1AFE"/>
    <w:rsid w:val="77A15469"/>
    <w:rsid w:val="77A31C0F"/>
    <w:rsid w:val="77A45A1C"/>
    <w:rsid w:val="77B149DA"/>
    <w:rsid w:val="77B56B1F"/>
    <w:rsid w:val="77CA50CB"/>
    <w:rsid w:val="77DF30EF"/>
    <w:rsid w:val="780F09F4"/>
    <w:rsid w:val="78370287"/>
    <w:rsid w:val="78412EB3"/>
    <w:rsid w:val="7844146C"/>
    <w:rsid w:val="785331BC"/>
    <w:rsid w:val="785541E8"/>
    <w:rsid w:val="786F64EB"/>
    <w:rsid w:val="78A90480"/>
    <w:rsid w:val="78B813C8"/>
    <w:rsid w:val="78CF6A22"/>
    <w:rsid w:val="78FB5758"/>
    <w:rsid w:val="79020A4B"/>
    <w:rsid w:val="791674F3"/>
    <w:rsid w:val="79821558"/>
    <w:rsid w:val="79AF51B1"/>
    <w:rsid w:val="79B66EBA"/>
    <w:rsid w:val="79C43414"/>
    <w:rsid w:val="79C717C7"/>
    <w:rsid w:val="79F012AF"/>
    <w:rsid w:val="79F6067A"/>
    <w:rsid w:val="79F91C98"/>
    <w:rsid w:val="7A1E525A"/>
    <w:rsid w:val="7A31633D"/>
    <w:rsid w:val="7A3256E8"/>
    <w:rsid w:val="7A364017"/>
    <w:rsid w:val="7A5019D3"/>
    <w:rsid w:val="7A5A025C"/>
    <w:rsid w:val="7A6E4F76"/>
    <w:rsid w:val="7A71493B"/>
    <w:rsid w:val="7A7F2572"/>
    <w:rsid w:val="7A8265E1"/>
    <w:rsid w:val="7A882738"/>
    <w:rsid w:val="7AA01094"/>
    <w:rsid w:val="7AAB2866"/>
    <w:rsid w:val="7AAF79B7"/>
    <w:rsid w:val="7AB24729"/>
    <w:rsid w:val="7ABE2599"/>
    <w:rsid w:val="7AF661D7"/>
    <w:rsid w:val="7B17763E"/>
    <w:rsid w:val="7B311FA1"/>
    <w:rsid w:val="7B400A14"/>
    <w:rsid w:val="7B5A6766"/>
    <w:rsid w:val="7B6819DC"/>
    <w:rsid w:val="7B686D42"/>
    <w:rsid w:val="7B6A469F"/>
    <w:rsid w:val="7B834B10"/>
    <w:rsid w:val="7B841746"/>
    <w:rsid w:val="7BA21EBB"/>
    <w:rsid w:val="7BDE2417"/>
    <w:rsid w:val="7BE32AC3"/>
    <w:rsid w:val="7BE943B8"/>
    <w:rsid w:val="7C045EF2"/>
    <w:rsid w:val="7C1508DF"/>
    <w:rsid w:val="7C1F5208"/>
    <w:rsid w:val="7C214814"/>
    <w:rsid w:val="7C5F42F5"/>
    <w:rsid w:val="7C6C5AC7"/>
    <w:rsid w:val="7C704660"/>
    <w:rsid w:val="7C817D22"/>
    <w:rsid w:val="7C9D0DBE"/>
    <w:rsid w:val="7CB3221A"/>
    <w:rsid w:val="7CC6544B"/>
    <w:rsid w:val="7CC83BA3"/>
    <w:rsid w:val="7CD51E1C"/>
    <w:rsid w:val="7CEB2DA7"/>
    <w:rsid w:val="7CF02B94"/>
    <w:rsid w:val="7D0239FF"/>
    <w:rsid w:val="7D083FA0"/>
    <w:rsid w:val="7D270034"/>
    <w:rsid w:val="7D2C4132"/>
    <w:rsid w:val="7D2C7C8E"/>
    <w:rsid w:val="7D4E2A5D"/>
    <w:rsid w:val="7D5E1E12"/>
    <w:rsid w:val="7D5E40CD"/>
    <w:rsid w:val="7D861EFD"/>
    <w:rsid w:val="7DA65234"/>
    <w:rsid w:val="7DA855F6"/>
    <w:rsid w:val="7DAC360E"/>
    <w:rsid w:val="7DCD56F2"/>
    <w:rsid w:val="7DF1288D"/>
    <w:rsid w:val="7DF44EB8"/>
    <w:rsid w:val="7DF9152A"/>
    <w:rsid w:val="7DFE2A9E"/>
    <w:rsid w:val="7E0C7AC0"/>
    <w:rsid w:val="7E44719F"/>
    <w:rsid w:val="7E740447"/>
    <w:rsid w:val="7E8835EA"/>
    <w:rsid w:val="7E891110"/>
    <w:rsid w:val="7ED22AB7"/>
    <w:rsid w:val="7EE259E5"/>
    <w:rsid w:val="7EF65C87"/>
    <w:rsid w:val="7F001CE7"/>
    <w:rsid w:val="7F4720F3"/>
    <w:rsid w:val="7F840255"/>
    <w:rsid w:val="7F8B472E"/>
    <w:rsid w:val="7F8C4A9F"/>
    <w:rsid w:val="7F942998"/>
    <w:rsid w:val="7F9B4F40"/>
    <w:rsid w:val="7F9C7679"/>
    <w:rsid w:val="7FB64187"/>
    <w:rsid w:val="7FD85EAB"/>
    <w:rsid w:val="7FE47E50"/>
    <w:rsid w:val="7FE900B8"/>
    <w:rsid w:val="7FEC695C"/>
    <w:rsid w:val="7FED2A49"/>
    <w:rsid w:val="7FFC2D3A"/>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nhideWhenUsed="0" w:uiPriority="1"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qFormat="1"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qFormat="1"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qFormat/>
    <w:locked/>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qFormat/>
    <w:locked/>
    <w:uiPriority w:val="0"/>
    <w:pPr>
      <w:keepNext/>
      <w:keepLines/>
      <w:spacing w:before="260" w:beforeLines="0" w:beforeAutospacing="0" w:after="260" w:afterLines="0" w:afterAutospacing="0" w:line="413" w:lineRule="auto"/>
      <w:outlineLvl w:val="2"/>
    </w:pPr>
    <w:rPr>
      <w:b/>
      <w:sz w:val="32"/>
    </w:rPr>
  </w:style>
  <w:style w:type="paragraph" w:styleId="5">
    <w:name w:val="heading 4"/>
    <w:basedOn w:val="1"/>
    <w:next w:val="1"/>
    <w:qFormat/>
    <w:locked/>
    <w:uiPriority w:val="0"/>
    <w:pPr>
      <w:spacing w:line="400" w:lineRule="atLeast"/>
      <w:outlineLvl w:val="3"/>
    </w:pPr>
    <w:rPr>
      <w:szCs w:val="28"/>
    </w:rPr>
  </w:style>
  <w:style w:type="paragraph" w:styleId="6">
    <w:name w:val="heading 5"/>
    <w:basedOn w:val="1"/>
    <w:next w:val="1"/>
    <w:qFormat/>
    <w:locked/>
    <w:uiPriority w:val="1"/>
    <w:pPr>
      <w:ind w:left="1534"/>
      <w:outlineLvl w:val="4"/>
    </w:pPr>
    <w:rPr>
      <w:rFonts w:ascii="宋体" w:hAnsi="宋体" w:eastAsia="宋体" w:cs="宋体"/>
      <w:b/>
      <w:bCs/>
      <w:sz w:val="24"/>
      <w:szCs w:val="24"/>
      <w:lang w:val="zh-CN" w:eastAsia="zh-CN" w:bidi="zh-CN"/>
    </w:rPr>
  </w:style>
  <w:style w:type="character" w:default="1" w:styleId="31">
    <w:name w:val="Default Paragraph Font"/>
    <w:semiHidden/>
    <w:qFormat/>
    <w:uiPriority w:val="0"/>
  </w:style>
  <w:style w:type="table" w:default="1" w:styleId="29">
    <w:name w:val="Normal Table"/>
    <w:semiHidden/>
    <w:qFormat/>
    <w:uiPriority w:val="0"/>
    <w:tblPr>
      <w:tblCellMar>
        <w:top w:w="0" w:type="dxa"/>
        <w:left w:w="108" w:type="dxa"/>
        <w:bottom w:w="0" w:type="dxa"/>
        <w:right w:w="108" w:type="dxa"/>
      </w:tblCellMar>
    </w:tblPr>
  </w:style>
  <w:style w:type="paragraph" w:styleId="7">
    <w:name w:val="Normal Indent"/>
    <w:basedOn w:val="1"/>
    <w:next w:val="8"/>
    <w:qFormat/>
    <w:locked/>
    <w:uiPriority w:val="0"/>
    <w:pPr>
      <w:ind w:firstLine="420"/>
    </w:pPr>
    <w:rPr>
      <w:sz w:val="24"/>
    </w:rPr>
  </w:style>
  <w:style w:type="paragraph" w:customStyle="1" w:styleId="8">
    <w:name w:val="表头"/>
    <w:basedOn w:val="9"/>
    <w:next w:val="1"/>
    <w:qFormat/>
    <w:uiPriority w:val="0"/>
    <w:pPr>
      <w:adjustRightInd w:val="0"/>
      <w:spacing w:before="80" w:after="80"/>
      <w:jc w:val="center"/>
      <w:textAlignment w:val="baseline"/>
    </w:pPr>
    <w:rPr>
      <w:rFonts w:ascii="仿宋_GB2312" w:eastAsia="仿宋_GB2312"/>
      <w:kern w:val="0"/>
      <w:sz w:val="24"/>
    </w:rPr>
  </w:style>
  <w:style w:type="paragraph" w:styleId="9">
    <w:name w:val="List"/>
    <w:basedOn w:val="1"/>
    <w:next w:val="1"/>
    <w:qFormat/>
    <w:locked/>
    <w:uiPriority w:val="0"/>
    <w:pPr>
      <w:spacing w:line="240" w:lineRule="auto"/>
      <w:ind w:firstLine="0" w:firstLineChars="0"/>
      <w:jc w:val="center"/>
    </w:pPr>
    <w:rPr>
      <w:kern w:val="0"/>
      <w:sz w:val="21"/>
      <w:szCs w:val="20"/>
    </w:rPr>
  </w:style>
  <w:style w:type="paragraph" w:styleId="10">
    <w:name w:val="annotation text"/>
    <w:basedOn w:val="1"/>
    <w:link w:val="41"/>
    <w:semiHidden/>
    <w:qFormat/>
    <w:uiPriority w:val="0"/>
    <w:pPr>
      <w:jc w:val="left"/>
    </w:pPr>
    <w:rPr>
      <w:kern w:val="0"/>
      <w:sz w:val="24"/>
      <w:szCs w:val="20"/>
    </w:rPr>
  </w:style>
  <w:style w:type="paragraph" w:styleId="11">
    <w:name w:val="Body Text"/>
    <w:basedOn w:val="1"/>
    <w:link w:val="40"/>
    <w:qFormat/>
    <w:uiPriority w:val="0"/>
    <w:pPr>
      <w:widowControl/>
      <w:snapToGrid w:val="0"/>
      <w:spacing w:before="60" w:after="160" w:line="259" w:lineRule="auto"/>
      <w:ind w:right="113"/>
    </w:pPr>
    <w:rPr>
      <w:kern w:val="0"/>
      <w:sz w:val="18"/>
      <w:szCs w:val="20"/>
    </w:rPr>
  </w:style>
  <w:style w:type="paragraph" w:styleId="12">
    <w:name w:val="Body Text Indent"/>
    <w:basedOn w:val="1"/>
    <w:link w:val="39"/>
    <w:qFormat/>
    <w:uiPriority w:val="0"/>
    <w:pPr>
      <w:spacing w:after="120"/>
      <w:ind w:left="420" w:leftChars="200"/>
    </w:pPr>
    <w:rPr>
      <w:kern w:val="0"/>
      <w:sz w:val="24"/>
      <w:szCs w:val="20"/>
    </w:rPr>
  </w:style>
  <w:style w:type="paragraph" w:styleId="13">
    <w:name w:val="Plain Text"/>
    <w:basedOn w:val="1"/>
    <w:qFormat/>
    <w:locked/>
    <w:uiPriority w:val="0"/>
    <w:rPr>
      <w:rFonts w:ascii="宋体" w:hAnsi="Courier New"/>
    </w:rPr>
  </w:style>
  <w:style w:type="paragraph" w:styleId="14">
    <w:name w:val="List Bullet 5"/>
    <w:basedOn w:val="1"/>
    <w:qFormat/>
    <w:locked/>
    <w:uiPriority w:val="0"/>
    <w:pPr>
      <w:numPr>
        <w:ilvl w:val="0"/>
        <w:numId w:val="1"/>
      </w:numPr>
    </w:pPr>
  </w:style>
  <w:style w:type="paragraph" w:styleId="15">
    <w:name w:val="Date"/>
    <w:basedOn w:val="1"/>
    <w:next w:val="1"/>
    <w:link w:val="42"/>
    <w:qFormat/>
    <w:uiPriority w:val="0"/>
    <w:pPr>
      <w:ind w:left="100" w:leftChars="2500"/>
    </w:pPr>
    <w:rPr>
      <w:kern w:val="0"/>
      <w:sz w:val="24"/>
      <w:szCs w:val="20"/>
    </w:rPr>
  </w:style>
  <w:style w:type="paragraph" w:styleId="16">
    <w:name w:val="Balloon Text"/>
    <w:basedOn w:val="1"/>
    <w:link w:val="43"/>
    <w:semiHidden/>
    <w:qFormat/>
    <w:uiPriority w:val="0"/>
    <w:rPr>
      <w:kern w:val="0"/>
      <w:sz w:val="18"/>
      <w:szCs w:val="20"/>
    </w:rPr>
  </w:style>
  <w:style w:type="paragraph" w:styleId="17">
    <w:name w:val="footer"/>
    <w:basedOn w:val="1"/>
    <w:link w:val="44"/>
    <w:qFormat/>
    <w:uiPriority w:val="99"/>
    <w:pPr>
      <w:tabs>
        <w:tab w:val="center" w:pos="4153"/>
        <w:tab w:val="right" w:pos="8306"/>
      </w:tabs>
      <w:snapToGrid w:val="0"/>
      <w:jc w:val="left"/>
    </w:pPr>
    <w:rPr>
      <w:kern w:val="0"/>
      <w:sz w:val="18"/>
      <w:szCs w:val="20"/>
    </w:rPr>
  </w:style>
  <w:style w:type="paragraph" w:styleId="18">
    <w:name w:val="header"/>
    <w:basedOn w:val="1"/>
    <w:link w:val="45"/>
    <w:qFormat/>
    <w:uiPriority w:val="0"/>
    <w:pPr>
      <w:pBdr>
        <w:bottom w:val="single" w:color="auto" w:sz="6" w:space="1"/>
      </w:pBdr>
      <w:tabs>
        <w:tab w:val="center" w:pos="4153"/>
        <w:tab w:val="right" w:pos="8306"/>
      </w:tabs>
      <w:snapToGrid w:val="0"/>
      <w:jc w:val="center"/>
    </w:pPr>
    <w:rPr>
      <w:kern w:val="0"/>
      <w:sz w:val="18"/>
      <w:szCs w:val="20"/>
    </w:rPr>
  </w:style>
  <w:style w:type="paragraph" w:styleId="19">
    <w:name w:val="toc 1"/>
    <w:basedOn w:val="1"/>
    <w:next w:val="1"/>
    <w:qFormat/>
    <w:locked/>
    <w:uiPriority w:val="39"/>
    <w:pPr>
      <w:spacing w:line="360" w:lineRule="auto"/>
    </w:pPr>
    <w:rPr>
      <w:b/>
      <w:sz w:val="24"/>
    </w:rPr>
  </w:style>
  <w:style w:type="paragraph" w:styleId="20">
    <w:name w:val="table of figures"/>
    <w:basedOn w:val="1"/>
    <w:next w:val="1"/>
    <w:qFormat/>
    <w:locked/>
    <w:uiPriority w:val="0"/>
    <w:pPr>
      <w:autoSpaceDE w:val="0"/>
      <w:autoSpaceDN w:val="0"/>
      <w:spacing w:line="360" w:lineRule="auto"/>
      <w:ind w:left="200" w:leftChars="200" w:hanging="200" w:hangingChars="200"/>
    </w:pPr>
    <w:rPr>
      <w:sz w:val="28"/>
      <w:szCs w:val="20"/>
    </w:rPr>
  </w:style>
  <w:style w:type="paragraph" w:styleId="21">
    <w:name w:val="toc 2"/>
    <w:basedOn w:val="1"/>
    <w:next w:val="1"/>
    <w:qFormat/>
    <w:locked/>
    <w:uiPriority w:val="39"/>
    <w:pPr>
      <w:ind w:left="420" w:leftChars="200"/>
    </w:pPr>
  </w:style>
  <w:style w:type="paragraph" w:styleId="22">
    <w:name w:val="Message Header"/>
    <w:basedOn w:val="1"/>
    <w:qFormat/>
    <w:locked/>
    <w:uiPriority w:val="0"/>
    <w:pPr>
      <w:keepNext/>
      <w:pBdr>
        <w:top w:val="single" w:color="auto" w:sz="6" w:space="1"/>
        <w:left w:val="single" w:color="auto" w:sz="6" w:space="1"/>
        <w:bottom w:val="single" w:color="auto" w:sz="6" w:space="1"/>
        <w:right w:val="single" w:color="auto" w:sz="6" w:space="1"/>
      </w:pBdr>
      <w:shd w:val="pct20" w:color="auto" w:fill="auto"/>
      <w:spacing w:line="360" w:lineRule="auto"/>
      <w:ind w:left="1000" w:leftChars="500" w:hanging="500" w:hangingChars="500"/>
      <w:jc w:val="left"/>
    </w:pPr>
    <w:rPr>
      <w:rFonts w:ascii="Arial" w:hAnsi="Arial"/>
      <w:color w:val="000000"/>
      <w:kern w:val="0"/>
      <w:sz w:val="24"/>
      <w:szCs w:val="24"/>
      <w:lang w:val="zh-CN"/>
    </w:rPr>
  </w:style>
  <w:style w:type="paragraph" w:styleId="23">
    <w:name w:val="Normal (Web)"/>
    <w:basedOn w:val="1"/>
    <w:link w:val="46"/>
    <w:qFormat/>
    <w:uiPriority w:val="0"/>
    <w:pPr>
      <w:widowControl/>
      <w:spacing w:before="100" w:beforeAutospacing="1" w:after="100" w:afterAutospacing="1"/>
      <w:jc w:val="left"/>
    </w:pPr>
    <w:rPr>
      <w:rFonts w:ascii="宋体" w:hAnsi="宋体"/>
      <w:kern w:val="0"/>
      <w:sz w:val="24"/>
      <w:szCs w:val="20"/>
    </w:rPr>
  </w:style>
  <w:style w:type="paragraph" w:styleId="24">
    <w:name w:val="Title"/>
    <w:basedOn w:val="1"/>
    <w:next w:val="1"/>
    <w:qFormat/>
    <w:locked/>
    <w:uiPriority w:val="0"/>
    <w:pPr>
      <w:adjustRightInd w:val="0"/>
      <w:snapToGrid w:val="0"/>
      <w:spacing w:line="480" w:lineRule="exact"/>
      <w:ind w:firstLine="560" w:firstLineChars="200"/>
      <w:jc w:val="center"/>
    </w:pPr>
    <w:rPr>
      <w:b/>
      <w:color w:val="000000"/>
      <w:kern w:val="0"/>
      <w:szCs w:val="28"/>
    </w:rPr>
  </w:style>
  <w:style w:type="paragraph" w:styleId="25">
    <w:name w:val="annotation subject"/>
    <w:basedOn w:val="10"/>
    <w:next w:val="10"/>
    <w:link w:val="47"/>
    <w:semiHidden/>
    <w:qFormat/>
    <w:uiPriority w:val="0"/>
    <w:rPr>
      <w:b/>
      <w:sz w:val="24"/>
      <w:szCs w:val="20"/>
    </w:rPr>
  </w:style>
  <w:style w:type="paragraph" w:styleId="26">
    <w:name w:val="Body Text First Indent"/>
    <w:basedOn w:val="11"/>
    <w:next w:val="27"/>
    <w:qFormat/>
    <w:locked/>
    <w:uiPriority w:val="0"/>
    <w:pPr>
      <w:spacing w:before="0" w:after="120"/>
      <w:ind w:firstLine="420" w:firstLineChars="100"/>
      <w:jc w:val="both"/>
    </w:pPr>
    <w:rPr>
      <w:sz w:val="21"/>
      <w:szCs w:val="24"/>
    </w:rPr>
  </w:style>
  <w:style w:type="paragraph" w:customStyle="1" w:styleId="27">
    <w:name w:val="样式 正文首行缩进 + 首行缩进:  2 字符1"/>
    <w:basedOn w:val="1"/>
    <w:next w:val="19"/>
    <w:qFormat/>
    <w:uiPriority w:val="0"/>
    <w:pPr>
      <w:spacing w:line="360" w:lineRule="auto"/>
      <w:ind w:firstLine="480" w:firstLineChars="200"/>
    </w:pPr>
    <w:rPr>
      <w:sz w:val="24"/>
    </w:rPr>
  </w:style>
  <w:style w:type="paragraph" w:styleId="28">
    <w:name w:val="Body Text First Indent 2"/>
    <w:basedOn w:val="12"/>
    <w:next w:val="26"/>
    <w:qFormat/>
    <w:locked/>
    <w:uiPriority w:val="0"/>
    <w:pPr>
      <w:ind w:firstLine="420" w:firstLineChars="200"/>
    </w:pPr>
  </w:style>
  <w:style w:type="table" w:styleId="30">
    <w:name w:val="Table Grid"/>
    <w:basedOn w:val="29"/>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qFormat/>
    <w:locked/>
    <w:uiPriority w:val="0"/>
    <w:rPr>
      <w:b/>
    </w:rPr>
  </w:style>
  <w:style w:type="character" w:styleId="33">
    <w:name w:val="page number"/>
    <w:qFormat/>
    <w:locked/>
    <w:uiPriority w:val="0"/>
  </w:style>
  <w:style w:type="character" w:styleId="34">
    <w:name w:val="Emphasis"/>
    <w:qFormat/>
    <w:locked/>
    <w:uiPriority w:val="0"/>
    <w:rPr>
      <w:i/>
    </w:rPr>
  </w:style>
  <w:style w:type="character" w:styleId="35">
    <w:name w:val="Hyperlink"/>
    <w:qFormat/>
    <w:locked/>
    <w:uiPriority w:val="0"/>
    <w:rPr>
      <w:color w:val="0000FF"/>
      <w:u w:val="single"/>
    </w:rPr>
  </w:style>
  <w:style w:type="character" w:styleId="36">
    <w:name w:val="annotation reference"/>
    <w:semiHidden/>
    <w:qFormat/>
    <w:uiPriority w:val="0"/>
    <w:rPr>
      <w:sz w:val="21"/>
    </w:rPr>
  </w:style>
  <w:style w:type="paragraph" w:customStyle="1" w:styleId="37">
    <w:name w:val="Normal (Web)1"/>
    <w:basedOn w:val="1"/>
    <w:next w:val="38"/>
    <w:qFormat/>
    <w:uiPriority w:val="0"/>
    <w:pPr>
      <w:widowControl/>
      <w:jc w:val="left"/>
    </w:pPr>
    <w:rPr>
      <w:rFonts w:ascii="宋体" w:cs="Times New Roman"/>
      <w:kern w:val="0"/>
      <w:sz w:val="24"/>
      <w:szCs w:val="21"/>
    </w:rPr>
  </w:style>
  <w:style w:type="paragraph" w:customStyle="1" w:styleId="38">
    <w:name w:val="Date1"/>
    <w:basedOn w:val="1"/>
    <w:next w:val="1"/>
    <w:qFormat/>
    <w:uiPriority w:val="0"/>
    <w:pPr>
      <w:ind w:left="2500" w:leftChars="2500"/>
    </w:pPr>
  </w:style>
  <w:style w:type="character" w:customStyle="1" w:styleId="39">
    <w:name w:val="正文文本缩进 Char"/>
    <w:link w:val="12"/>
    <w:semiHidden/>
    <w:qFormat/>
    <w:locked/>
    <w:uiPriority w:val="0"/>
    <w:rPr>
      <w:rFonts w:ascii="Times New Roman" w:hAnsi="Times New Roman" w:eastAsia="宋体"/>
      <w:sz w:val="24"/>
    </w:rPr>
  </w:style>
  <w:style w:type="character" w:customStyle="1" w:styleId="40">
    <w:name w:val="正文文本 Char"/>
    <w:link w:val="11"/>
    <w:qFormat/>
    <w:locked/>
    <w:uiPriority w:val="0"/>
    <w:rPr>
      <w:sz w:val="18"/>
    </w:rPr>
  </w:style>
  <w:style w:type="character" w:customStyle="1" w:styleId="41">
    <w:name w:val="批注文字 Char"/>
    <w:link w:val="10"/>
    <w:qFormat/>
    <w:locked/>
    <w:uiPriority w:val="0"/>
    <w:rPr>
      <w:rFonts w:ascii="Times New Roman" w:hAnsi="Times New Roman" w:eastAsia="宋体"/>
      <w:sz w:val="24"/>
    </w:rPr>
  </w:style>
  <w:style w:type="character" w:customStyle="1" w:styleId="42">
    <w:name w:val="日期 Char"/>
    <w:link w:val="15"/>
    <w:qFormat/>
    <w:locked/>
    <w:uiPriority w:val="0"/>
    <w:rPr>
      <w:rFonts w:ascii="Times New Roman" w:hAnsi="Times New Roman" w:eastAsia="宋体"/>
      <w:sz w:val="24"/>
    </w:rPr>
  </w:style>
  <w:style w:type="character" w:customStyle="1" w:styleId="43">
    <w:name w:val="批注框文本 Char"/>
    <w:link w:val="16"/>
    <w:semiHidden/>
    <w:qFormat/>
    <w:locked/>
    <w:uiPriority w:val="0"/>
    <w:rPr>
      <w:rFonts w:ascii="Times New Roman" w:hAnsi="Times New Roman" w:eastAsia="宋体"/>
      <w:sz w:val="18"/>
    </w:rPr>
  </w:style>
  <w:style w:type="character" w:customStyle="1" w:styleId="44">
    <w:name w:val="页脚 Char"/>
    <w:link w:val="17"/>
    <w:qFormat/>
    <w:locked/>
    <w:uiPriority w:val="99"/>
    <w:rPr>
      <w:sz w:val="18"/>
    </w:rPr>
  </w:style>
  <w:style w:type="character" w:customStyle="1" w:styleId="45">
    <w:name w:val="页眉 Char"/>
    <w:link w:val="18"/>
    <w:qFormat/>
    <w:locked/>
    <w:uiPriority w:val="0"/>
    <w:rPr>
      <w:sz w:val="18"/>
    </w:rPr>
  </w:style>
  <w:style w:type="character" w:customStyle="1" w:styleId="46">
    <w:name w:val="普通(网站) Char"/>
    <w:link w:val="23"/>
    <w:qFormat/>
    <w:locked/>
    <w:uiPriority w:val="0"/>
    <w:rPr>
      <w:rFonts w:ascii="宋体" w:hAnsi="宋体" w:eastAsia="宋体"/>
      <w:sz w:val="24"/>
    </w:rPr>
  </w:style>
  <w:style w:type="character" w:customStyle="1" w:styleId="47">
    <w:name w:val="批注主题 Char"/>
    <w:link w:val="25"/>
    <w:semiHidden/>
    <w:qFormat/>
    <w:locked/>
    <w:uiPriority w:val="0"/>
    <w:rPr>
      <w:rFonts w:ascii="Times New Roman" w:hAnsi="Times New Roman" w:eastAsia="宋体"/>
      <w:b/>
      <w:kern w:val="2"/>
      <w:sz w:val="24"/>
    </w:rPr>
  </w:style>
  <w:style w:type="paragraph" w:customStyle="1" w:styleId="48">
    <w:name w:val="11111"/>
    <w:basedOn w:val="1"/>
    <w:next w:val="1"/>
    <w:qFormat/>
    <w:uiPriority w:val="99"/>
    <w:pPr>
      <w:spacing w:line="360" w:lineRule="auto"/>
      <w:ind w:firstLine="200" w:firstLineChars="200"/>
    </w:pPr>
    <w:rPr>
      <w:rFonts w:ascii="宋体" w:hAnsi="宋体" w:cs="宋体"/>
      <w:sz w:val="24"/>
      <w:szCs w:val="24"/>
    </w:rPr>
  </w:style>
  <w:style w:type="paragraph" w:customStyle="1" w:styleId="49">
    <w:name w:val="xl27"/>
    <w:basedOn w:val="1"/>
    <w:qFormat/>
    <w:uiPriority w:val="0"/>
    <w:pPr>
      <w:widowControl/>
      <w:pBdr>
        <w:bottom w:val="single" w:color="auto" w:sz="4" w:space="0"/>
        <w:right w:val="single" w:color="auto" w:sz="4" w:space="0"/>
      </w:pBdr>
      <w:spacing w:before="100" w:beforeAutospacing="1" w:after="100" w:afterAutospacing="1"/>
      <w:jc w:val="center"/>
    </w:pPr>
    <w:rPr>
      <w:rFonts w:ascii="Arial Unicode MS" w:hAnsi="Arial Unicode MS"/>
      <w:color w:val="000000"/>
      <w:kern w:val="0"/>
      <w:sz w:val="18"/>
      <w:szCs w:val="18"/>
    </w:rPr>
  </w:style>
  <w:style w:type="paragraph" w:customStyle="1" w:styleId="50">
    <w:name w:val="Default"/>
    <w:basedOn w:val="51"/>
    <w:next w:val="52"/>
    <w:qFormat/>
    <w:uiPriority w:val="0"/>
    <w:pPr>
      <w:widowControl w:val="0"/>
      <w:autoSpaceDE w:val="0"/>
      <w:autoSpaceDN w:val="0"/>
      <w:adjustRightInd w:val="0"/>
    </w:pPr>
    <w:rPr>
      <w:rFonts w:ascii="仿宋_GB2312" w:hAnsi="Calibri" w:eastAsia="仿宋_GB2312" w:cs="Times New Roman"/>
      <w:color w:val="000000"/>
      <w:sz w:val="24"/>
      <w:szCs w:val="24"/>
      <w:lang w:val="en-US" w:eastAsia="zh-CN" w:bidi="ar-SA"/>
    </w:rPr>
  </w:style>
  <w:style w:type="paragraph" w:customStyle="1" w:styleId="51">
    <w:name w:val="纯文本1"/>
    <w:basedOn w:val="1"/>
    <w:qFormat/>
    <w:uiPriority w:val="0"/>
    <w:pPr>
      <w:adjustRightInd w:val="0"/>
    </w:pPr>
    <w:rPr>
      <w:rFonts w:ascii="宋体" w:hAnsi="Courier New"/>
      <w:szCs w:val="20"/>
    </w:rPr>
  </w:style>
  <w:style w:type="paragraph" w:customStyle="1" w:styleId="52">
    <w:name w:val="1正文段落"/>
    <w:basedOn w:val="1"/>
    <w:semiHidden/>
    <w:qFormat/>
    <w:uiPriority w:val="0"/>
    <w:pPr>
      <w:spacing w:line="360" w:lineRule="auto"/>
      <w:ind w:firstLine="480"/>
      <w:jc w:val="left"/>
    </w:pPr>
    <w:rPr>
      <w:rFonts w:eastAsia="宋体"/>
      <w:snapToGrid w:val="0"/>
      <w:kern w:val="0"/>
      <w:szCs w:val="24"/>
    </w:rPr>
  </w:style>
  <w:style w:type="paragraph" w:customStyle="1" w:styleId="53">
    <w:name w:val="报告书正文"/>
    <w:basedOn w:val="1"/>
    <w:qFormat/>
    <w:uiPriority w:val="0"/>
    <w:pPr>
      <w:adjustRightInd w:val="0"/>
      <w:snapToGrid w:val="0"/>
      <w:spacing w:line="360" w:lineRule="auto"/>
      <w:ind w:firstLine="425"/>
      <w:textAlignment w:val="baseline"/>
    </w:pPr>
    <w:rPr>
      <w:rFonts w:ascii="Arial" w:hAnsi="Arial"/>
      <w:sz w:val="24"/>
    </w:rPr>
  </w:style>
  <w:style w:type="character" w:customStyle="1" w:styleId="54">
    <w:name w:val="NormalCharacter"/>
    <w:semiHidden/>
    <w:qFormat/>
    <w:uiPriority w:val="0"/>
    <w:rPr>
      <w:kern w:val="2"/>
      <w:sz w:val="21"/>
      <w:szCs w:val="24"/>
      <w:lang w:val="en-US" w:eastAsia="zh-CN" w:bidi="ar-SA"/>
    </w:rPr>
  </w:style>
  <w:style w:type="character" w:customStyle="1" w:styleId="55">
    <w:name w:val="页脚 字符"/>
    <w:qFormat/>
    <w:uiPriority w:val="99"/>
  </w:style>
  <w:style w:type="character" w:customStyle="1" w:styleId="56">
    <w:name w:val="正文文本 字符1"/>
    <w:semiHidden/>
    <w:qFormat/>
    <w:uiPriority w:val="0"/>
    <w:rPr>
      <w:rFonts w:ascii="Times New Roman" w:hAnsi="Times New Roman" w:eastAsia="宋体"/>
      <w:sz w:val="24"/>
    </w:rPr>
  </w:style>
  <w:style w:type="character" w:customStyle="1" w:styleId="57">
    <w:name w:val="表格 Char"/>
    <w:link w:val="58"/>
    <w:qFormat/>
    <w:locked/>
    <w:uiPriority w:val="0"/>
    <w:rPr>
      <w:rFonts w:ascii="宋体"/>
      <w:sz w:val="21"/>
    </w:rPr>
  </w:style>
  <w:style w:type="paragraph" w:customStyle="1" w:styleId="58">
    <w:name w:val="表格"/>
    <w:basedOn w:val="1"/>
    <w:next w:val="1"/>
    <w:link w:val="57"/>
    <w:qFormat/>
    <w:uiPriority w:val="0"/>
    <w:pPr>
      <w:adjustRightInd w:val="0"/>
      <w:snapToGrid w:val="0"/>
      <w:spacing w:beforeLines="10" w:afterLines="10" w:line="259" w:lineRule="auto"/>
      <w:jc w:val="center"/>
    </w:pPr>
    <w:rPr>
      <w:rFonts w:ascii="宋体"/>
      <w:kern w:val="0"/>
      <w:szCs w:val="20"/>
    </w:rPr>
  </w:style>
  <w:style w:type="character" w:customStyle="1" w:styleId="59">
    <w:name w:val="日期 字符"/>
    <w:semiHidden/>
    <w:qFormat/>
    <w:uiPriority w:val="0"/>
    <w:rPr>
      <w:rFonts w:ascii="Times New Roman" w:hAnsi="Times New Roman" w:eastAsia="宋体"/>
      <w:sz w:val="24"/>
    </w:rPr>
  </w:style>
  <w:style w:type="character" w:customStyle="1" w:styleId="60">
    <w:name w:val="批注文字 字符1"/>
    <w:semiHidden/>
    <w:qFormat/>
    <w:uiPriority w:val="0"/>
    <w:rPr>
      <w:rFonts w:ascii="Times New Roman" w:hAnsi="Times New Roman" w:eastAsia="宋体"/>
      <w:sz w:val="24"/>
    </w:rPr>
  </w:style>
  <w:style w:type="paragraph" w:customStyle="1" w:styleId="61">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2">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63">
    <w:name w:val="font01"/>
    <w:qFormat/>
    <w:uiPriority w:val="0"/>
    <w:rPr>
      <w:rFonts w:hint="default" w:ascii="Times New Roman" w:hAnsi="Times New Roman" w:cs="Times New Roman"/>
      <w:color w:val="000000"/>
      <w:sz w:val="18"/>
      <w:szCs w:val="18"/>
      <w:u w:val="none"/>
    </w:rPr>
  </w:style>
  <w:style w:type="paragraph" w:customStyle="1" w:styleId="64">
    <w:name w:val="表中的文字"/>
    <w:basedOn w:val="1"/>
    <w:qFormat/>
    <w:uiPriority w:val="0"/>
    <w:pPr>
      <w:snapToGrid w:val="0"/>
      <w:spacing w:line="400" w:lineRule="exact"/>
      <w:jc w:val="center"/>
    </w:pPr>
    <w:rPr>
      <w:rFonts w:eastAsia="仿宋_GB2312"/>
      <w:bCs/>
      <w:color w:val="000000"/>
      <w:szCs w:val="21"/>
    </w:rPr>
  </w:style>
  <w:style w:type="paragraph" w:customStyle="1" w:styleId="65">
    <w:name w:val="表格标题"/>
    <w:basedOn w:val="66"/>
    <w:next w:val="67"/>
    <w:qFormat/>
    <w:uiPriority w:val="0"/>
    <w:pPr>
      <w:spacing w:line="480" w:lineRule="auto"/>
      <w:jc w:val="center"/>
    </w:pPr>
    <w:rPr>
      <w:rFonts w:ascii="Times New Roman" w:hAnsi="Times New Roman" w:cs="宋体"/>
      <w:szCs w:val="20"/>
    </w:rPr>
  </w:style>
  <w:style w:type="paragraph" w:customStyle="1" w:styleId="66">
    <w:name w:val="报告表正文"/>
    <w:basedOn w:val="1"/>
    <w:qFormat/>
    <w:uiPriority w:val="0"/>
    <w:pPr>
      <w:adjustRightInd w:val="0"/>
      <w:spacing w:line="312" w:lineRule="auto"/>
      <w:ind w:left="113" w:right="113" w:firstLine="482"/>
      <w:jc w:val="left"/>
      <w:textAlignment w:val="baseline"/>
    </w:pPr>
    <w:rPr>
      <w:kern w:val="0"/>
      <w:sz w:val="24"/>
    </w:rPr>
  </w:style>
  <w:style w:type="paragraph" w:customStyle="1" w:styleId="67">
    <w:name w:val="正文（首行缩进）"/>
    <w:basedOn w:val="1"/>
    <w:next w:val="68"/>
    <w:qFormat/>
    <w:uiPriority w:val="0"/>
    <w:pPr>
      <w:spacing w:line="360" w:lineRule="auto"/>
      <w:ind w:left="560" w:firstLine="3632"/>
    </w:pPr>
  </w:style>
  <w:style w:type="paragraph" w:customStyle="1" w:styleId="68">
    <w:name w:val="正文00"/>
    <w:basedOn w:val="1"/>
    <w:next w:val="69"/>
    <w:qFormat/>
    <w:uiPriority w:val="0"/>
    <w:pPr>
      <w:widowControl w:val="0"/>
      <w:spacing w:line="360" w:lineRule="auto"/>
      <w:ind w:firstLine="480" w:firstLineChars="200"/>
      <w:jc w:val="both"/>
    </w:pPr>
    <w:rPr>
      <w:rFonts w:ascii="Calibri" w:hAnsi="Calibri" w:cs="宋体"/>
      <w:sz w:val="24"/>
      <w:szCs w:val="24"/>
    </w:rPr>
  </w:style>
  <w:style w:type="paragraph" w:customStyle="1" w:styleId="69">
    <w:name w:val="样式 Times New Roman 五号 居中1"/>
    <w:basedOn w:val="1"/>
    <w:next w:val="8"/>
    <w:qFormat/>
    <w:uiPriority w:val="0"/>
    <w:pPr>
      <w:jc w:val="center"/>
    </w:pPr>
    <w:rPr>
      <w:rFonts w:ascii="Times New Roman" w:hAnsi="Times New Roman" w:cs="宋体"/>
      <w:szCs w:val="21"/>
    </w:rPr>
  </w:style>
  <w:style w:type="paragraph" w:customStyle="1" w:styleId="70">
    <w:name w:val="1黑体头"/>
    <w:basedOn w:val="1"/>
    <w:qFormat/>
    <w:uiPriority w:val="0"/>
    <w:pPr>
      <w:spacing w:line="360" w:lineRule="auto"/>
      <w:ind w:firstLine="479" w:firstLineChars="199"/>
      <w:jc w:val="left"/>
      <w:textAlignment w:val="center"/>
    </w:pPr>
    <w:rPr>
      <w:b/>
      <w:sz w:val="24"/>
    </w:rPr>
  </w:style>
  <w:style w:type="paragraph" w:customStyle="1" w:styleId="71">
    <w:name w:val="2表中文字"/>
    <w:qFormat/>
    <w:uiPriority w:val="0"/>
    <w:pPr>
      <w:jc w:val="center"/>
    </w:pPr>
    <w:rPr>
      <w:rFonts w:ascii="Calibri" w:hAnsi="Calibri" w:eastAsia="宋体" w:cs="Times New Roman"/>
      <w:kern w:val="2"/>
      <w:sz w:val="21"/>
      <w:szCs w:val="21"/>
      <w:lang w:val="en-US" w:eastAsia="zh-CN" w:bidi="ar-SA"/>
    </w:rPr>
  </w:style>
  <w:style w:type="paragraph" w:customStyle="1" w:styleId="72">
    <w:name w:val="环评表中文字"/>
    <w:basedOn w:val="1"/>
    <w:qFormat/>
    <w:uiPriority w:val="0"/>
    <w:pPr>
      <w:widowControl/>
      <w:spacing w:line="240" w:lineRule="auto"/>
      <w:ind w:firstLine="0" w:firstLineChars="0"/>
      <w:jc w:val="center"/>
    </w:pPr>
    <w:rPr>
      <w:rFonts w:ascii="宋体" w:hAnsi="宋体" w:cs="宋体"/>
      <w:kern w:val="0"/>
      <w:szCs w:val="22"/>
    </w:rPr>
  </w:style>
  <w:style w:type="paragraph" w:customStyle="1" w:styleId="73">
    <w:name w:val="【表中文字】"/>
    <w:basedOn w:val="74"/>
    <w:qFormat/>
    <w:uiPriority w:val="0"/>
    <w:pPr>
      <w:jc w:val="center"/>
    </w:pPr>
    <w:rPr>
      <w:szCs w:val="20"/>
    </w:rPr>
  </w:style>
  <w:style w:type="paragraph" w:customStyle="1" w:styleId="74">
    <w:name w:val=".表1-1-1内容"/>
    <w:basedOn w:val="1"/>
    <w:qFormat/>
    <w:uiPriority w:val="0"/>
    <w:pPr>
      <w:spacing w:line="300" w:lineRule="exact"/>
      <w:jc w:val="center"/>
    </w:pPr>
    <w:rPr>
      <w:kern w:val="0"/>
      <w:szCs w:val="21"/>
    </w:rPr>
  </w:style>
  <w:style w:type="paragraph" w:customStyle="1" w:styleId="75">
    <w:name w:val="UserStyle_0"/>
    <w:basedOn w:val="1"/>
    <w:qFormat/>
    <w:uiPriority w:val="0"/>
    <w:pPr>
      <w:snapToGrid w:val="0"/>
      <w:spacing w:line="360" w:lineRule="auto"/>
      <w:ind w:firstLine="425"/>
      <w:jc w:val="both"/>
      <w:textAlignment w:val="baseline"/>
    </w:pPr>
    <w:rPr>
      <w:rFonts w:ascii="Arial" w:hAnsi="Arial"/>
      <w:kern w:val="2"/>
      <w:sz w:val="24"/>
      <w:szCs w:val="24"/>
      <w:lang w:val="en-US" w:eastAsia="zh-CN" w:bidi="ar-SA"/>
    </w:rPr>
  </w:style>
  <w:style w:type="paragraph" w:customStyle="1" w:styleId="76">
    <w:name w:val="UserStyle_5"/>
    <w:basedOn w:val="1"/>
    <w:qFormat/>
    <w:uiPriority w:val="0"/>
    <w:pPr>
      <w:widowControl/>
      <w:pBdr>
        <w:left w:val="single" w:color="000000" w:sz="4" w:space="0"/>
        <w:bottom w:val="single" w:color="000000" w:sz="4" w:space="0"/>
        <w:right w:val="single" w:color="000000" w:sz="4" w:space="0"/>
      </w:pBdr>
      <w:spacing w:before="100" w:beforeAutospacing="1" w:after="100" w:afterAutospacing="1"/>
      <w:jc w:val="center"/>
      <w:textAlignment w:val="baseline"/>
    </w:pPr>
    <w:rPr>
      <w:rFonts w:ascii="宋体" w:hAnsi="宋体"/>
      <w:kern w:val="0"/>
      <w:sz w:val="24"/>
      <w:szCs w:val="28"/>
      <w:lang w:val="en-US" w:eastAsia="zh-CN" w:bidi="ar-SA"/>
    </w:rPr>
  </w:style>
  <w:style w:type="paragraph" w:customStyle="1" w:styleId="77">
    <w:name w:val="报告表格内容"/>
    <w:basedOn w:val="1"/>
    <w:next w:val="1"/>
    <w:qFormat/>
    <w:uiPriority w:val="0"/>
    <w:pPr>
      <w:adjustRightInd w:val="0"/>
      <w:snapToGrid w:val="0"/>
      <w:spacing w:line="240" w:lineRule="auto"/>
      <w:ind w:firstLine="0" w:firstLineChars="0"/>
      <w:jc w:val="center"/>
    </w:pPr>
    <w:rPr>
      <w:rFonts w:ascii="Calibri" w:hAnsi="Calibri" w:eastAsia="宋体" w:cs="Times New Roman"/>
      <w:sz w:val="21"/>
      <w:szCs w:val="22"/>
    </w:rPr>
  </w:style>
  <w:style w:type="paragraph" w:customStyle="1" w:styleId="78">
    <w:name w:val="_Style 4"/>
    <w:next w:val="1"/>
    <w:qFormat/>
    <w:uiPriority w:val="0"/>
    <w:pPr>
      <w:widowControl w:val="0"/>
      <w:jc w:val="both"/>
    </w:pPr>
    <w:rPr>
      <w:rFonts w:ascii="Calibri" w:hAnsi="Calibri" w:eastAsia="仿宋_GB2312" w:cs="Times New Roman"/>
      <w:kern w:val="2"/>
      <w:sz w:val="24"/>
      <w:szCs w:val="22"/>
      <w:lang w:val="en-US" w:eastAsia="zh-CN" w:bidi="ar-SA"/>
    </w:rPr>
  </w:style>
  <w:style w:type="paragraph" w:customStyle="1" w:styleId="79">
    <w:name w:val="Table Paragraph"/>
    <w:basedOn w:val="1"/>
    <w:qFormat/>
    <w:uiPriority w:val="1"/>
    <w:rPr>
      <w:rFonts w:ascii="宋体" w:hAnsi="宋体" w:eastAsia="宋体" w:cs="宋体"/>
      <w:lang w:val="zh-CN" w:eastAsia="zh-CN" w:bidi="zh-CN"/>
    </w:rPr>
  </w:style>
  <w:style w:type="paragraph" w:styleId="80">
    <w:name w:val="List Paragraph"/>
    <w:basedOn w:val="1"/>
    <w:qFormat/>
    <w:uiPriority w:val="1"/>
    <w:pPr>
      <w:ind w:left="1483" w:hanging="602"/>
    </w:pPr>
    <w:rPr>
      <w:rFonts w:ascii="宋体" w:hAnsi="宋体" w:eastAsia="宋体" w:cs="宋体"/>
      <w:lang w:val="zh-CN" w:eastAsia="zh-CN" w:bidi="zh-CN"/>
    </w:rPr>
  </w:style>
  <w:style w:type="paragraph" w:customStyle="1" w:styleId="81">
    <w:name w:val="表"/>
    <w:qFormat/>
    <w:uiPriority w:val="0"/>
    <w:pPr>
      <w:spacing w:line="440" w:lineRule="exact"/>
      <w:ind w:firstLine="200" w:firstLineChars="200"/>
      <w:jc w:val="both"/>
    </w:pPr>
    <w:rPr>
      <w:rFonts w:ascii="Calibri" w:hAnsi="Calibri" w:eastAsia="宋体" w:cs="Times New Roman"/>
      <w:sz w:val="24"/>
      <w:lang w:val="en-US" w:eastAsia="zh-CN" w:bidi="ar-SA"/>
    </w:rPr>
  </w:style>
  <w:style w:type="paragraph" w:customStyle="1" w:styleId="82">
    <w:name w:val="中文报告书样式"/>
    <w:basedOn w:val="1"/>
    <w:qFormat/>
    <w:uiPriority w:val="0"/>
    <w:pPr>
      <w:adjustRightInd w:val="0"/>
      <w:spacing w:line="480" w:lineRule="atLeast"/>
      <w:ind w:firstLine="482"/>
      <w:textAlignment w:val="baseline"/>
    </w:pPr>
    <w:rPr>
      <w:kern w:val="24"/>
      <w:szCs w:val="20"/>
    </w:rPr>
  </w:style>
  <w:style w:type="paragraph" w:customStyle="1" w:styleId="83">
    <w:name w:val="表头和图片"/>
    <w:basedOn w:val="13"/>
    <w:next w:val="1"/>
    <w:qFormat/>
    <w:uiPriority w:val="0"/>
    <w:pPr>
      <w:spacing w:line="480" w:lineRule="exact"/>
      <w:jc w:val="center"/>
    </w:pPr>
    <w:rPr>
      <w:rFonts w:ascii="Times New Roman" w:hAnsi="Times New Roman" w:eastAsia="黑体"/>
      <w:b/>
    </w:rPr>
  </w:style>
  <w:style w:type="character" w:customStyle="1" w:styleId="84">
    <w:name w:val="font11"/>
    <w:qFormat/>
    <w:uiPriority w:val="0"/>
    <w:rPr>
      <w:rFonts w:hint="default" w:ascii="Times New Roman" w:hAnsi="Times New Roman" w:cs="Times New Roman"/>
      <w:color w:val="000000"/>
      <w:sz w:val="21"/>
      <w:szCs w:val="21"/>
      <w:u w:val="none"/>
    </w:rPr>
  </w:style>
  <w:style w:type="character" w:customStyle="1" w:styleId="85">
    <w:name w:val="font21"/>
    <w:qFormat/>
    <w:uiPriority w:val="0"/>
    <w:rPr>
      <w:rFonts w:hint="eastAsia" w:ascii="宋体" w:hAnsi="宋体" w:eastAsia="宋体" w:cs="宋体"/>
      <w:color w:val="000000"/>
      <w:sz w:val="21"/>
      <w:szCs w:val="21"/>
      <w:u w:val="none"/>
    </w:rPr>
  </w:style>
  <w:style w:type="paragraph" w:customStyle="1" w:styleId="86">
    <w:name w:val="表格正文"/>
    <w:basedOn w:val="1"/>
    <w:qFormat/>
    <w:uiPriority w:val="0"/>
    <w:pPr>
      <w:spacing w:line="320" w:lineRule="exact"/>
      <w:ind w:firstLine="0" w:firstLineChars="0"/>
      <w:jc w:val="center"/>
    </w:pPr>
    <w:rPr>
      <w:rFonts w:cs="宋体"/>
      <w:sz w:val="21"/>
    </w:rPr>
  </w:style>
  <w:style w:type="paragraph" w:customStyle="1" w:styleId="87">
    <w:name w:val="我的正文"/>
    <w:basedOn w:val="1"/>
    <w:qFormat/>
    <w:uiPriority w:val="0"/>
    <w:pPr>
      <w:adjustRightInd w:val="0"/>
      <w:snapToGrid w:val="0"/>
      <w:spacing w:line="480" w:lineRule="exact"/>
      <w:ind w:firstLine="720" w:firstLineChars="200"/>
      <w:jc w:val="left"/>
    </w:pPr>
    <w:rPr>
      <w:rFonts w:ascii="Times New Roman" w:hAnsi="Times New Roman" w:eastAsia="宋体" w:cs="宋体"/>
      <w:bCs/>
      <w:szCs w:val="21"/>
    </w:rPr>
  </w:style>
  <w:style w:type="paragraph" w:customStyle="1" w:styleId="88">
    <w:name w:val="图表"/>
    <w:basedOn w:val="1"/>
    <w:qFormat/>
    <w:uiPriority w:val="0"/>
    <w:pPr>
      <w:ind w:firstLine="0" w:firstLineChars="0"/>
      <w:jc w:val="center"/>
    </w:pPr>
    <w:rPr>
      <w:rFonts w:ascii="Times New Roman" w:hAnsi="Times New Roman" w:eastAsia="黑体"/>
      <w:kern w:val="0"/>
      <w:sz w:val="24"/>
      <w:szCs w:val="20"/>
    </w:rPr>
  </w:style>
  <w:style w:type="paragraph" w:customStyle="1" w:styleId="89">
    <w:name w:val="样式 10 磅31114"/>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90">
    <w:name w:val="内容"/>
    <w:basedOn w:val="11"/>
    <w:qFormat/>
    <w:uiPriority w:val="0"/>
    <w:pPr>
      <w:spacing w:before="156" w:beforeLines="50" w:after="156" w:afterLines="50"/>
      <w:ind w:firstLine="200" w:firstLineChars="200"/>
    </w:pPr>
    <w:rPr>
      <w:rFonts w:cs="Times New Roman"/>
      <w:color w:val="000000"/>
      <w:sz w:val="24"/>
    </w:rPr>
  </w:style>
  <w:style w:type="paragraph" w:customStyle="1" w:styleId="91">
    <w:name w:val="p0"/>
    <w:basedOn w:val="1"/>
    <w:qFormat/>
    <w:uiPriority w:val="0"/>
    <w:pPr>
      <w:widowControl/>
    </w:pPr>
    <w:rPr>
      <w:kern w:val="0"/>
      <w:szCs w:val="21"/>
    </w:rPr>
  </w:style>
  <w:style w:type="paragraph" w:customStyle="1" w:styleId="92">
    <w:name w:val="【正文】"/>
    <w:basedOn w:val="1"/>
    <w:next w:val="1"/>
    <w:qFormat/>
    <w:uiPriority w:val="0"/>
    <w:pPr>
      <w:spacing w:line="440" w:lineRule="exact"/>
      <w:ind w:firstLine="544" w:firstLineChars="200"/>
    </w:pPr>
    <w:rPr>
      <w:rFonts w:cs="宋体"/>
      <w:sz w:val="24"/>
      <w:szCs w:val="20"/>
    </w:rPr>
  </w:style>
  <w:style w:type="paragraph" w:customStyle="1" w:styleId="93">
    <w:name w:val="【正文小四号】"/>
    <w:basedOn w:val="1"/>
    <w:qFormat/>
    <w:uiPriority w:val="0"/>
    <w:pPr>
      <w:spacing w:line="360" w:lineRule="auto"/>
      <w:ind w:firstLine="200" w:firstLineChars="200"/>
    </w:pPr>
    <w:rPr>
      <w:rFonts w:ascii="Times New Roman" w:hAnsi="Times New Roman"/>
      <w:kern w:val="0"/>
      <w:sz w:val="24"/>
      <w:szCs w:val="24"/>
    </w:rPr>
  </w:style>
  <w:style w:type="paragraph" w:customStyle="1" w:styleId="94">
    <w:name w:val="图片"/>
    <w:basedOn w:val="2"/>
    <w:next w:val="1"/>
    <w:qFormat/>
    <w:uiPriority w:val="0"/>
    <w:pPr>
      <w:spacing w:before="10" w:line="360" w:lineRule="auto"/>
      <w:ind w:firstLine="0" w:firstLineChars="0"/>
    </w:pPr>
    <w:rPr>
      <w:rFonts w:ascii="Times New Roman" w:hAnsi="Times New Roman" w:eastAsia="宋体"/>
    </w:rPr>
  </w:style>
  <w:style w:type="paragraph" w:customStyle="1" w:styleId="95">
    <w:name w:val="我的表格"/>
    <w:basedOn w:val="1"/>
    <w:next w:val="1"/>
    <w:qFormat/>
    <w:uiPriority w:val="0"/>
    <w:pPr>
      <w:adjustRightInd w:val="0"/>
      <w:snapToGrid w:val="0"/>
      <w:spacing w:before="10" w:beforeLines="10" w:after="10" w:afterLines="10" w:line="240" w:lineRule="atLeast"/>
      <w:jc w:val="center"/>
    </w:pPr>
    <w:rPr>
      <w:rFonts w:ascii="Times New Roman" w:hAnsi="Times New Roman" w:eastAsia="宋体"/>
      <w:kern w:val="0"/>
      <w:szCs w:val="20"/>
    </w:rPr>
  </w:style>
  <w:style w:type="paragraph" w:customStyle="1" w:styleId="96">
    <w:name w:val="正文格式"/>
    <w:basedOn w:val="1"/>
    <w:qFormat/>
    <w:uiPriority w:val="0"/>
    <w:pPr>
      <w:spacing w:line="360" w:lineRule="auto"/>
      <w:ind w:firstLine="482"/>
    </w:pPr>
    <w:rPr>
      <w:sz w:val="24"/>
    </w:rPr>
  </w:style>
  <w:style w:type="paragraph" w:customStyle="1" w:styleId="97">
    <w:name w:val="论文正文"/>
    <w:basedOn w:val="7"/>
    <w:qFormat/>
    <w:uiPriority w:val="0"/>
    <w:pPr>
      <w:ind w:firstLine="480" w:firstLineChars="200"/>
    </w:pPr>
    <w:rPr>
      <w:rFonts w:ascii="宋体" w:hAnsi="宋体"/>
      <w:sz w:val="28"/>
      <w:szCs w:val="24"/>
    </w:rPr>
  </w:style>
  <w:style w:type="paragraph" w:customStyle="1" w:styleId="98">
    <w:name w:val="通用正文"/>
    <w:basedOn w:val="99"/>
    <w:qFormat/>
    <w:uiPriority w:val="0"/>
    <w:pPr>
      <w:widowControl w:val="0"/>
      <w:wordWrap w:val="0"/>
      <w:topLinePunct/>
      <w:adjustRightInd/>
      <w:snapToGrid/>
      <w:spacing w:after="0" w:line="360" w:lineRule="auto"/>
      <w:ind w:left="0" w:firstLine="420" w:firstLineChars="200"/>
      <w:jc w:val="left"/>
    </w:pPr>
    <w:rPr>
      <w:rFonts w:ascii="Times New Roman" w:hAnsi="Times New Roman" w:eastAsia="宋体" w:cs="Times New Roman"/>
      <w:color w:val="000000"/>
      <w:kern w:val="2"/>
      <w:sz w:val="24"/>
      <w:szCs w:val="24"/>
      <w:lang w:val="en-US" w:bidi="ar-SA"/>
    </w:rPr>
  </w:style>
  <w:style w:type="paragraph" w:customStyle="1" w:styleId="99">
    <w:name w:val="00通用正文"/>
    <w:basedOn w:val="1"/>
    <w:qFormat/>
    <w:uiPriority w:val="0"/>
    <w:pPr>
      <w:widowControl w:val="0"/>
      <w:wordWrap w:val="0"/>
      <w:spacing w:after="0" w:line="360" w:lineRule="auto"/>
      <w:ind w:firstLine="420" w:firstLineChars="200"/>
      <w:jc w:val="left"/>
    </w:pPr>
    <w:rPr>
      <w:rFonts w:ascii="Times New Roman" w:hAnsi="Times New Roman" w:eastAsia="宋体" w:cs="Times New Roman"/>
      <w:color w:val="000000"/>
      <w:kern w:val="2"/>
      <w:sz w:val="24"/>
      <w:szCs w:val="24"/>
      <w:lang w:val="en-US" w:bidi="ar-SA"/>
    </w:rPr>
  </w:style>
  <w:style w:type="paragraph" w:customStyle="1" w:styleId="100">
    <w:name w:val="表格题目"/>
    <w:basedOn w:val="1"/>
    <w:qFormat/>
    <w:uiPriority w:val="0"/>
    <w:pPr>
      <w:spacing w:line="240" w:lineRule="atLeast"/>
      <w:ind w:firstLine="0" w:firstLineChars="0"/>
      <w:jc w:val="center"/>
    </w:pPr>
    <w:rPr>
      <w:rFonts w:ascii="黑体" w:hAnsi="宋体" w:eastAsia="黑体"/>
      <w:sz w:val="24"/>
    </w:rPr>
  </w:style>
  <w:style w:type="paragraph" w:customStyle="1" w:styleId="101">
    <w:name w:val="盂县"/>
    <w:basedOn w:val="1"/>
    <w:qFormat/>
    <w:uiPriority w:val="0"/>
    <w:pPr>
      <w:adjustRightInd w:val="0"/>
      <w:snapToGrid w:val="0"/>
      <w:spacing w:line="312" w:lineRule="auto"/>
      <w:ind w:firstLine="560" w:firstLineChars="200"/>
    </w:pPr>
    <w:rPr>
      <w:sz w:val="28"/>
    </w:rPr>
  </w:style>
  <w:style w:type="paragraph" w:customStyle="1" w:styleId="102">
    <w:name w:val="【表头】"/>
    <w:basedOn w:val="92"/>
    <w:next w:val="1"/>
    <w:qFormat/>
    <w:uiPriority w:val="0"/>
    <w:pPr>
      <w:spacing w:line="460" w:lineRule="exact"/>
      <w:jc w:val="center"/>
    </w:pPr>
    <w:rPr>
      <w:rFonts w:ascii="Calibri" w:hAnsi="Calibri" w:eastAsia="黑体" w:cs="宋体"/>
      <w:szCs w:val="22"/>
    </w:rPr>
  </w:style>
  <w:style w:type="paragraph" w:customStyle="1" w:styleId="103">
    <w:name w:val="表格字"/>
    <w:basedOn w:val="9"/>
    <w:autoRedefine/>
    <w:qFormat/>
    <w:uiPriority w:val="0"/>
  </w:style>
  <w:style w:type="paragraph" w:customStyle="1" w:styleId="104">
    <w:name w:val="样式 标题 1 + 首行缩进:  2 字符"/>
    <w:basedOn w:val="2"/>
    <w:qFormat/>
    <w:uiPriority w:val="0"/>
    <w:pPr>
      <w:ind w:firstLine="200" w:firstLineChars="200"/>
      <w:jc w:val="center"/>
    </w:pPr>
    <w:rPr>
      <w:rFonts w:cs="宋体"/>
      <w:szCs w:val="20"/>
    </w:rPr>
  </w:style>
  <w:style w:type="paragraph" w:customStyle="1" w:styleId="105">
    <w:name w:val="C【表中文字】-"/>
    <w:basedOn w:val="1"/>
    <w:qFormat/>
    <w:uiPriority w:val="0"/>
    <w:pPr>
      <w:adjustRightInd w:val="0"/>
      <w:snapToGrid w:val="0"/>
      <w:jc w:val="center"/>
    </w:pPr>
    <w:rPr>
      <w:kern w:val="0"/>
      <w:sz w:val="18"/>
      <w:szCs w:val="20"/>
    </w:rPr>
  </w:style>
  <w:style w:type="paragraph" w:customStyle="1" w:styleId="106">
    <w:name w:val="0"/>
    <w:basedOn w:val="1"/>
    <w:autoRedefine/>
    <w:qFormat/>
    <w:uiPriority w:val="99"/>
    <w:pPr>
      <w:widowControl/>
      <w:snapToGrid w:val="0"/>
      <w:jc w:val="left"/>
    </w:pPr>
    <w:rPr>
      <w:rFonts w:ascii="宋体"/>
      <w:kern w:val="0"/>
      <w:sz w:val="20"/>
    </w:rPr>
  </w:style>
  <w:style w:type="paragraph" w:customStyle="1" w:styleId="107">
    <w:name w:val="正文26-5.21"/>
    <w:basedOn w:val="1"/>
    <w:qFormat/>
    <w:uiPriority w:val="0"/>
    <w:pPr>
      <w:adjustRightInd w:val="0"/>
      <w:snapToGrid w:val="0"/>
      <w:spacing w:line="520" w:lineRule="exact"/>
      <w:ind w:firstLine="480" w:firstLineChars="200"/>
      <w:textAlignment w:val="baseline"/>
    </w:pPr>
    <w:rPr>
      <w:rFonts w:cs="宋体"/>
      <w:snapToGrid w:val="0"/>
      <w:sz w:val="24"/>
    </w:rPr>
  </w:style>
  <w:style w:type="paragraph" w:customStyle="1" w:styleId="108">
    <w:name w:val="正文缩进1"/>
    <w:basedOn w:val="1"/>
    <w:qFormat/>
    <w:uiPriority w:val="0"/>
    <w:pPr>
      <w:spacing w:line="520" w:lineRule="exact"/>
      <w:ind w:firstLine="624"/>
    </w:pPr>
    <w:rPr>
      <w:sz w:val="28"/>
    </w:rPr>
  </w:style>
  <w:style w:type="paragraph" w:customStyle="1" w:styleId="109">
    <w:name w:val="表体"/>
    <w:basedOn w:val="20"/>
    <w:next w:val="1"/>
    <w:qFormat/>
    <w:uiPriority w:val="0"/>
    <w:pPr>
      <w:spacing w:line="240" w:lineRule="auto"/>
      <w:ind w:left="0" w:leftChars="0" w:firstLine="0" w:firstLineChars="0"/>
      <w:jc w:val="center"/>
    </w:pPr>
    <w:rPr>
      <w:sz w:val="21"/>
      <w:szCs w:val="20"/>
    </w:rPr>
  </w:style>
  <w:style w:type="paragraph" w:customStyle="1" w:styleId="110">
    <w:name w:val="01通用正文"/>
    <w:basedOn w:val="99"/>
    <w:next w:val="99"/>
    <w:qFormat/>
    <w:uiPriority w:val="0"/>
    <w:pPr>
      <w:topLinePunct/>
      <w:spacing w:before="50" w:beforeLines="50"/>
    </w:pPr>
    <w:rPr>
      <w:rFonts w:hint="eastAsia"/>
    </w:rPr>
  </w:style>
  <w:style w:type="paragraph" w:customStyle="1" w:styleId="111">
    <w:name w:val="样式4"/>
    <w:basedOn w:val="112"/>
    <w:qFormat/>
    <w:uiPriority w:val="0"/>
    <w:pPr>
      <w:tabs>
        <w:tab w:val="right" w:leader="dot" w:pos="8607"/>
        <w:tab w:val="right" w:leader="dot" w:pos="8891"/>
      </w:tabs>
      <w:adjustRightInd w:val="0"/>
      <w:snapToGrid w:val="0"/>
      <w:jc w:val="center"/>
    </w:pPr>
  </w:style>
  <w:style w:type="paragraph" w:customStyle="1" w:styleId="112">
    <w:name w:val="样式1"/>
    <w:basedOn w:val="7"/>
    <w:qFormat/>
    <w:uiPriority w:val="0"/>
    <w:pPr>
      <w:tabs>
        <w:tab w:val="right" w:leader="dot" w:pos="8607"/>
        <w:tab w:val="right" w:leader="dot" w:pos="8891"/>
      </w:tabs>
      <w:spacing w:line="360" w:lineRule="auto"/>
      <w:ind w:left="0" w:leftChars="0" w:rightChars="0" w:firstLine="482" w:firstLineChars="200"/>
      <w:jc w:val="left"/>
    </w:pPr>
    <w:rPr>
      <w:kern w:val="0"/>
      <w:sz w:val="24"/>
      <w:szCs w:val="28"/>
    </w:rPr>
  </w:style>
  <w:style w:type="character" w:customStyle="1" w:styleId="113">
    <w:name w:val="样式3 Char"/>
    <w:link w:val="114"/>
    <w:qFormat/>
    <w:uiPriority w:val="0"/>
    <w:rPr>
      <w:rFonts w:ascii="Times New Roman" w:hAnsi="Times New Roman" w:eastAsia="宋体" w:cs="Times New Roman"/>
      <w:b/>
      <w:kern w:val="2"/>
      <w:sz w:val="21"/>
      <w:szCs w:val="28"/>
      <w:lang w:val="en-US" w:eastAsia="zh-CN" w:bidi="ar-SA"/>
    </w:rPr>
  </w:style>
  <w:style w:type="paragraph" w:customStyle="1" w:styleId="114">
    <w:name w:val="样式3"/>
    <w:link w:val="113"/>
    <w:qFormat/>
    <w:uiPriority w:val="0"/>
    <w:pPr>
      <w:widowControl w:val="0"/>
      <w:spacing w:before="10" w:beforeLines="10" w:line="360" w:lineRule="auto"/>
      <w:jc w:val="center"/>
    </w:pPr>
    <w:rPr>
      <w:rFonts w:ascii="Times New Roman" w:hAnsi="Times New Roman" w:eastAsia="宋体" w:cs="Times New Roman"/>
      <w:b/>
      <w:kern w:val="2"/>
      <w:sz w:val="21"/>
      <w:szCs w:val="28"/>
      <w:lang w:val="en-US" w:eastAsia="zh-CN" w:bidi="ar-SA"/>
    </w:rPr>
  </w:style>
  <w:style w:type="paragraph" w:customStyle="1" w:styleId="115">
    <w:name w:val="TOC Heading"/>
    <w:basedOn w:val="2"/>
    <w:next w:val="1"/>
    <w:qFormat/>
    <w:uiPriority w:val="39"/>
    <w:pPr>
      <w:widowControl/>
      <w:numPr>
        <w:ilvl w:val="0"/>
        <w:numId w:val="0"/>
      </w:numPr>
      <w:spacing w:before="480" w:after="0" w:line="276" w:lineRule="auto"/>
      <w:jc w:val="left"/>
      <w:outlineLvl w:val="9"/>
    </w:pPr>
    <w:rPr>
      <w:rFonts w:ascii="Cambria" w:hAnsi="Cambria" w:eastAsia="宋体"/>
      <w:color w:val="365F91"/>
      <w:kern w:val="0"/>
      <w:sz w:val="28"/>
      <w:szCs w:val="28"/>
    </w:rPr>
  </w:style>
  <w:style w:type="paragraph" w:customStyle="1" w:styleId="116">
    <w:name w:val="正文111"/>
    <w:basedOn w:val="1"/>
    <w:qFormat/>
    <w:uiPriority w:val="0"/>
    <w:pPr>
      <w:ind w:firstLine="480"/>
    </w:pPr>
    <w:rPr>
      <w:szCs w:val="24"/>
    </w:rPr>
  </w:style>
  <w:style w:type="paragraph" w:customStyle="1" w:styleId="117">
    <w:name w:val="正"/>
    <w:basedOn w:val="1"/>
    <w:qFormat/>
    <w:uiPriority w:val="0"/>
    <w:pPr>
      <w:spacing w:beforeLines="25" w:afterLines="25" w:line="440" w:lineRule="exact"/>
    </w:pPr>
    <w:rPr>
      <w:rFonts w:ascii="Calibri" w:hAnsi="Calibri" w:eastAsia="宋体"/>
      <w:szCs w:val="20"/>
    </w:rPr>
  </w:style>
  <w:style w:type="paragraph" w:customStyle="1" w:styleId="118">
    <w:name w:val="我的表头"/>
    <w:basedOn w:val="1"/>
    <w:qFormat/>
    <w:uiPriority w:val="0"/>
    <w:pPr>
      <w:spacing w:line="500" w:lineRule="exact"/>
      <w:jc w:val="both"/>
    </w:pPr>
    <w:rPr>
      <w:rFonts w:cs="Times New Roman"/>
      <w:b/>
      <w:sz w:val="24"/>
      <w:szCs w:val="24"/>
    </w:rPr>
  </w:style>
  <w:style w:type="paragraph" w:customStyle="1" w:styleId="119">
    <w:name w:val="表格内容居中"/>
    <w:basedOn w:val="1"/>
    <w:qFormat/>
    <w:uiPriority w:val="0"/>
    <w:pPr>
      <w:ind w:firstLine="0" w:firstLineChars="0"/>
      <w:jc w:val="center"/>
    </w:pPr>
    <w:rPr>
      <w:kern w:val="0"/>
      <w:szCs w:val="20"/>
    </w:rPr>
  </w:style>
  <w:style w:type="paragraph" w:customStyle="1" w:styleId="120">
    <w:name w:val="表格内正文"/>
    <w:basedOn w:val="1"/>
    <w:qFormat/>
    <w:uiPriority w:val="0"/>
    <w:pPr>
      <w:spacing w:line="360" w:lineRule="auto"/>
      <w:jc w:val="center"/>
    </w:pPr>
    <w:rPr>
      <w:rFonts w:eastAsia="宋体"/>
      <w:sz w:val="21"/>
      <w:szCs w:val="24"/>
    </w:rPr>
  </w:style>
  <w:style w:type="paragraph" w:customStyle="1" w:styleId="121">
    <w:name w:val="正文样式"/>
    <w:basedOn w:val="1"/>
    <w:qFormat/>
    <w:uiPriority w:val="0"/>
    <w:pPr>
      <w:spacing w:line="460" w:lineRule="exact"/>
    </w:pPr>
    <w:rPr>
      <w:rFonts w:ascii="宋体" w:hAnsi="宋体" w:eastAsia="宋体"/>
      <w:szCs w:val="24"/>
    </w:rPr>
  </w:style>
</w:styles>
</file>

<file path=word/_rels/document.xml.rels><?xml version="1.0" encoding="UTF-8" standalone="yes"?>
<Relationships xmlns="http://schemas.openxmlformats.org/package/2006/relationships"><Relationship Id="rId9" Type="http://schemas.openxmlformats.org/officeDocument/2006/relationships/header" Target="header1.xml"/><Relationship Id="rId89" Type="http://schemas.openxmlformats.org/officeDocument/2006/relationships/fontTable" Target="fontTable.xml"/><Relationship Id="rId88" Type="http://schemas.openxmlformats.org/officeDocument/2006/relationships/customXml" Target="../customXml/item2.xml"/><Relationship Id="rId87" Type="http://schemas.openxmlformats.org/officeDocument/2006/relationships/numbering" Target="numbering.xml"/><Relationship Id="rId86" Type="http://schemas.openxmlformats.org/officeDocument/2006/relationships/customXml" Target="../customXml/item1.xml"/><Relationship Id="rId85" Type="http://schemas.openxmlformats.org/officeDocument/2006/relationships/image" Target="media/image59.png"/><Relationship Id="rId84" Type="http://schemas.openxmlformats.org/officeDocument/2006/relationships/image" Target="media/image58.jpeg"/><Relationship Id="rId83" Type="http://schemas.openxmlformats.org/officeDocument/2006/relationships/image" Target="media/image57.png"/><Relationship Id="rId82" Type="http://schemas.openxmlformats.org/officeDocument/2006/relationships/oleObject" Target="embeddings/oleObject9.bin"/><Relationship Id="rId81" Type="http://schemas.openxmlformats.org/officeDocument/2006/relationships/oleObject" Target="embeddings/oleObject8.bin"/><Relationship Id="rId80" Type="http://schemas.openxmlformats.org/officeDocument/2006/relationships/image" Target="media/image56.png"/><Relationship Id="rId8" Type="http://schemas.openxmlformats.org/officeDocument/2006/relationships/footer" Target="footer6.xml"/><Relationship Id="rId79" Type="http://schemas.openxmlformats.org/officeDocument/2006/relationships/image" Target="media/image55.wmf"/><Relationship Id="rId78" Type="http://schemas.openxmlformats.org/officeDocument/2006/relationships/oleObject" Target="embeddings/oleObject7.bin"/><Relationship Id="rId77" Type="http://schemas.openxmlformats.org/officeDocument/2006/relationships/image" Target="media/image54.jpeg"/><Relationship Id="rId76" Type="http://schemas.openxmlformats.org/officeDocument/2006/relationships/image" Target="media/image53.wmf"/><Relationship Id="rId75" Type="http://schemas.openxmlformats.org/officeDocument/2006/relationships/image" Target="media/image52.png"/><Relationship Id="rId74" Type="http://schemas.openxmlformats.org/officeDocument/2006/relationships/image" Target="media/image51.png"/><Relationship Id="rId73" Type="http://schemas.openxmlformats.org/officeDocument/2006/relationships/image" Target="media/image50.png"/><Relationship Id="rId72" Type="http://schemas.openxmlformats.org/officeDocument/2006/relationships/image" Target="media/image49.png"/><Relationship Id="rId71" Type="http://schemas.openxmlformats.org/officeDocument/2006/relationships/image" Target="media/image48.png"/><Relationship Id="rId70" Type="http://schemas.openxmlformats.org/officeDocument/2006/relationships/image" Target="media/image47.png"/><Relationship Id="rId7" Type="http://schemas.openxmlformats.org/officeDocument/2006/relationships/footer" Target="footer5.xml"/><Relationship Id="rId69" Type="http://schemas.openxmlformats.org/officeDocument/2006/relationships/image" Target="media/image46.png"/><Relationship Id="rId68" Type="http://schemas.openxmlformats.org/officeDocument/2006/relationships/image" Target="media/image45.png"/><Relationship Id="rId67" Type="http://schemas.openxmlformats.org/officeDocument/2006/relationships/image" Target="media/image44.png"/><Relationship Id="rId66" Type="http://schemas.openxmlformats.org/officeDocument/2006/relationships/image" Target="media/image43.png"/><Relationship Id="rId65" Type="http://schemas.openxmlformats.org/officeDocument/2006/relationships/image" Target="media/image42.png"/><Relationship Id="rId64" Type="http://schemas.openxmlformats.org/officeDocument/2006/relationships/image" Target="media/image41.png"/><Relationship Id="rId63" Type="http://schemas.openxmlformats.org/officeDocument/2006/relationships/image" Target="media/image40.png"/><Relationship Id="rId62" Type="http://schemas.openxmlformats.org/officeDocument/2006/relationships/image" Target="media/image39.png"/><Relationship Id="rId61" Type="http://schemas.openxmlformats.org/officeDocument/2006/relationships/image" Target="media/image38.png"/><Relationship Id="rId60" Type="http://schemas.openxmlformats.org/officeDocument/2006/relationships/image" Target="media/image37.png"/><Relationship Id="rId6" Type="http://schemas.openxmlformats.org/officeDocument/2006/relationships/footer" Target="footer4.xml"/><Relationship Id="rId59" Type="http://schemas.openxmlformats.org/officeDocument/2006/relationships/image" Target="media/image36.png"/><Relationship Id="rId58" Type="http://schemas.openxmlformats.org/officeDocument/2006/relationships/image" Target="media/image35.png"/><Relationship Id="rId57" Type="http://schemas.openxmlformats.org/officeDocument/2006/relationships/image" Target="media/image34.png"/><Relationship Id="rId56" Type="http://schemas.openxmlformats.org/officeDocument/2006/relationships/image" Target="media/image33.png"/><Relationship Id="rId55" Type="http://schemas.openxmlformats.org/officeDocument/2006/relationships/image" Target="media/image32.png"/><Relationship Id="rId54" Type="http://schemas.openxmlformats.org/officeDocument/2006/relationships/image" Target="media/image31.png"/><Relationship Id="rId53" Type="http://schemas.openxmlformats.org/officeDocument/2006/relationships/image" Target="media/image30.png"/><Relationship Id="rId52" Type="http://schemas.openxmlformats.org/officeDocument/2006/relationships/image" Target="media/image29.png"/><Relationship Id="rId51" Type="http://schemas.openxmlformats.org/officeDocument/2006/relationships/image" Target="media/image28.png"/><Relationship Id="rId50" Type="http://schemas.openxmlformats.org/officeDocument/2006/relationships/image" Target="media/image27.png"/><Relationship Id="rId5" Type="http://schemas.openxmlformats.org/officeDocument/2006/relationships/footer" Target="footer3.xml"/><Relationship Id="rId49" Type="http://schemas.openxmlformats.org/officeDocument/2006/relationships/image" Target="media/image26.jpeg"/><Relationship Id="rId48" Type="http://schemas.openxmlformats.org/officeDocument/2006/relationships/image" Target="media/image25.png"/><Relationship Id="rId47" Type="http://schemas.openxmlformats.org/officeDocument/2006/relationships/image" Target="media/image24.jpeg"/><Relationship Id="rId46" Type="http://schemas.openxmlformats.org/officeDocument/2006/relationships/image" Target="media/image23.png"/><Relationship Id="rId45" Type="http://schemas.openxmlformats.org/officeDocument/2006/relationships/image" Target="media/image22.png"/><Relationship Id="rId44" Type="http://schemas.openxmlformats.org/officeDocument/2006/relationships/image" Target="media/image21.png"/><Relationship Id="rId43" Type="http://schemas.openxmlformats.org/officeDocument/2006/relationships/image" Target="media/image20.png"/><Relationship Id="rId42" Type="http://schemas.openxmlformats.org/officeDocument/2006/relationships/image" Target="media/image19.png"/><Relationship Id="rId41" Type="http://schemas.openxmlformats.org/officeDocument/2006/relationships/image" Target="media/image18.png"/><Relationship Id="rId40" Type="http://schemas.openxmlformats.org/officeDocument/2006/relationships/image" Target="media/image17.png"/><Relationship Id="rId4" Type="http://schemas.openxmlformats.org/officeDocument/2006/relationships/footer" Target="footer2.xml"/><Relationship Id="rId39" Type="http://schemas.openxmlformats.org/officeDocument/2006/relationships/image" Target="media/image16.png"/><Relationship Id="rId38" Type="http://schemas.openxmlformats.org/officeDocument/2006/relationships/image" Target="media/image15.wmf"/><Relationship Id="rId37" Type="http://schemas.openxmlformats.org/officeDocument/2006/relationships/oleObject" Target="embeddings/oleObject6.bin"/><Relationship Id="rId36" Type="http://schemas.openxmlformats.org/officeDocument/2006/relationships/image" Target="media/image14.png"/><Relationship Id="rId35" Type="http://schemas.openxmlformats.org/officeDocument/2006/relationships/image" Target="media/image13.wmf"/><Relationship Id="rId34" Type="http://schemas.openxmlformats.org/officeDocument/2006/relationships/oleObject" Target="embeddings/oleObject5.bin"/><Relationship Id="rId33" Type="http://schemas.openxmlformats.org/officeDocument/2006/relationships/image" Target="media/image12.wmf"/><Relationship Id="rId32" Type="http://schemas.openxmlformats.org/officeDocument/2006/relationships/oleObject" Target="embeddings/oleObject4.bin"/><Relationship Id="rId31" Type="http://schemas.openxmlformats.org/officeDocument/2006/relationships/image" Target="media/image11.wmf"/><Relationship Id="rId30" Type="http://schemas.openxmlformats.org/officeDocument/2006/relationships/oleObject" Target="embeddings/oleObject3.bin"/><Relationship Id="rId3" Type="http://schemas.openxmlformats.org/officeDocument/2006/relationships/footer" Target="footer1.xml"/><Relationship Id="rId29" Type="http://schemas.openxmlformats.org/officeDocument/2006/relationships/image" Target="media/image10.wmf"/><Relationship Id="rId28" Type="http://schemas.openxmlformats.org/officeDocument/2006/relationships/oleObject" Target="embeddings/oleObject2.bin"/><Relationship Id="rId27" Type="http://schemas.openxmlformats.org/officeDocument/2006/relationships/image" Target="media/image9.wmf"/><Relationship Id="rId26" Type="http://schemas.openxmlformats.org/officeDocument/2006/relationships/oleObject" Target="embeddings/oleObject1.bin"/><Relationship Id="rId25" Type="http://schemas.openxmlformats.org/officeDocument/2006/relationships/image" Target="media/image8.png"/><Relationship Id="rId24" Type="http://schemas.openxmlformats.org/officeDocument/2006/relationships/image" Target="media/image7.png"/><Relationship Id="rId23" Type="http://schemas.openxmlformats.org/officeDocument/2006/relationships/image" Target="media/image6.jpeg"/><Relationship Id="rId22" Type="http://schemas.openxmlformats.org/officeDocument/2006/relationships/image" Target="media/image5.jpeg"/><Relationship Id="rId21" Type="http://schemas.openxmlformats.org/officeDocument/2006/relationships/image" Target="media/image4.jpe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png"/><Relationship Id="rId18" Type="http://schemas.openxmlformats.org/officeDocument/2006/relationships/theme" Target="theme/theme1.xml"/><Relationship Id="rId17" Type="http://schemas.openxmlformats.org/officeDocument/2006/relationships/header" Target="header4.xml"/><Relationship Id="rId16" Type="http://schemas.openxmlformats.org/officeDocument/2006/relationships/footer" Target="footer11.xml"/><Relationship Id="rId15" Type="http://schemas.openxmlformats.org/officeDocument/2006/relationships/footer" Target="footer10.xml"/><Relationship Id="rId14" Type="http://schemas.openxmlformats.org/officeDocument/2006/relationships/footer" Target="footer9.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header" Target="header3.xml"/><Relationship Id="rId10" Type="http://schemas.openxmlformats.org/officeDocument/2006/relationships/header" Target="header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footer7.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d1d42cdd-3273-4f48-a8bc-32f1bfff3752</errorID>
      <errorWord>二○二六</errorWord>
      <group>L1_Knowledge</group>
      <groupName>知识性问题</groupName>
      <ability>L2_Knowledge</ability>
      <abilityName>其他知识</abilityName>
      <candidateList>
        <item>二〇二六</item>
      </candidateList>
      <explain/>
      <paraID>169FF5EF</paraID>
      <start>5</start>
      <end>9</end>
      <status>unmodified</status>
      <modifiedWord/>
      <trackRevisions>false</trackRevisions>
    </reviewItem>
    <reviewItem>
      <errorID>521af27b-8eb4-4149-8d35-6608708706c4</errorID>
      <errorWord>‘</errorWord>
      <group>L1_Punc</group>
      <groupName>标点问题</groupName>
      <ability>L2_Punc</ability>
      <abilityName>标点符号检查</abilityName>
      <candidateList>
        <item/>
      </candidateList>
      <explain/>
      <paraID>1762A1F0</paraID>
      <start>2</start>
      <end>3</end>
      <status>unmodified</status>
      <modifiedWord/>
      <trackRevisions>false</trackRevisions>
    </reviewItem>
    <reviewItem>
      <errorID>c08714b9-10c3-4dda-b4a5-aa93aa1d03f4</errorID>
      <errorWord>：</errorWord>
      <group>L1_Format</group>
      <groupName>格式问题</groupName>
      <ability>L2_HalfPunc</ability>
      <abilityName>全半角检查</abilityName>
      <candidateList>
        <item>:</item>
      </candidateList>
      <explain>文本全半角错误。</explain>
      <paraID>1762A1F0</paraID>
      <start>13</start>
      <end>14</end>
      <status>unmodified</status>
      <modifiedWord/>
      <trackRevisions>false</trackRevisions>
    </reviewItem>
    <reviewItem>
      <errorID>33a92056-3ddc-47e0-875c-856a7c875e70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2808ADCE</paraID>
      <start>7</start>
      <end>8</end>
      <status>unmodified</status>
      <modifiedWord/>
      <trackRevisions>false</trackRevisions>
    </reviewItem>
    <reviewItem>
      <errorID>d2ee25d4-4157-4514-bfc4-295721186219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59E9DCC7</paraID>
      <start>0</start>
      <end>2</end>
      <status>unmodified</status>
      <modifiedWord/>
      <trackRevisions>false</trackRevisions>
    </reviewItem>
    <reviewItem>
      <errorID>53a4c2c9-75fc-4cfa-bcb8-8fa61a003352</errorID>
      <errorWord>、</errorWord>
      <group>L1_Punc</group>
      <groupName>标点问题</groupName>
      <ability>L2_Punc</ability>
      <abilityName>标点符号检查</abilityName>
      <candidateList>
        <item>；</item>
      </candidateList>
      <explain/>
      <paraID>2DB5BBEF</paraID>
      <start>10</start>
      <end>11</end>
      <status>unmodified</status>
      <modifiedWord/>
      <trackRevisions>false</trackRevisions>
    </reviewItem>
    <reviewItem>
      <errorID>1c543e9b-90fa-4982-b34e-d4aa34120b3c</errorID>
      <errorWord>、</errorWord>
      <group>L1_Punc</group>
      <groupName>标点问题</groupName>
      <ability>L2_Punc</ability>
      <abilityName>标点符号检查</abilityName>
      <candidateList>
        <item>；</item>
      </candidateList>
      <explain/>
      <paraID>2DB5BBEF</paraID>
      <start>21</start>
      <end>22</end>
      <status>unmodified</status>
      <modifiedWord/>
      <trackRevisions>false</trackRevisions>
    </reviewItem>
    <reviewItem>
      <errorID>a68e7705-e993-4693-add0-f9878cdf83d7</errorID>
      <errorWord>、</errorWord>
      <group>L1_Punc</group>
      <groupName>标点问题</groupName>
      <ability>L2_Punc</ability>
      <abilityName>标点符号检查</abilityName>
      <candidateList>
        <item>；</item>
      </candidateList>
      <explain/>
      <paraID>2DB5BBEF</paraID>
      <start>30</start>
      <end>31</end>
      <status>unmodified</status>
      <modifiedWord/>
      <trackRevisions>false</trackRevisions>
    </reviewItem>
    <reviewItem>
      <errorID>1ccfff81-9a64-45a7-a86c-1db6bdd66db2</errorID>
      <errorWord>①</errorWord>
      <group>L1_Punc</group>
      <groupName>标点问题</groupName>
      <ability>L2_Punc</ability>
      <abilityName>标点符号检查</abilityName>
      <candidateList>
        <item>：①</item>
      </candidateList>
      <explain/>
      <paraID>2DB5BBEF</paraID>
      <start>41</start>
      <end>42</end>
      <status>unmodified</status>
      <modifiedWord/>
      <trackRevisions>false</trackRevisions>
    </reviewItem>
    <reviewItem>
      <errorID>294b8704-1dfa-432b-bc3b-82a731dd55a5</errorID>
      <errorWord>②</errorWord>
      <group>L1_Punc</group>
      <groupName>标点问题</groupName>
      <ability>L2_Punc</ability>
      <abilityName>标点符号检查</abilityName>
      <candidateList>
        <item>；②</item>
      </candidateList>
      <explain/>
      <paraID>2DB5BBEF</paraID>
      <start>49</start>
      <end>50</end>
      <status>unmodified</status>
      <modifiedWord/>
      <trackRevisions>false</trackRevisions>
    </reviewItem>
    <reviewItem>
      <errorID>70c24bee-b6e1-48d0-8d16-ec87b39735aa</errorID>
      <errorWord>③</errorWord>
      <group>L1_Punc</group>
      <groupName>标点问题</groupName>
      <ability>L2_Punc</ability>
      <abilityName>标点符号检查</abilityName>
      <candidateList>
        <item>；③</item>
      </candidateList>
      <explain/>
      <paraID>2DB5BBEF</paraID>
      <start>57</start>
      <end>58</end>
      <status>unmodified</status>
      <modifiedWord/>
      <trackRevisions>false</trackRevisions>
    </reviewItem>
    <reviewItem>
      <errorID>8dab6c55-5fa5-4f76-8c39-25d6115d71f2</errorID>
      <errorWord>、</errorWord>
      <group>L1_Punc</group>
      <groupName>标点问题</groupName>
      <ability>L2_Punc</ability>
      <abilityName>标点符号检查</abilityName>
      <candidateList>
        <item>；</item>
      </candidateList>
      <explain/>
      <paraID>2DB5BBEF</paraID>
      <start>65</start>
      <end>66</end>
      <status>unmodified</status>
      <modifiedWord/>
      <trackRevisions>false</trackRevisions>
    </reviewItem>
    <reviewItem>
      <errorID>c663ba2c-0918-4f87-8144-c3198e20f9e4</errorID>
      <errorWord>、</errorWord>
      <group>L1_Punc</group>
      <groupName>标点问题</groupName>
      <ability>L2_Punc</ability>
      <abilityName>标点符号检查</abilityName>
      <candidateList>
        <item>；</item>
      </candidateList>
      <explain/>
      <paraID>2DB5BBEF</paraID>
      <start>74</start>
      <end>75</end>
      <status>unmodified</status>
      <modifiedWord/>
      <trackRevisions>false</trackRevisions>
    </reviewItem>
    <reviewItem>
      <errorID>e7dba63e-aae1-4f8c-8cbd-0b84bbd3e8db</errorID>
      <errorWord>、</errorWord>
      <group>L1_Punc</group>
      <groupName>标点问题</groupName>
      <ability>L2_Punc</ability>
      <abilityName>标点符号检查</abilityName>
      <candidateList>
        <item>；</item>
      </candidateList>
      <explain/>
      <paraID>2DB5BBEF</paraID>
      <start>83</start>
      <end>84</end>
      <status>unmodified</status>
      <modifiedWord/>
      <trackRevisions>false</trackRevisions>
    </reviewItem>
    <reviewItem>
      <errorID>8b143244-4d7e-421f-a446-0df593076b1a</errorID>
      <errorWord>黑龙江桦川经济技术开发区</errorWord>
      <group>L1_Other</group>
      <groupName>其他问题</groupName>
      <ability>L2_Consistency</ability>
      <abilityName>一致性检查</abilityName>
      <candidateList>
        <item>黑龙江桦川经济开发区</item>
      </candidateList>
      <explain>实体一致性：在文档中，该开发区的规范表述为‘黑龙江桦川经济开发区’，‘黑龙江桦川经济技术开发区’的表述与之不一致</explain>
      <paraID>37D57A52</paraID>
      <start>5</start>
      <end>17</end>
      <status>unmodified</status>
      <modifiedWord/>
      <trackRevisions>false</trackRevisions>
    </reviewItem>
    <reviewItem>
      <errorID>497fc5d7-e689-4aec-a348-0eff6d2d9bea</errorID>
      <errorWord>黑龙江桦川经济技术开发区</errorWord>
      <group>L1_Other</group>
      <groupName>其他问题</groupName>
      <ability>L2_Consistency</ability>
      <abilityName>一致性检查</abilityName>
      <candidateList>
        <item>黑龙江桦川经济开发区</item>
      </candidateList>
      <explain>实体一致性：在文档中，该开发区的规范表述为‘黑龙江桦川经济开发区’，‘黑龙江桦川经济技术开发区’的表述与之不一致</explain>
      <paraID>37D57A52</paraID>
      <start>82</start>
      <end>94</end>
      <status>unmodified</status>
      <modifiedWord/>
      <trackRevisions>false</trackRevisions>
    </reviewItem>
    <reviewItem>
      <errorID>f63f8f4f-bc08-4aca-b12d-1cf1c913075d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79500909</paraID>
      <start>0</start>
      <end>2</end>
      <status>unmodified</status>
      <modifiedWord/>
      <trackRevisions>false</trackRevisions>
    </reviewItem>
    <reviewItem>
      <errorID>acc8e03f-1d96-4c3f-9ccb-ad892dccea48</errorID>
      <errorWord>年前</errorWord>
      <group>L1_Word</group>
      <groupName>字词问题</groupName>
      <ability>L2_Typo</ability>
      <abilityName>字词错误</abilityName>
      <candidateList>
        <item>年</item>
      </candidateList>
      <explain/>
      <paraID>3DABF6E7</paraID>
      <start>81</start>
      <end>83</end>
      <status>unmodified</status>
      <modifiedWord/>
      <trackRevisions>false</trackRevisions>
    </reviewItem>
    <reviewItem>
      <errorID>950bb728-1292-442c-8998-d2a7c6133b7a</errorID>
      <errorWord>企业污水管网全部覆盖</errorWord>
      <group>L1_Grammar</group>
      <groupName>语法问题</groupName>
      <ability>L2_Grammar</ability>
      <abilityName>语法错误</abilityName>
      <candidateList>
        <item>企业</item>
      </candidateList>
      <explain/>
      <paraID>3DABF6E7</paraID>
      <start>98</start>
      <end>108</end>
      <status>unmodified</status>
      <modifiedWord/>
      <trackRevisions>false</trackRevisions>
    </reviewItem>
    <reviewItem>
      <errorID>d3311711-a9bc-4408-b4a9-ea306c9a205c</errorID>
      <errorWord>5MV</errorWord>
      <group>L1_Word</group>
      <groupName>字词问题</groupName>
      <ability>L2_Typo</ability>
      <abilityName>字词错误</abilityName>
      <candidateList>
        <item>5MVA</item>
      </candidateList>
      <explain/>
      <paraID>6FB2C559</paraID>
      <start>97</start>
      <end>100</end>
      <status>unmodified</status>
      <modifiedWord/>
      <trackRevisions>false</trackRevisions>
    </reviewItem>
    <reviewItem>
      <errorID>12a8a630-b2a2-45f1-9093-4adc87866230</errorID>
      <errorWord>使之</errorWord>
      <group>L1_Word</group>
      <groupName>字词问题</groupName>
      <ability>L2_Typo</ability>
      <abilityName>字词错误</abilityName>
      <candidateList>
        <item>使</item>
      </candidateList>
      <explain>奉使命办事的人：～节｜大～｜公～｜特～｜学～（科举时代派到各省去主持考试的官员）。</explain>
      <paraID>6FB2C559</paraID>
      <start>137</start>
      <end>139</end>
      <status>unmodified</status>
      <modifiedWord/>
      <trackRevisions>false</trackRevisions>
    </reviewItem>
    <reviewItem>
      <errorID>1226ef10-6dd5-4564-9061-fa9f03474226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54886493</paraID>
      <start>0</start>
      <end>2</end>
      <status>unmodified</status>
      <modifiedWord/>
      <trackRevisions>false</trackRevisions>
    </reviewItem>
    <reviewItem>
      <errorID>a75078a2-f67f-40d0-8f5b-e3107767c9e7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6BE21A31</paraID>
      <start>0</start>
      <end>2</end>
      <status>unmodified</status>
      <modifiedWord/>
      <trackRevisions>false</trackRevisions>
    </reviewItem>
    <reviewItem>
      <errorID>15c6743c-05df-4c9c-b1d7-fc9d9d61dc8c</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6BE21A31</paraID>
      <start>27</start>
      <end>30</end>
      <status>unmodified</status>
      <modifiedWord/>
      <trackRevisions>false</trackRevisions>
    </reviewItem>
    <reviewItem>
      <errorID>8b3e85d0-98e4-4e9c-a00b-316362b85853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690C037E</paraID>
      <start>0</start>
      <end>2</end>
      <status>unmodified</status>
      <modifiedWord/>
      <trackRevisions>false</trackRevisions>
    </reviewItem>
    <reviewItem>
      <errorID>7d624526-8765-43f9-84ad-5ca821e4d098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C10871B</paraID>
      <start>0</start>
      <end>2</end>
      <status>unmodified</status>
      <modifiedWord/>
      <trackRevisions>false</trackRevisions>
    </reviewItem>
    <reviewItem>
      <errorID>060951f7-392b-4fbf-b071-98acc40dd09c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630E7702</paraID>
      <start>0</start>
      <end>2</end>
      <status>unmodified</status>
      <modifiedWord/>
      <trackRevisions>false</trackRevisions>
    </reviewItem>
    <reviewItem>
      <errorID>a0b8cdcb-8fcb-4be5-90c5-4ba06b941af0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122C41B0</paraID>
      <start>0</start>
      <end>2</end>
      <status>unmodified</status>
      <modifiedWord/>
      <trackRevisions>false</trackRevisions>
    </reviewItem>
    <reviewItem>
      <errorID>1b4e390a-29d0-4c50-ac6e-97bb8aa6fed9</errorID>
      <errorWord>&lt;</errorWord>
      <group>L1_Format</group>
      <groupName>格式问题</groupName>
      <ability>L2_HalfPunc</ability>
      <abilityName>全半角检查</abilityName>
      <candidateList>
        <item>〈</item>
      </candidateList>
      <explain>文本全半角错误。</explain>
      <paraID>122C41B0</paraID>
      <start>70</start>
      <end>71</end>
      <status>unmodified</status>
      <modifiedWord/>
      <trackRevisions>false</trackRevisions>
    </reviewItem>
    <reviewItem>
      <errorID>37338c30-d205-4907-b4b2-0de38ac7f537</errorID>
      <errorWord>&gt;的通知》</errorWord>
      <group>L1_Punc</group>
      <groupName>标点问题</groupName>
      <ability>L2_Punc</ability>
      <abilityName>标点符号检查</abilityName>
      <candidateList>
        <item>〉的通知》</item>
      </candidateList>
      <explain/>
      <paraID>122C41B0</paraID>
      <start>82</start>
      <end>87</end>
      <status>unmodified</status>
      <modifiedWord/>
      <trackRevisions>false</trackRevisions>
    </reviewItem>
    <reviewItem>
      <errorID>b8d027b9-fd2e-47c5-9471-f568daddcb63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7632CC62</paraID>
      <start>0</start>
      <end>2</end>
      <status>unmodified</status>
      <modifiedWord/>
      <trackRevisions>false</trackRevisions>
    </reviewItem>
    <reviewItem>
      <errorID>7413463b-b837-4809-8e05-d63a0156f7fe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6C2D82FF</paraID>
      <start>0</start>
      <end>2</end>
      <status>unmodified</status>
      <modifiedWord/>
      <trackRevisions>false</trackRevisions>
    </reviewItem>
    <reviewItem>
      <errorID>871801b8-61e6-4fcd-9486-f06081c9500c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2E60726C</paraID>
      <start>0</start>
      <end>2</end>
      <status>unmodified</status>
      <modifiedWord/>
      <trackRevisions>false</trackRevisions>
    </reviewItem>
    <reviewItem>
      <errorID>7e2c2296-8e2d-4280-b911-c9d64b2b5d83</errorID>
      <errorWord>后满足</errorWord>
      <group>L1_Grammar</group>
      <groupName>语法问题</groupName>
      <ability>L2_Grammar</ability>
      <abilityName>语法错误</abilityName>
      <candidateList>
        <item>后</item>
      </candidateList>
      <explain/>
      <paraID> E32C2B8</paraID>
      <start>68</start>
      <end>71</end>
      <status>unmodified</status>
      <modifiedWord/>
      <trackRevisions>false</trackRevisions>
    </reviewItem>
    <reviewItem>
      <errorID>7f571914-40bc-4047-bf1d-803dae6e3d87</errorID>
      <errorWord>水质</errorWord>
      <group>L1_Punc</group>
      <groupName>标点问题</groupName>
      <ability>L2_Punc</ability>
      <abilityName>标点符号检查</abilityName>
      <candidateList>
        <item>，水质</item>
      </candidateList>
      <explain/>
      <paraID>359F93A5</paraID>
      <start>23</start>
      <end>25</end>
      <status>unmodified</status>
      <modifiedWord/>
      <trackRevisions>false</trackRevisions>
    </reviewItem>
    <reviewItem>
      <errorID>320b1e86-b213-4d8f-8416-09512a3a18d7</errorID>
      <errorWord>后</errorWord>
      <group>L1_Word</group>
      <groupName>字词问题</groupName>
      <ability>L2_Typo</ability>
      <abilityName>字词错误</abilityName>
      <candidateList>
        <item>，</item>
      </candidateList>
      <explain/>
      <paraID>359F93A5</paraID>
      <start>69</start>
      <end>70</end>
      <status>unmodified</status>
      <modifiedWord/>
      <trackRevisions>false</trackRevisions>
    </reviewItem>
    <reviewItem>
      <errorID>cf1a3255-8347-42af-993b-1a27ec682873</errorID>
      <errorWord>角</errorWord>
      <group>L1_Word</group>
      <groupName>字词问题</groupName>
      <ability>L2_Typo</ability>
      <abilityName>字词错误</abilityName>
      <candidateList>
        <item>焦</item>
      </candidateList>
      <explain>存在发音相同字词的误用。</explain>
      <paraID>68E4B004</paraID>
      <start>6</start>
      <end>7</end>
      <status>unmodified</status>
      <modifiedWord/>
      <trackRevisions>false</trackRevisions>
    </reviewItem>
    <reviewItem>
      <errorID>585f271e-bfe7-4f50-8a76-9f35766ad02f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4BDD615C</paraID>
      <start>0</start>
      <end>2</end>
      <status>unmodified</status>
      <modifiedWord/>
      <trackRevisions>false</trackRevisions>
    </reviewItem>
    <reviewItem>
      <errorID>29dcaa9e-69a3-4eb5-a6e1-0433a6d19962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761204D2</paraID>
      <start>0</start>
      <end>2</end>
      <status>unmodified</status>
      <modifiedWord/>
      <trackRevisions>false</trackRevisions>
    </reviewItem>
    <reviewItem>
      <errorID>a87516e1-2716-4551-b797-e664708eceb1</errorID>
      <errorWord>生物多样性维护</errorWord>
      <group>L1_Political</group>
      <groupName>政治性问题</groupName>
      <ability>L2_Keyword</ability>
      <abilityName>固定表述</abilityName>
      <candidateList>
        <item>生物多样性保护</item>
      </candidateList>
      <explain>词汇“生物多样性保护”在特定场景下为固定表述形式，请确认此处的“生物多样性维护”是否存在不当。</explain>
      <paraID>5EC67C3E</paraID>
      <start>82</start>
      <end>89</end>
      <status>modified</status>
      <modifiedWord>生物多样性保护</modifiedWord>
      <trackRevisions>false</trackRevisions>
    </reviewItem>
    <reviewItem>
      <errorID>fefa60c1-4df2-45b1-993e-d8730da2e98a</errorID>
      <errorWord>石蜡油</errorWord>
      <group>L1_Knowledge</group>
      <groupName>知识性问题</groupName>
      <ability>L2_Term</ability>
      <abilityName>专业术语</abilityName>
      <candidateList>
        <item>液状石蜡</item>
      </candidateList>
      <explain>医学名词[石蜡油]为不规范表述或旧称，其规范书面表述为[液状石蜡]。</explain>
      <paraID>6D7DD546</paraID>
      <start>46</start>
      <end>49</end>
      <status>unmodified</status>
      <modifiedWord/>
      <trackRevisions>false</trackRevisions>
    </reviewItem>
    <reviewItem>
      <errorID>104b4a6c-38f4-43bf-9cc3-255374553250</errorID>
      <errorWord>石蜡油</errorWord>
      <group>L1_Knowledge</group>
      <groupName>知识性问题</groupName>
      <ability>L2_Term</ability>
      <abilityName>专业术语</abilityName>
      <candidateList>
        <item>液状石蜡</item>
      </candidateList>
      <explain>医学名词[石蜡油]为不规范表述或旧称，其规范书面表述为[液状石蜡]。</explain>
      <paraID>6D7DD546</paraID>
      <start>71</start>
      <end>74</end>
      <status>unmodified</status>
      <modifiedWord/>
      <trackRevisions>false</trackRevisions>
    </reviewItem>
    <reviewItem>
      <errorID>00784a7e-3f29-4c51-bec7-a2b228d6efa6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E5FCB67</paraID>
      <start>22</start>
      <end>23</end>
      <status>unmodified</status>
      <modifiedWord/>
      <trackRevisions>false</trackRevisions>
    </reviewItem>
    <reviewItem>
      <errorID>40614c66-3811-4254-8750-28959fc41614</errorID>
      <errorWord>上线</errorWord>
      <group>L1_Word</group>
      <groupName>字词问题</groupName>
      <ability>L2_Typo</ability>
      <abilityName>字词错误</abilityName>
      <candidateList>
        <item>上限</item>
      </candidateList>
      <explain/>
      <paraID>403C7348</paraID>
      <start>142</start>
      <end>144</end>
      <status>modified</status>
      <modifiedWord>上限</modifiedWord>
      <trackRevisions>false</trackRevisions>
    </reviewItem>
    <reviewItem>
      <errorID>f8c5d615-99d0-45d0-8e84-5c640e8f3995</errorID>
      <errorWord>1..</errorWord>
      <group>L1_Format</group>
      <groupName>格式问题</groupName>
      <ability>L2_Ordinal</ability>
      <abilityName>序号格式</abilityName>
      <candidateList>
        <item>1. </item>
      </candidateList>
      <explain>标题顺序错误，请检查标题顺序是否合理。</explain>
      <paraID>3F741D9B</paraID>
      <start>0</start>
      <end>3</end>
      <status>unmodified</status>
      <modifiedWord/>
      <trackRevisions>false</trackRevisions>
    </reviewItem>
    <reviewItem>
      <errorID>2352768c-cf5b-4808-ac9f-f407c42db25e</errorID>
      <errorWord>、</errorWord>
      <group>L1_Grammar</group>
      <groupName>语法问题</groupName>
      <ability>L2_Grammar</ability>
      <abilityName>语法错误</abilityName>
      <candidateList>
        <item>，不属于</item>
      </candidateList>
      <explain/>
      <paraID>2B0E92D2</paraID>
      <start>37</start>
      <end>38</end>
      <status>unmodified</status>
      <modifiedWord/>
      <trackRevisions>false</trackRevisions>
    </reviewItem>
    <reviewItem>
      <errorID>0a3d9fee-1982-47d6-bba2-d162c917a1ce</errorID>
      <errorWord>、</errorWord>
      <group>L1_Grammar</group>
      <groupName>语法问题</groupName>
      <ability>L2_Grammar</ability>
      <abilityName>语法错误</abilityName>
      <candidateList>
        <item>，不属于</item>
      </candidateList>
      <explain/>
      <paraID>2B0E92D2</paraID>
      <start>64</start>
      <end>65</end>
      <status>unmodified</status>
      <modifiedWord/>
      <trackRevisions>false</trackRevisions>
    </reviewItem>
    <reviewItem>
      <errorID>3171fb59-010a-46dc-846f-19a10a31015c</errorID>
      <errorWord>属于</errorWord>
      <group>L1_Punc</group>
      <groupName>标点问题</groupName>
      <ability>L2_Punc</ability>
      <abilityName>标点符号检查</abilityName>
      <candidateList>
        <item>，属于</item>
      </candidateList>
      <explain/>
      <paraID>2B0E92D2</paraID>
      <start>120</start>
      <end>122</end>
      <status>unmodified</status>
      <modifiedWord/>
      <trackRevisions>false</trackRevisions>
    </reviewItem>
    <reviewItem>
      <errorID>fe100f49-8937-4595-959d-452717435789</errorID>
      <errorWord>不</errorWord>
      <group>L1_Punc</group>
      <groupName>标点问题</groupName>
      <ability>L2_Punc</ability>
      <abilityName>标点符号检查</abilityName>
      <candidateList>
        <item>，不</item>
      </candidateList>
      <explain/>
      <paraID>2B0E92D2</paraID>
      <start>126</start>
      <end>127</end>
      <status>unmodified</status>
      <modifiedWord/>
      <trackRevisions>false</trackRevisions>
    </reviewItem>
    <reviewItem>
      <errorID>c4561188-2a8f-47e0-8f3e-1843c9cda77f</errorID>
      <errorWord>，</errorWord>
      <group>L1_Punc</group>
      <groupName>标点问题</groupName>
      <ability>L2_Punc</ability>
      <abilityName>标点符号检查</abilityName>
      <candidateList>
        <item>。</item>
      </candidateList>
      <explain/>
      <paraID>2B0E92D2</paraID>
      <start>134</start>
      <end>135</end>
      <status>unmodified</status>
      <modifiedWord/>
      <trackRevisions>false</trackRevisions>
    </reviewItem>
    <reviewItem>
      <errorID>6dc034af-6667-4264-af53-aee2670659cd</errorID>
      <errorWord>达到</errorWord>
      <group>L1_Punc</group>
      <groupName>标点问题</groupName>
      <ability>L2_Punc</ability>
      <abilityName>标点符号检查</abilityName>
      <candidateList>
        <item>，达到</item>
      </candidateList>
      <explain/>
      <paraID>2B0E92D2</paraID>
      <start>168</start>
      <end>170</end>
      <status>unmodified</status>
      <modifiedWord/>
      <trackRevisions>false</trackRevisions>
    </reviewItem>
    <reviewItem>
      <errorID>556ab92b-0a03-48d5-945f-dc4eef30725d</errorID>
      <errorWord>经</errorWord>
      <group>L1_Punc</group>
      <groupName>标点问题</groupName>
      <ability>L2_Punc</ability>
      <abilityName>标点符号检查</abilityName>
      <candidateList>
        <item>，经</item>
      </candidateList>
      <explain/>
      <paraID>2B0E92D2</paraID>
      <start>212</start>
      <end>213</end>
      <status>unmodified</status>
      <modifiedWord/>
      <trackRevisions>false</trackRevisions>
    </reviewItem>
    <reviewItem>
      <errorID>b76ad4ea-25b4-46ec-8a4e-c693f84197c8</errorID>
      <errorWord>无法</errorWord>
      <group>L1_Punc</group>
      <groupName>标点问题</groupName>
      <ability>L2_Punc</ability>
      <abilityName>标点符号检查</abilityName>
      <candidateList>
        <item>，无法</item>
      </candidateList>
      <explain/>
      <paraID>77A972EF</paraID>
      <start>81</start>
      <end>83</end>
      <status>unmodified</status>
      <modifiedWord/>
      <trackRevisions>false</trackRevisions>
    </reviewItem>
    <reviewItem>
      <errorID>4eb7140d-ee98-4748-a6c7-25fcf1cc42ae</errorID>
      <errorWord>③</errorWord>
      <group>L1_Word</group>
      <groupName>字词问题</groupName>
      <ability>L2_Typo</ability>
      <abilityName>字词错误</abilityName>
      <candidateList>
        <item>②</item>
      </candidateList>
      <explain/>
      <paraID>77A972EF</paraID>
      <start>347</start>
      <end>348</end>
      <status>unmodified</status>
      <modifiedWord/>
      <trackRevisions>false</trackRevisions>
    </reviewItem>
    <reviewItem>
      <errorID>ad0ec5d8-44d7-40c3-a026-ed0dc41142d2</errorID>
      <errorWord>三氟乙烷</errorWord>
      <group>L1_Knowledge</group>
      <groupName>知识性问题</groupName>
      <ability>L2_Term</ability>
      <abilityName>专业术语</abilityName>
      <candidateList>
        <item>氟烷</item>
      </candidateList>
      <explain>医学名词[三氟乙烷]为不规范表述或旧称，其规范书面表述为[氟烷]。</explain>
      <paraID>77A972EF</paraID>
      <start>764</start>
      <end>768</end>
      <status>unmodified</status>
      <modifiedWord/>
      <trackRevisions>false</trackRevisions>
    </reviewItem>
    <reviewItem>
      <errorID>caf24c01-947f-4637-80d8-af31e340fffb</errorID>
      <errorWord>同时</errorWord>
      <group>L1_Word</group>
      <groupName>字词问题</groupName>
      <ability>L2_Typo</ability>
      <abilityName>字词错误</abilityName>
      <candidateList>
        <item>应同时</item>
      </candidateList>
      <explain/>
      <paraID>6375FD79</paraID>
      <start>14</start>
      <end>16</end>
      <status>unmodified</status>
      <modifiedWord/>
      <trackRevisions>false</trackRevisions>
    </reviewItem>
    <reviewItem>
      <errorID>23fdad2c-f095-4ea8-b05f-f7a754d20e3e</errorID>
      <errorWord>：</errorWord>
      <group>L1_Grammar</group>
      <groupName>语法问题</groupName>
      <ability>L2_Grammar</ability>
      <abilityName>语法错误</abilityName>
      <candidateList>
        <item>以下要求：</item>
      </candidateList>
      <explain/>
      <paraID>6375FD79</paraID>
      <start>18</start>
      <end>19</end>
      <status>unmodified</status>
      <modifiedWord/>
      <trackRevisions>false</trackRevisions>
    </reviewItem>
    <reviewItem>
      <errorID>811259c5-9e5d-4737-98ec-c380d3c143bd</errorID>
      <errorWord>达到</errorWord>
      <group>L1_Punc</group>
      <groupName>标点问题</groupName>
      <ability>L2_Punc</ability>
      <abilityName>标点符号检查</abilityName>
      <candidateList>
        <item>，达到</item>
      </candidateList>
      <explain/>
      <paraID>4C67121E</paraID>
      <start>22</start>
      <end>24</end>
      <status>unmodified</status>
      <modifiedWord/>
      <trackRevisions>false</trackRevisions>
    </reviewItem>
    <reviewItem>
      <errorID>0508faa0-b022-412c-aeae-d2b85b6f56b3</errorID>
      <errorWord>经</errorWord>
      <group>L1_Punc</group>
      <groupName>标点问题</groupName>
      <ability>L2_Punc</ability>
      <abilityName>标点符号检查</abilityName>
      <candidateList>
        <item>，经</item>
      </candidateList>
      <explain/>
      <paraID>4C67121E</paraID>
      <start>66</start>
      <end>67</end>
      <status>unmodified</status>
      <modifiedWord/>
      <trackRevisions>false</trackRevisions>
    </reviewItem>
    <reviewItem>
      <errorID>8d884b30-d7ea-4689-a1ad-1f7774a6e89b</errorID>
      <errorWord>石蜡油</errorWord>
      <group>L1_Knowledge</group>
      <groupName>知识性问题</groupName>
      <ability>L2_Term</ability>
      <abilityName>专业术语</abilityName>
      <candidateList>
        <item>液状石蜡</item>
      </candidateList>
      <explain>医学名词[石蜡油]为不规范表述或旧称，其规范书面表述为[液状石蜡]。</explain>
      <paraID>4C67121E</paraID>
      <start>125</start>
      <end>128</end>
      <status>unmodified</status>
      <modifiedWord/>
      <trackRevisions>false</trackRevisions>
    </reviewItem>
    <reviewItem>
      <errorID>1913d539-a8ea-4d53-84b9-d13ee5055aa5</errorID>
      <errorWord>）后经</errorWord>
      <group>L1_Grammar</group>
      <groupName>语法问题</groupName>
      <ability>L2_Grammar</ability>
      <abilityName>语法错误</abilityName>
      <candidateList>
        <item>）</item>
      </candidateList>
      <explain/>
      <paraID>4C67121E</paraID>
      <start>140</start>
      <end>143</end>
      <status>unmodified</status>
      <modifiedWord/>
      <trackRevisions>false</trackRevisions>
    </reviewItem>
    <reviewItem>
      <errorID>e7cb11b2-bb7b-496b-ac29-5281db9da2b5</errorID>
      <errorWord>经</errorWord>
      <group>L1_Punc</group>
      <groupName>标点问题</groupName>
      <ability>L2_Punc</ability>
      <abilityName>标点符号检查</abilityName>
      <candidateList>
        <item>，经</item>
      </candidateList>
      <explain/>
      <paraID>4C67121E</paraID>
      <start>146</start>
      <end>147</end>
      <status>unmodified</status>
      <modifiedWord/>
      <trackRevisions>false</trackRevisions>
    </reviewItem>
    <reviewItem>
      <errorID>0173f53a-34d5-4d5f-a1e3-a7be574b2da6</errorID>
      <errorWord>加强</errorWord>
      <group>L1_Grammar</group>
      <groupName>语法问题</groupName>
      <ability>L2_Grammar</ability>
      <abilityName>语法错误</abilityName>
      <candidateList>
        <item>以下要求：加强</item>
      </candidateList>
      <explain/>
      <paraID>2D0D3083</paraID>
      <start>170</start>
      <end>172</end>
      <status>unmodified</status>
      <modifiedWord/>
      <trackRevisions>false</trackRevisions>
    </reviewItem>
    <reviewItem>
      <errorID>7da6cc7f-524f-477b-b19b-015b89a2e111</errorID>
      <errorWord>同时</errorWord>
      <group>L1_Word</group>
      <groupName>字词问题</groupName>
      <ability>L2_Typo</ability>
      <abilityName>字词错误</abilityName>
      <candidateList>
        <item>应同时</item>
      </candidateList>
      <explain/>
      <paraID>2D0D3083</paraID>
      <start>321</start>
      <end>323</end>
      <status>unmodified</status>
      <modifiedWord/>
      <trackRevisions>false</trackRevisions>
    </reviewItem>
    <reviewItem>
      <errorID>8a7fc623-83d2-4b1b-ae0e-1e1037c33d66</errorID>
      <errorWord>排放</errorWord>
      <group>L1_Grammar</group>
      <groupName>语法问题</groupName>
      <ability>L2_Grammar</ability>
      <abilityName>语法错误</abilityName>
      <candidateList>
        <item>以下要求：排放</item>
      </candidateList>
      <explain/>
      <paraID>2D0D3083</paraID>
      <start>325</start>
      <end>327</end>
      <status>unmodified</status>
      <modifiedWord/>
      <trackRevisions>false</trackRevisions>
    </reviewItem>
    <reviewItem>
      <errorID>ac0c7d9a-8404-4644-a0ee-2885a9a32a25</errorID>
      <errorWord>经过</errorWord>
      <group>L1_Word</group>
      <groupName>字词问题</groupName>
      <ability>L2_Typo</ability>
      <abilityName>字词错误</abilityName>
      <candidateList>
        <item>通过</item>
      </candidateList>
      <explain/>
      <paraID>764E3836</paraID>
      <start>0</start>
      <end>2</end>
      <status>unmodified</status>
      <modifiedWord/>
      <trackRevisions>false</trackRevisions>
    </reviewItem>
    <reviewItem>
      <errorID>2299110f-1258-4226-a7ee-9e94668590ca</errorID>
      <errorWord>突发</errorWord>
      <group>L1_Word</group>
      <groupName>字词问题</groupName>
      <ability>L2_Typo</ability>
      <abilityName>字词错误</abilityName>
      <candidateList>
        <item>了突发</item>
      </candidateList>
      <explain/>
      <paraID>764E3836</paraID>
      <start>20</start>
      <end>22</end>
      <status>unmodified</status>
      <modifiedWord/>
      <trackRevisions>false</trackRevisions>
    </reviewItem>
    <reviewItem>
      <errorID>b46b8f51-8c33-4682-9347-23a5c6221fb4</errorID>
      <errorWord>并</errorWord>
      <group>L1_Punc</group>
      <groupName>标点问题</groupName>
      <ability>L2_Punc</ability>
      <abilityName>标点符号检查</abilityName>
      <candidateList>
        <item>，并</item>
      </candidateList>
      <explain/>
      <paraID>764E3836</paraID>
      <start>30</start>
      <end>31</end>
      <status>unmodified</status>
      <modifiedWord/>
      <trackRevisions>false</trackRevisions>
    </reviewItem>
    <reviewItem>
      <errorID>33b76422-8b33-4387-9fb1-440b898126e5</errorID>
      <errorWord>。</errorWord>
      <group>L1_Punc</group>
      <groupName>标点问题</groupName>
      <ability>L2_Punc</ability>
      <abilityName>标点符号检查</abilityName>
      <candidateList>
        <item>，</item>
      </candidateList>
      <explain/>
      <paraID>764E3836</paraID>
      <start>60</start>
      <end>61</end>
      <status>unmodified</status>
      <modifiedWord/>
      <trackRevisions>false</trackRevisions>
    </reviewItem>
    <reviewItem>
      <errorID>5c6c77ad-7545-4ef4-af02-9cf2d3573f7c</errorID>
      <errorWord>，</errorWord>
      <group>L1_Punc</group>
      <groupName>标点问题</groupName>
      <ability>L2_Punc</ability>
      <abilityName>标点符号检查</abilityName>
      <candidateList>
        <item>、</item>
      </candidateList>
      <explain/>
      <paraID>38AFABCB</paraID>
      <start>26</start>
      <end>27</end>
      <status>unmodified</status>
      <modifiedWord/>
      <trackRevisions>false</trackRevisions>
    </reviewItem>
    <reviewItem>
      <errorID>e30366de-bcda-497b-b392-fc50e6a45ece</errorID>
      <errorWord>项目</errorWord>
      <group>L1_Word</group>
      <groupName>字词问题</groupName>
      <ability>L2_Typo</ability>
      <abilityName>字词错误</abilityName>
      <candidateList>
        <item>的项目</item>
      </candidateList>
      <explain/>
      <paraID>38AFABCB</paraID>
      <start>31</start>
      <end>33</end>
      <status>unmodified</status>
      <modifiedWord/>
      <trackRevisions>false</trackRevisions>
    </reviewItem>
    <reviewItem>
      <errorID>3e415621-ffd4-47b6-8fc4-7f9b283a8b8a</errorID>
      <errorWord>。</errorWord>
      <group>L1_Punc</group>
      <groupName>标点问题</groupName>
      <ability>L2_Punc</ability>
      <abilityName>标点符号检查</abilityName>
      <candidateList>
        <item>；</item>
      </candidateList>
      <explain/>
      <paraID>5331D3B4</paraID>
      <start>190</start>
      <end>191</end>
      <status>unmodified</status>
      <modifiedWord/>
      <trackRevisions>false</trackRevisions>
    </reviewItem>
    <reviewItem>
      <errorID>e7e60576-4fcb-4729-a4eb-17bab98b2f9b</errorID>
      <errorWord>。</errorWord>
      <group>L1_Punc</group>
      <groupName>标点问题</groupName>
      <ability>L2_Punc</ability>
      <abilityName>标点符号检查</abilityName>
      <candidateList>
        <item>；</item>
      </candidateList>
      <explain/>
      <paraID>5331D3B4</paraID>
      <start>232</start>
      <end>233</end>
      <status>unmodified</status>
      <modifiedWord/>
      <trackRevisions>false</trackRevisions>
    </reviewItem>
    <reviewItem>
      <errorID>a80ee82a-f6a3-48ec-8aa2-d25dda805ee1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1CF8B80F</paraID>
      <start>0</start>
      <end>2</end>
      <status>unmodified</status>
      <modifiedWord/>
      <trackRevisions>false</trackRevisions>
    </reviewItem>
    <reviewItem>
      <errorID>2b76c323-3d0b-4257-898d-031464896770</errorID>
      <errorWord>胶粘剂</errorWord>
      <group>L1_Word</group>
      <groupName>字词问题</groupName>
      <ability>L2_Typo</ability>
      <abilityName>字词错误</abilityName>
      <candidateList>
        <item>胶黏剂</item>
      </candidateList>
      <explain/>
      <paraID> 98EED1A</paraID>
      <start>9</start>
      <end>12</end>
      <status>unmodified</status>
      <modifiedWord/>
      <trackRevisions>false</trackRevisions>
    </reviewItem>
    <reviewItem>
      <errorID>27782fb3-a177-4d40-b52e-2209ffa59111</errorID>
      <errorWord>粘合</errorWord>
      <group>L1_Word</group>
      <groupName>字词问题</groupName>
      <ability>L2_Alias</ability>
      <abilityName>也作/曾用词</abilityName>
      <candidateList>
        <item>黏合</item>
      </candidateList>
      <explain>词汇[粘合]为不规范表述或旧称，其规范书面表述为[黏合]。</explain>
      <paraID>5E40B3B6</paraID>
      <start>9</start>
      <end>11</end>
      <status>unmodified</status>
      <modifiedWord/>
      <trackRevisions>false</trackRevisions>
    </reviewItem>
    <reviewItem>
      <errorID>dc63310e-5e49-4125-97b7-3c01db07c7c2</errorID>
      <errorWord>石蜡油</errorWord>
      <group>L1_Knowledge</group>
      <groupName>知识性问题</groupName>
      <ability>L2_Term</ability>
      <abilityName>专业术语</abilityName>
      <candidateList>
        <item>液状石蜡</item>
      </candidateList>
      <explain>医学名词[石蜡油]为不规范表述或旧称，其规范书面表述为[液状石蜡]。</explain>
      <paraID>66CB748C</paraID>
      <start>60</start>
      <end>63</end>
      <status>unmodified</status>
      <modifiedWord/>
      <trackRevisions>false</trackRevisions>
    </reviewItem>
    <reviewItem>
      <errorID>bc492dea-9ce6-415f-8167-30dad5f1b648</errorID>
      <errorWord>石蜡油</errorWord>
      <group>L1_Knowledge</group>
      <groupName>知识性问题</groupName>
      <ability>L2_Term</ability>
      <abilityName>专业术语</abilityName>
      <candidateList>
        <item>液状石蜡</item>
      </candidateList>
      <explain>医学名词[石蜡油]为不规范表述或旧称，其规范书面表述为[液状石蜡]。</explain>
      <paraID>66CB748C</paraID>
      <start>85</start>
      <end>88</end>
      <status>unmodified</status>
      <modifiedWord/>
      <trackRevisions>false</trackRevisions>
    </reviewItem>
    <reviewItem>
      <errorID>24b5aef2-9b8b-4ec1-acf7-dccf7578b87a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77ACE6F</paraID>
      <start>0</start>
      <end>2</end>
      <status>unmodified</status>
      <modifiedWord/>
      <trackRevisions>false</trackRevisions>
    </reviewItem>
    <reviewItem>
      <errorID>0728a06d-8fca-40de-b766-847ba0decb6e</errorID>
      <errorWord>，</errorWord>
      <group>L1_Punc</group>
      <groupName>标点问题</groupName>
      <ability>L2_Punc</ability>
      <abilityName>标点符号检查</abilityName>
      <candidateList>
        <item>、</item>
      </candidateList>
      <explain/>
      <paraID>1AED07BF</paraID>
      <start>31</start>
      <end>32</end>
      <status>unmodified</status>
      <modifiedWord/>
      <trackRevisions>false</trackRevisions>
    </reviewItem>
    <reviewItem>
      <errorID>8d1b0134-9ed5-414b-9c3e-e46f0d07bf17</errorID>
      <errorWord>，</errorWord>
      <group>L1_Punc</group>
      <groupName>标点问题</groupName>
      <ability>L2_Punc</ability>
      <abilityName>标点符号检查</abilityName>
      <candidateList>
        <item>、</item>
      </candidateList>
      <explain/>
      <paraID>1AED07BF</paraID>
      <start>38</start>
      <end>39</end>
      <status>unmodified</status>
      <modifiedWord/>
      <trackRevisions>false</trackRevisions>
    </reviewItem>
    <reviewItem>
      <errorID>a8de58ca-e172-4795-8a86-4721945c1eba</errorID>
      <errorWord>或</errorWord>
      <group>L1_Word</group>
      <groupName>字词问题</groupName>
      <ability>L2_Typo</ability>
      <abilityName>字词错误</abilityName>
      <candidateList>
        <item>、</item>
      </candidateList>
      <explain/>
      <paraID>1AED07BF</paraID>
      <start>69</start>
      <end>70</end>
      <status>unmodified</status>
      <modifiedWord/>
      <trackRevisions>false</trackRevisions>
    </reviewItem>
    <reviewItem>
      <errorID>8af5d6b7-7152-4a48-8188-3782734341b7</errorID>
      <errorWord>。</errorWord>
      <group>L1_Grammar</group>
      <groupName>语法问题</groupName>
      <ability>L2_Grammar</ability>
      <abilityName>语法错误</abilityName>
      <candidateList>
        <item>装置。</item>
      </candidateList>
      <explain/>
      <paraID>1AED07BF</paraID>
      <start>155</start>
      <end>156</end>
      <status>unmodified</status>
      <modifiedWord/>
      <trackRevisions>false</trackRevisions>
    </reviewItem>
    <reviewItem>
      <errorID>e7d3cddd-a0cd-438b-b9b3-fbe59384dbf6</errorID>
      <errorWord>程</errorWord>
      <group>L1_Word</group>
      <groupName>字词问题</groupName>
      <ability>L2_Typo</ability>
      <abilityName>字词错误</abilityName>
      <candidateList>
        <item>程中</item>
      </candidateList>
      <explain/>
      <paraID>1AED07BF</paraID>
      <start>169</start>
      <end>170</end>
      <status>unmodified</status>
      <modifiedWord/>
      <trackRevisions>false</trackRevisions>
    </reviewItem>
    <reviewItem>
      <errorID>503d5e4c-eac9-4980-996a-0f08d936e7c1</errorID>
      <errorWord>遵循</errorWord>
      <group>L1_Word</group>
      <groupName>字词问题</groupName>
      <ability>L2_Typo</ability>
      <abilityName>字词错误</abilityName>
      <candidateList>
        <item>应遵循</item>
      </candidateList>
      <explain/>
      <paraID>1B4389B5</paraID>
      <start>307</start>
      <end>309</end>
      <status>unmodified</status>
      <modifiedWord/>
      <trackRevisions>false</trackRevisions>
    </reviewItem>
    <reviewItem>
      <errorID>3b0818ac-16f1-498a-a28c-29b8afe7b298</errorID>
      <errorWord>石蜡油</errorWord>
      <group>L1_Knowledge</group>
      <groupName>知识性问题</groupName>
      <ability>L2_Term</ability>
      <abilityName>专业术语</abilityName>
      <candidateList>
        <item>液状石蜡</item>
      </candidateList>
      <explain>医学名词[石蜡油]为不规范表述或旧称，其规范书面表述为[液状石蜡]。</explain>
      <paraID>60C6E38A</paraID>
      <start>13</start>
      <end>16</end>
      <status>unmodified</status>
      <modifiedWord/>
      <trackRevisions>false</trackRevisions>
    </reviewItem>
    <reviewItem>
      <errorID>b2439f02-3f59-4b44-b366-60808fdb4530</errorID>
      <errorWord>石蜡油</errorWord>
      <group>L1_Knowledge</group>
      <groupName>知识性问题</groupName>
      <ability>L2_Term</ability>
      <abilityName>专业术语</abilityName>
      <candidateList>
        <item>液状石蜡</item>
      </candidateList>
      <explain>医学名词[石蜡油]为不规范表述或旧称，其规范书面表述为[液状石蜡]。</explain>
      <paraID>60C6E38A</paraID>
      <start>38</start>
      <end>41</end>
      <status>unmodified</status>
      <modifiedWord/>
      <trackRevisions>false</trackRevisions>
    </reviewItem>
    <reviewItem>
      <errorID>fbf14611-3419-432a-a9dd-77d29de00f68</errorID>
      <errorWord>阀门</errorWord>
      <group>L1_Punc</group>
      <groupName>标点问题</groupName>
      <ability>L2_Punc</ability>
      <abilityName>标点符号检查</abilityName>
      <candidateList>
        <item>、阀门</item>
      </candidateList>
      <explain/>
      <paraID>60C6E38A</paraID>
      <start>143</start>
      <end>145</end>
      <status>unmodified</status>
      <modifiedWord/>
      <trackRevisions>false</trackRevisions>
    </reviewItem>
    <reviewItem>
      <errorID>09d033b9-b539-41ce-b32d-e701393dd05f</errorID>
      <errorWord>溶剂</errorWord>
      <group>L1_Grammar</group>
      <groupName>语法问题</groupName>
      <ability>L2_Grammar</ability>
      <abilityName>语法错误</abilityName>
      <candidateList>
        <item>以及溶剂</item>
      </candidateList>
      <explain/>
      <paraID>60C6E38A</paraID>
      <start>170</start>
      <end>172</end>
      <status>unmodified</status>
      <modifiedWord/>
      <trackRevisions>false</trackRevisions>
    </reviewItem>
    <reviewItem>
      <errorID>8932ee35-b8b8-4fc9-bc19-e449c5ef3a70</errorID>
      <errorWord>及</errorWord>
      <group>L1_Word</group>
      <groupName>字词问题</groupName>
      <ability>L2_Typo</ability>
      <abilityName>字词错误</abilityName>
      <candidateList>
        <item>、</item>
      </candidateList>
      <explain/>
      <paraID>60C6E38A</paraID>
      <start>187</start>
      <end>188</end>
      <status>unmodified</status>
      <modifiedWord/>
      <trackRevisions>false</trackRevisions>
    </reviewItem>
    <reviewItem>
      <errorID>7b860e3b-ab06-4c21-86ab-58dec709f4e3</errorID>
      <errorWord>及</errorWord>
      <group>L1_Word</group>
      <groupName>字词问题</groupName>
      <ability>L2_Typo</ability>
      <abilityName>字词错误</abilityName>
      <candidateList>
        <item>、</item>
      </candidateList>
      <explain/>
      <paraID>60C6E38A</paraID>
      <start>190</start>
      <end>191</end>
      <status>unmodified</status>
      <modifiedWord/>
      <trackRevisions>false</trackRevisions>
    </reviewItem>
    <reviewItem>
      <errorID>3435e97f-acc6-47f1-80cd-8be20a7f999e</errorID>
      <errorWord>，</errorWord>
      <group>L1_Punc</group>
      <groupName>标点问题</groupName>
      <ability>L2_Punc</ability>
      <abilityName>标点符号检查</abilityName>
      <candidateList>
        <item>、</item>
      </candidateList>
      <explain/>
      <paraID>52455544</paraID>
      <start>54</start>
      <end>55</end>
      <status>unmodified</status>
      <modifiedWord/>
      <trackRevisions>false</trackRevisions>
    </reviewItem>
    <reviewItem>
      <errorID>3c20bed7-4ffd-4f6d-8284-3582bbd7d383</errorID>
      <errorWord>处理处置</errorWord>
      <group>L1_Grammar</group>
      <groupName>语法问题</groupName>
      <ability>L2_Grammar</ability>
      <abilityName>语法错误</abilityName>
      <candidateList>
        <item>进行无害化处理</item>
      </candidateList>
      <explain/>
      <paraID>52455544</paraID>
      <start>342</start>
      <end>346</end>
      <status>unmodified</status>
      <modifiedWord/>
      <trackRevisions>false</trackRevisions>
    </reviewItem>
    <reviewItem>
      <errorID>b259cba5-2f3e-4cd5-b81b-982b75148833</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7A6AD2F6</paraID>
      <start>0</start>
      <end>2</end>
      <status>unmodified</status>
      <modifiedWord/>
      <trackRevisions>false</trackRevisions>
    </reviewItem>
    <reviewItem>
      <errorID>90d70806-54e2-49f2-9427-78af8f6a8772</errorID>
      <errorWord>，</errorWord>
      <group>L1_Punc</group>
      <groupName>标点问题</groupName>
      <ability>L2_Punc</ability>
      <abilityName>标点符号检查</abilityName>
      <candidateList>
        <item>。</item>
      </candidateList>
      <explain/>
      <paraID>23EDEC7D</paraID>
      <start>27</start>
      <end>28</end>
      <status>unmodified</status>
      <modifiedWord/>
      <trackRevisions>false</trackRevisions>
    </reviewItem>
    <reviewItem>
      <errorID>af7a8295-a651-4a75-a1a2-e52ac3f3985a</errorID>
      <errorWord>胶粘剂</errorWord>
      <group>L1_Word</group>
      <groupName>字词问题</groupName>
      <ability>L2_Typo</ability>
      <abilityName>字词错误</abilityName>
      <candidateList>
        <item>胶黏剂</item>
      </candidateList>
      <explain/>
      <paraID>23EDEC7D</paraID>
      <start>219</start>
      <end>222</end>
      <status>unmodified</status>
      <modifiedWord/>
      <trackRevisions>false</trackRevisions>
    </reviewItem>
    <reviewItem>
      <errorID>11d2dfae-2b64-43d9-b4ca-0e302d1bded6</errorID>
      <errorWord>退出</errorWord>
      <group>L1_Word</group>
      <groupName>字词问题</groupName>
      <ability>L2_Typo</ability>
      <abilityName>字词错误</abilityName>
      <candidateList>
        <item>的退出</item>
      </candidateList>
      <explain/>
      <paraID>4CE8DFEF</paraID>
      <start>52</start>
      <end>54</end>
      <status>unmodified</status>
      <modifiedWord/>
      <trackRevisions>false</trackRevisions>
    </reviewItem>
    <reviewItem>
      <errorID>83a96d40-6e43-43c4-8624-155331a0e090</errorID>
      <errorWord>淘汰</errorWord>
      <group>L1_Grammar</group>
      <groupName>语法问题</groupName>
      <ability>L2_Grammar</ability>
      <abilityName>语法错误</abilityName>
      <candidateList>
        <item>进行淘汰</item>
      </candidateList>
      <explain/>
      <paraID>4CE8DFEF</paraID>
      <start>71</start>
      <end>73</end>
      <status>unmodified</status>
      <modifiedWord/>
      <trackRevisions>false</trackRevisions>
    </reviewItem>
    <reviewItem>
      <errorID>391b171b-55df-41b6-93e0-13f3c8087df6</errorID>
      <errorWord>。。</errorWord>
      <group>L1_Punc</group>
      <groupName>标点问题</groupName>
      <ability>L2_Punc</ability>
      <abilityName>标点符号检查</abilityName>
      <candidateList>
        <item>。</item>
      </candidateList>
      <explain/>
      <paraID>4CE8DFEF</paraID>
      <start>75</start>
      <end>77</end>
      <status>unmodified</status>
      <modifiedWord/>
      <trackRevisions>false</trackRevisions>
    </reviewItem>
    <reviewItem>
      <errorID>655734d6-67fb-42d7-ae2a-403c200b8818</errorID>
      <errorWord>胶粘剂</errorWord>
      <group>L1_Word</group>
      <groupName>字词问题</groupName>
      <ability>L2_Typo</ability>
      <abilityName>字词错误</abilityName>
      <candidateList>
        <item>胶黏剂</item>
      </candidateList>
      <explain/>
      <paraID>2E7E6EDB</paraID>
      <start>45</start>
      <end>48</end>
      <status>unmodified</status>
      <modifiedWord/>
      <trackRevisions>false</trackRevisions>
    </reviewItem>
    <reviewItem>
      <errorID>f561b388-43cf-4a9d-aa32-84f7ddb83c49</errorID>
      <errorWord>石蜡油</errorWord>
      <group>L1_Knowledge</group>
      <groupName>知识性问题</groupName>
      <ability>L2_Term</ability>
      <abilityName>专业术语</abilityName>
      <candidateList>
        <item>液状石蜡</item>
      </candidateList>
      <explain>医学名词[石蜡油]为不规范表述或旧称，其规范书面表述为[液状石蜡]。</explain>
      <paraID>27BE0BB7</paraID>
      <start>16</start>
      <end>19</end>
      <status>unmodified</status>
      <modifiedWord/>
      <trackRevisions>false</trackRevisions>
    </reviewItem>
    <reviewItem>
      <errorID>dfb11ce9-2d18-47e8-b7a6-7b567695d7ba</errorID>
      <errorWord>石蜡油</errorWord>
      <group>L1_Knowledge</group>
      <groupName>知识性问题</groupName>
      <ability>L2_Term</ability>
      <abilityName>专业术语</abilityName>
      <candidateList>
        <item>液状石蜡</item>
      </candidateList>
      <explain>医学名词[石蜡油]为不规范表述或旧称，其规范书面表述为[液状石蜡]。</explain>
      <paraID>27BE0BB7</paraID>
      <start>41</start>
      <end>44</end>
      <status>unmodified</status>
      <modifiedWord/>
      <trackRevisions>false</trackRevisions>
    </reviewItem>
    <reviewItem>
      <errorID>54b85e72-e08b-4d8b-b6bf-5cf941601fa7</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12C8642D</paraID>
      <start>0</start>
      <end>2</end>
      <status>unmodified</status>
      <modifiedWord/>
      <trackRevisions>false</trackRevisions>
    </reviewItem>
    <reviewItem>
      <errorID>0f5a052c-bf1f-47eb-ac41-5e8be57d96e3</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708B3E25</paraID>
      <start>0</start>
      <end>2</end>
      <status>unmodified</status>
      <modifiedWord/>
      <trackRevisions>false</trackRevisions>
    </reviewItem>
    <reviewItem>
      <errorID>0cc9fe62-74b8-4903-9e6e-f01207318505</errorID>
      <errorWord>项目经</errorWord>
      <group>L1_Word</group>
      <groupName>字词问题</groupName>
      <ability>L2_Typo</ability>
      <abilityName>字词错误</abilityName>
      <candidateList>
        <item>项目</item>
      </candidateList>
      <explain/>
      <paraID>1730048A</paraID>
      <start>181</start>
      <end>184</end>
      <status>unmodified</status>
      <modifiedWord/>
      <trackRevisions>false</trackRevisions>
    </reviewItem>
    <reviewItem>
      <errorID>865514fe-5b56-4405-a143-8d2c7cb2d9cd</errorID>
      <errorWord>，</errorWord>
      <group>L1_Punc</group>
      <groupName>标点问题</groupName>
      <ability>L2_Punc</ability>
      <abilityName>标点符号检查</abilityName>
      <candidateList>
        <item/>
      </candidateList>
      <explain/>
      <paraID>1730048A</paraID>
      <start>186</start>
      <end>187</end>
      <status>unmodified</status>
      <modifiedWord/>
      <trackRevisions>false</trackRevisions>
    </reviewItem>
    <reviewItem>
      <errorID>96537c44-0cd2-4705-bc37-91b337c712e8</errorID>
      <errorWord>。</errorWord>
      <group>L1_Punc</group>
      <groupName>标点问题</groupName>
      <ability>L2_Punc</ability>
      <abilityName>标点符号检查</abilityName>
      <candidateList>
        <item>，</item>
      </candidateList>
      <explain/>
      <paraID>1730048A</paraID>
      <start>206</start>
      <end>207</end>
      <status>unmodified</status>
      <modifiedWord/>
      <trackRevisions>false</trackRevisions>
    </reviewItem>
    <reviewItem>
      <errorID>2b95bf43-58cf-4999-bda3-74c2f4a58334</errorID>
      <errorWord>。</errorWord>
      <group>L1_Punc</group>
      <groupName>标点问题</groupName>
      <ability>L2_Punc</ability>
      <abilityName>标点符号检查</abilityName>
      <candidateList>
        <item>，</item>
      </candidateList>
      <explain/>
      <paraID>1730048A</paraID>
      <start>215</start>
      <end>216</end>
      <status>unmodified</status>
      <modifiedWord/>
      <trackRevisions>false</trackRevisions>
    </reviewItem>
    <reviewItem>
      <errorID>a19d40dc-70ab-4504-b4e8-10d2bc2c43bd</errorID>
      <errorWord>；</errorWord>
      <group>L1_Punc</group>
      <groupName>标点问题</groupName>
      <ability>L2_Punc</ability>
      <abilityName>标点符号检查</abilityName>
      <candidateList>
        <item>。</item>
      </candidateList>
      <explain/>
      <paraID>1730048A</paraID>
      <start>225</start>
      <end>226</end>
      <status>unmodified</status>
      <modifiedWord/>
      <trackRevisions>false</trackRevisions>
    </reviewItem>
    <reviewItem>
      <errorID>0be95358-5610-4ebd-8b05-30474c804899</errorID>
      <errorWord>每年</errorWord>
      <group>L1_Word</group>
      <groupName>字词问题</groupName>
      <ability>L2_Typo</ability>
      <abilityName>字词错误</abilityName>
      <candidateList>
        <item>/年</item>
      </candidateList>
      <explain/>
      <paraID>52FFAF14</paraID>
      <start>55</start>
      <end>57</end>
      <status>unmodified</status>
      <modifiedWord/>
      <trackRevisions>false</trackRevisions>
    </reviewItem>
    <reviewItem>
      <errorID>93930d43-ba8f-41c9-bb69-ebdbd7b948b4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576B780B</paraID>
      <start>68</start>
      <end>69</end>
      <status>unmodified</status>
      <modifiedWord/>
      <trackRevisions>false</trackRevisions>
    </reviewItem>
    <reviewItem>
      <errorID>d59a2ae0-488f-48d3-b5a1-5ce1e9adaca6</errorID>
      <errorWord>处理后</errorWord>
      <group>L1_Word</group>
      <groupName>字词问题</groupName>
      <ability>L2_Typo</ability>
      <abilityName>字词错误</abilityName>
      <candidateList>
        <item>处理</item>
      </candidateList>
      <explain/>
      <paraID>1DA5A5C8</paraID>
      <start>38</start>
      <end>41</end>
      <status>unmodified</status>
      <modifiedWord/>
      <trackRevisions>false</trackRevisions>
    </reviewItem>
    <reviewItem>
      <errorID>1bb5aefd-4c6e-44d6-9431-ad04ef638c2e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7969C77D</paraID>
      <start>0</start>
      <end>2</end>
      <status>unmodified</status>
      <modifiedWord/>
      <trackRevisions>false</trackRevisions>
    </reviewItem>
    <reviewItem>
      <errorID>22036d72-99c3-418a-a477-79331d30d615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21B63572</paraID>
      <start>0</start>
      <end>2</end>
      <status>unmodified</status>
      <modifiedWord/>
      <trackRevisions>false</trackRevisions>
    </reviewItem>
    <reviewItem>
      <errorID>1efcd051-be8d-46ff-a61b-253f9b376af3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21EE776B</paraID>
      <start>0</start>
      <end>2</end>
      <status>unmodified</status>
      <modifiedWord/>
      <trackRevisions>false</trackRevisions>
    </reviewItem>
    <reviewItem>
      <errorID>575ed420-5720-4fff-9253-84c5ad11aef0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7FEA2878</paraID>
      <start>0</start>
      <end>2</end>
      <status>unmodified</status>
      <modifiedWord/>
      <trackRevisions>false</trackRevisions>
    </reviewItem>
    <reviewItem>
      <errorID>1eb7877b-e96c-4a1f-86ae-d65675501136</errorID>
      <errorWord>由于</errorWord>
      <group>L1_Punc</group>
      <groupName>标点问题</groupName>
      <ability>L2_Punc</ability>
      <abilityName>标点符号检查</abilityName>
      <candidateList>
        <item>，由于</item>
      </candidateList>
      <explain/>
      <paraID>1D4CAC3F</paraID>
      <start>5</start>
      <end>7</end>
      <status>unmodified</status>
      <modifiedWord/>
      <trackRevisions>false</trackRevisions>
    </reviewItem>
    <reviewItem>
      <errorID>844904a0-e2e0-44c5-a73e-048602916c11</errorID>
      <errorWord>，使</errorWord>
      <group>L1_Word</group>
      <groupName>字词问题</groupName>
      <ability>L2_Typo</ability>
      <abilityName>字词错误</abilityName>
      <candidateList>
        <item>，</item>
      </candidateList>
      <explain/>
      <paraID>1D4CAC3F</paraID>
      <start>15</start>
      <end>17</end>
      <status>unmodified</status>
      <modifiedWord/>
      <trackRevisions>false</trackRevisions>
    </reviewItem>
    <reviewItem>
      <errorID>5a5e2769-121b-4fb7-82db-f9254287afc7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521B4690</paraID>
      <start>0</start>
      <end>2</end>
      <status>unmodified</status>
      <modifiedWord/>
      <trackRevisions>false</trackRevisions>
    </reviewItem>
    <reviewItem>
      <errorID>518dbe99-7edc-4640-a97f-98ad7542f0a9</errorID>
      <errorWord>，</errorWord>
      <group>L1_Punc</group>
      <groupName>标点问题</groupName>
      <ability>L2_Punc</ability>
      <abilityName>标点符号检查</abilityName>
      <candidateList>
        <item>、</item>
      </candidateList>
      <explain/>
      <paraID> A29B609</paraID>
      <start>33</start>
      <end>34</end>
      <status>unmodified</status>
      <modifiedWord/>
      <trackRevisions>false</trackRevisions>
    </reviewItem>
    <reviewItem>
      <errorID>b0baf0a2-ce6a-4db5-9068-ecc5470a662a</errorID>
      <errorWord>-</errorWord>
      <group>L1_Format</group>
      <groupName>格式问题</groupName>
      <ability>L2_HalfPunc</ability>
      <abilityName>全半角检查</abilityName>
      <candidateList>
        <item>－</item>
      </candidateList>
      <explain>文本全半角错误。</explain>
      <paraID>1132EA34</paraID>
      <start>86</start>
      <end>87</end>
      <status>unmodified</status>
      <modifiedWord/>
      <trackRevisions>false</trackRevisions>
    </reviewItem>
    <reviewItem>
      <errorID>0c780664-05bc-46bf-bf7b-f591a61caa75</errorID>
      <errorWord>-</errorWord>
      <group>L1_Format</group>
      <groupName>格式问题</groupName>
      <ability>L2_HalfPunc</ability>
      <abilityName>全半角检查</abilityName>
      <candidateList>
        <item>－</item>
      </candidateList>
      <explain>文本全半角错误。</explain>
      <paraID>1E98E999</paraID>
      <start>70</start>
      <end>71</end>
      <status>unmodified</status>
      <modifiedWord/>
      <trackRevisions>false</trackRevisions>
    </reviewItem>
    <reviewItem>
      <errorID>2d102ec0-23e8-4fdb-9f88-c89d7b202411</errorID>
      <errorWord>-</errorWord>
      <group>L1_Format</group>
      <groupName>格式问题</groupName>
      <ability>L2_HalfPunc</ability>
      <abilityName>全半角检查</abilityName>
      <candidateList>
        <item>－</item>
      </candidateList>
      <explain>文本全半角错误。</explain>
      <paraID>1E98E999</paraID>
      <start>92</start>
      <end>93</end>
      <status>unmodified</status>
      <modifiedWord/>
      <trackRevisions>false</trackRevisions>
    </reviewItem>
    <reviewItem>
      <errorID>1ec67187-bd46-4c9e-879a-e78566b07150</errorID>
      <errorWord>外排冷却水产生量</errorWord>
      <group>L1_Word</group>
      <groupName>字词问题</groupName>
      <ability>L2_Typo</ability>
      <abilityName>字词错误</abilityName>
      <candidateList>
        <item>冷却塔排污水量</item>
      </candidateList>
      <explain/>
      <paraID> 234F143</paraID>
      <start>21</start>
      <end>29</end>
      <status>unmodified</status>
      <modifiedWord/>
      <trackRevisions>false</trackRevisions>
    </reviewItem>
    <reviewItem>
      <errorID>f1a9b8ed-caab-4552-afad-1fb90195b9ee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50911A33</paraID>
      <start>0</start>
      <end>2</end>
      <status>unmodified</status>
      <modifiedWord/>
      <trackRevisions>false</trackRevisions>
    </reviewItem>
    <reviewItem>
      <errorID>c7edd7c7-072b-4232-a08d-700a2ca0f7f8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7FEFCD76</paraID>
      <start>0</start>
      <end>2</end>
      <status>unmodified</status>
      <modifiedWord/>
      <trackRevisions>false</trackRevisions>
    </reviewItem>
    <reviewItem>
      <errorID>f9104ee8-be47-4a20-80f4-9cf233783e71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3541D116</paraID>
      <start>0</start>
      <end>2</end>
      <status>unmodified</status>
      <modifiedWord/>
      <trackRevisions>false</trackRevisions>
    </reviewItem>
    <reviewItem>
      <errorID>33f3bb57-1c52-4d6d-a3e4-ae3c8ab5992e</errorID>
      <errorWord>）</errorWord>
      <group>L1_Punc</group>
      <groupName>标点问题</groupName>
      <ability>L2_Punc</ability>
      <abilityName>标点符号检查</abilityName>
      <candidateList>
        <item/>
      </candidateList>
      <explain/>
      <paraID>52BD9992</paraID>
      <start>144</start>
      <end>145</end>
      <status>unmodified</status>
      <modifiedWord/>
      <trackRevisions>false</trackRevisions>
    </reviewItem>
    <reviewItem>
      <errorID>92f46e92-b7bf-4eb8-8248-8e607b46b9c7</errorID>
      <errorWord>环行</errorWord>
      <group>L1_Word</group>
      <groupName>字词问题</groupName>
      <ability>L2_Typo</ability>
      <abilityName>字词错误</abilityName>
      <candidateList>
        <item>循环</item>
      </candidateList>
      <explain/>
      <paraID>1CA0391A</paraID>
      <start>63</start>
      <end>65</end>
      <status>unmodified</status>
      <modifiedWord/>
      <trackRevisions>false</trackRevisions>
    </reviewItem>
    <reviewItem>
      <errorID>e254e4c5-23d3-47d6-97dd-17d93e65f827</errorID>
      <errorWord>直接</errorWord>
      <group>L1_Word</group>
      <groupName>字词问题</groupName>
      <ability>L2_Typo</ability>
      <abilityName>字词错误</abilityName>
      <candidateList>
        <item>的直接</item>
      </candidateList>
      <explain/>
      <paraID>4DA0DA6C</paraID>
      <start>70</start>
      <end>72</end>
      <status>unmodified</status>
      <modifiedWord/>
      <trackRevisions>false</trackRevisions>
    </reviewItem>
    <reviewItem>
      <errorID>7a1c383b-0187-4c28-89d7-a6e257af60ad</errorID>
      <errorWord>送入到</errorWord>
      <group>L1_Word</group>
      <groupName>字词问题</groupName>
      <ability>L2_Typo</ability>
      <abilityName>字词错误</abilityName>
      <candidateList>
        <item>送入</item>
      </candidateList>
      <explain/>
      <paraID>4DA0DA6C</paraID>
      <start>168</start>
      <end>171</end>
      <status>unmodified</status>
      <modifiedWord/>
      <trackRevisions>false</trackRevisions>
    </reviewItem>
    <reviewItem>
      <errorID>5094c03c-88bd-4367-b5a8-eff70736f6d7</errorID>
      <errorWord>汽体</errorWord>
      <group>L1_Word</group>
      <groupName>字词问题</groupName>
      <ability>L2_Typo</ability>
      <abilityName>字词错误</abilityName>
      <candidateList>
        <item>气体</item>
      </candidateList>
      <explain>〈名〉没有一定形状，没有一定体积，可以流动的物体。在常温下，空气、氧气、沼气等都是气体。</explain>
      <paraID>71EBBDD0</paraID>
      <start>153</start>
      <end>155</end>
      <status>unmodified</status>
      <modifiedWord/>
      <trackRevisions>false</trackRevisions>
    </reviewItem>
    <reviewItem>
      <errorID>ebe743c6-1ba2-4cf3-a03f-56679ee09041</errorID>
      <errorWord>汽体</errorWord>
      <group>L1_Word</group>
      <groupName>字词问题</groupName>
      <ability>L2_Typo</ability>
      <abilityName>字词错误</abilityName>
      <candidateList>
        <item>气体</item>
      </candidateList>
      <explain>存在发音相同字词的误用。</explain>
      <paraID>71EBBDD0</paraID>
      <start>172</start>
      <end>174</end>
      <status>unmodified</status>
      <modifiedWord/>
      <trackRevisions>false</trackRevisions>
    </reviewItem>
    <reviewItem>
      <errorID>660ee7cb-3d5e-4102-9a7e-953868023d96</errorID>
      <errorWord>（贫</errorWord>
      <group>L1_Word</group>
      <groupName>字词问题</groupName>
      <ability>L2_Typo</ability>
      <abilityName>字词错误</abilityName>
      <candidateList>
        <item>（</item>
      </candidateList>
      <explain/>
      <paraID>  66CCD5</paraID>
      <start>48</start>
      <end>50</end>
      <status>unmodified</status>
      <modifiedWord/>
      <trackRevisions>false</trackRevisions>
    </reviewItem>
    <reviewItem>
      <errorID>97cbbad6-b017-46b1-b0db-27839f5f9438</errorID>
      <errorWord>（</errorWord>
      <group>L1_Punc</group>
      <groupName>标点问题</groupName>
      <ability>L2_Punc</ability>
      <abilityName>标点符号检查</abilityName>
      <candidateList/>
      <explain>同一形式括号套用。</explain>
      <paraID>  66CCD5</paraID>
      <start>58</start>
      <end>59</end>
      <status>unmodified</status>
      <modifiedWord/>
      <trackRevisions>false</trackRevisions>
    </reviewItem>
    <reviewItem>
      <errorID>3ccffef3-d959-4b8e-9baf-925470007dd9</errorID>
      <errorWord>）</errorWord>
      <group>L1_Punc</group>
      <groupName>标点问题</groupName>
      <ability>L2_Punc</ability>
      <abilityName>标点符号检查</abilityName>
      <candidateList/>
      <explain>同一形式括号套用。</explain>
      <paraID>  66CCD5</paraID>
      <start>65</start>
      <end>66</end>
      <status>unmodified</status>
      <modifiedWord/>
      <trackRevisions>false</trackRevisions>
    </reviewItem>
    <reviewItem>
      <errorID>5283fcbb-f07d-4694-b37d-1514e041c1cf</errorID>
      <errorWord>热交换器、贫油经冷却器冷却</errorWord>
      <group>L1_Grammar</group>
      <groupName>语法问题</groupName>
      <ability>L2_Grammar</ability>
      <abilityName>语法错误</abilityName>
      <candidateList>
        <item>热交换器</item>
      </candidateList>
      <explain/>
      <paraID>  66CCD5</paraID>
      <start>208</start>
      <end>221</end>
      <status>unmodified</status>
      <modifiedWord/>
      <trackRevisions>false</trackRevisions>
    </reviewItem>
    <reviewItem>
      <errorID>0fadc752-bf30-48db-9cf1-52ecaed36b27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786DC54C</paraID>
      <start>0</start>
      <end>2</end>
      <status>unmodified</status>
      <modifiedWord/>
      <trackRevisions>false</trackRevisions>
    </reviewItem>
    <reviewItem>
      <errorID>d331e9d3-d20c-4a64-9ec0-10fe05098e8e</errorID>
      <errorWord>胚</errorWord>
      <group>L1_Word</group>
      <groupName>字词问题</groupName>
      <ability>L2_Typo</ability>
      <abilityName>字词错误</abilityName>
      <candidateList>
        <item>坯</item>
      </candidateList>
      <explain>存在发音相近字词的误用。</explain>
      <paraID>68150ACD</paraID>
      <start>45</start>
      <end>46</end>
      <status>unmodified</status>
      <modifiedWord/>
      <trackRevisions>false</trackRevisions>
    </reviewItem>
    <reviewItem>
      <errorID>52ae6308-cc7d-41ea-b797-6c122319d95f</errorID>
      <errorWord>6%-8%</errorWord>
      <group>L1_Knowledge</group>
      <groupName>知识性问题</groupName>
      <ability>L2_Knowledge</ability>
      <abilityName>其他知识</abilityName>
      <candidateList>
        <item>6%—8%</item>
      </candidateList>
      <explain>1. “6%-8%”中的单位“%”仅出现在后一个数字上，容易引起歧义；根据《现代汉语标点符号数字用法规范手册》，数字表示范围两边需要使用统一的格式。2. 根据标点国标 4.13 中的规则，数字、时间或地域连接符应使用（视觉上更长的）“—”或“～”。</explain>
      <paraID>379CD2D7</paraID>
      <start>25</start>
      <end>30</end>
      <status>unmodified</status>
      <modifiedWord/>
      <trackRevisions>false</trackRevisions>
    </reviewItem>
    <reviewItem>
      <errorID>fcf7feff-b34f-4a79-b000-1b572dd8536f</errorID>
      <errorWord>脱色</errorWord>
      <group>L1_Punc</group>
      <groupName>标点问题</groupName>
      <ability>L2_Punc</ability>
      <abilityName>标点符号检查</abilityName>
      <candidateList>
        <item>脱色：</item>
      </candidateList>
      <explain/>
      <paraID>31090A05</paraID>
      <start>1</start>
      <end>3</end>
      <status>unmodified</status>
      <modifiedWord/>
      <trackRevisions>false</trackRevisions>
    </reviewItem>
    <reviewItem>
      <errorID>ecafe6fb-d081-49a0-94aa-fbf10503bbf5</errorID>
      <errorWord>1%-3%</errorWord>
      <group>L1_Knowledge</group>
      <groupName>知识性问题</groupName>
      <ability>L2_Knowledge</ability>
      <abilityName>其他知识</abilityName>
      <candidateList>
        <item>1%—3%</item>
      </candidateList>
      <explain>1. “1%-3%”中的单位“%”仅出现在后一个数字上，容易引起歧义；根据《现代汉语标点符号数字用法规范手册》，数字表示范围两边需要使用统一的格式。2. 根据标点国标 4.13 中的规则，数字、时间或地域连接符应使用（视觉上更长的）“—”或“～”。</explain>
      <paraID>1BF65093</paraID>
      <start>28</start>
      <end>33</end>
      <status>unmodified</status>
      <modifiedWord/>
      <trackRevisions>false</trackRevisions>
    </reviewItem>
    <reviewItem>
      <errorID>5a56f147-c5a0-4067-b3b5-52c8c88f11ba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1BF65093</paraID>
      <start>48</start>
      <end>49</end>
      <status>unmodified</status>
      <modifiedWord/>
      <trackRevisions>false</trackRevisions>
    </reviewItem>
    <reviewItem>
      <errorID>f5b38e81-ab56-4b41-b475-acb047316eed</errorID>
      <errorWord>过滤</errorWord>
      <group>L1_Punc</group>
      <groupName>标点问题</groupName>
      <ability>L2_Punc</ability>
      <abilityName>标点符号检查</abilityName>
      <candidateList>
        <item>过滤：</item>
      </candidateList>
      <explain/>
      <paraID>3C196F49</paraID>
      <start>1</start>
      <end>3</end>
      <status>unmodified</status>
      <modifiedWord/>
      <trackRevisions>false</trackRevisions>
    </reviewItem>
    <reviewItem>
      <errorID>11031fca-4b54-4ae2-8207-be00c32c704b</errorID>
      <errorWord>泵</errorWord>
      <group>L1_Word</group>
      <groupName>字词问题</groupName>
      <ability>L2_Typo</ability>
      <abilityName>字词错误</abilityName>
      <candidateList>
        <item>泵进</item>
      </candidateList>
      <explain/>
      <paraID>5336F1E4</paraID>
      <start>51</start>
      <end>52</end>
      <status>unmodified</status>
      <modifiedWord/>
      <trackRevisions>false</trackRevisions>
    </reviewItem>
    <reviewItem>
      <errorID>5abe2883-771b-4dd1-98b9-c94f69c23721</errorID>
      <errorWord>-</errorWord>
      <group>L1_Format</group>
      <groupName>格式问题</groupName>
      <ability>L2_HalfPunc</ability>
      <abilityName>全半角检查</abilityName>
      <candidateList>
        <item>－</item>
      </candidateList>
      <explain>文本全半角错误。</explain>
      <paraID>5336F1E4</paraID>
      <start>87</start>
      <end>88</end>
      <status>unmodified</status>
      <modifiedWord/>
      <trackRevisions>false</trackRevisions>
    </reviewItem>
    <reviewItem>
      <errorID>9938675f-78aa-4d57-b102-c26e0c3d290f</errorID>
      <errorWord>脱臭</errorWord>
      <group>L1_Punc</group>
      <groupName>标点问题</groupName>
      <ability>L2_Punc</ability>
      <abilityName>标点符号检查</abilityName>
      <candidateList>
        <item>脱臭：</item>
      </candidateList>
      <explain/>
      <paraID> CBDF481</paraID>
      <start>1</start>
      <end>3</end>
      <status>unmodified</status>
      <modifiedWord/>
      <trackRevisions>false</trackRevisions>
    </reviewItem>
    <reviewItem>
      <errorID>0ba3f12e-11f9-48fe-9390-89ccdcc44a27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3DF7052E</paraID>
      <start>124</start>
      <end>125</end>
      <status>unmodified</status>
      <modifiedWord/>
      <trackRevisions>false</trackRevisions>
    </reviewItem>
    <reviewItem>
      <errorID>513fb1c4-ad86-4b51-9b5a-91abdeef420d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16A01A9D</paraID>
      <start>0</start>
      <end>2</end>
      <status>unmodified</status>
      <modifiedWord/>
      <trackRevisions>false</trackRevisions>
    </reviewItem>
    <reviewItem>
      <errorID>cab9d83e-baab-46e8-a961-03f6387fe424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9E34AAA</paraID>
      <start>0</start>
      <end>2</end>
      <status>unmodified</status>
      <modifiedWord/>
      <trackRevisions>false</trackRevisions>
    </reviewItem>
    <reviewItem>
      <errorID>d6b620cb-5bdd-4804-bdc7-c503b6ac5fab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2E951A19</paraID>
      <start>0</start>
      <end>2</end>
      <status>unmodified</status>
      <modifiedWord/>
      <trackRevisions>false</trackRevisions>
    </reviewItem>
    <reviewItem>
      <errorID>14697d84-5343-49dc-900d-e7b4d4e1415f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65185319</paraID>
      <start>0</start>
      <end>2</end>
      <status>unmodified</status>
      <modifiedWord/>
      <trackRevisions>false</trackRevisions>
    </reviewItem>
    <reviewItem>
      <errorID>051bc59e-9412-4a1a-beb9-1faf466e479c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76BC3854</paraID>
      <start>0</start>
      <end>2</end>
      <status>unmodified</status>
      <modifiedWord/>
      <trackRevisions>false</trackRevisions>
    </reviewItem>
    <reviewItem>
      <errorID>bd02435b-e04f-4846-9f2e-32679600c47c</errorID>
      <errorWord>（</errorWord>
      <group>L1_Format</group>
      <groupName>格式问题</groupName>
      <ability>L2_HalfPunc</ability>
      <abilityName>全半角检查</abilityName>
      <candidateList>
        <item>(</item>
      </candidateList>
      <explain>文本全半角错误。</explain>
      <paraID> 3A0366B</paraID>
      <start>0</start>
      <end>1</end>
      <status>unmodified</status>
      <modifiedWord/>
      <trackRevisions>false</trackRevisions>
    </reviewItem>
    <reviewItem>
      <errorID>e696d541-ea88-4eda-8148-6acfff4ed779</errorID>
      <errorWord>）</errorWord>
      <group>L1_Format</group>
      <groupName>格式问题</groupName>
      <ability>L2_HalfPunc</ability>
      <abilityName>全半角检查</abilityName>
      <candidateList>
        <item>)</item>
      </candidateList>
      <explain>文本全半角错误。</explain>
      <paraID> 3A0366B</paraID>
      <start>6</start>
      <end>7</end>
      <status>unmodified</status>
      <modifiedWord/>
      <trackRevisions>false</trackRevisions>
    </reviewItem>
    <reviewItem>
      <errorID>64ab2014-2505-4a96-a5d2-ceed2f89d32f</errorID>
      <errorWord>（</errorWord>
      <group>L1_Format</group>
      <groupName>格式问题</groupName>
      <ability>L2_HalfPunc</ability>
      <abilityName>全半角检查</abilityName>
      <candidateList>
        <item>(</item>
      </candidateList>
      <explain>文本全半角错误。</explain>
      <paraID>191D8ED7</paraID>
      <start>0</start>
      <end>1</end>
      <status>unmodified</status>
      <modifiedWord/>
      <trackRevisions>false</trackRevisions>
    </reviewItem>
    <reviewItem>
      <errorID>9624d4f1-9659-470c-af29-95bcbf7392a9</errorID>
      <errorWord>）</errorWord>
      <group>L1_Format</group>
      <groupName>格式问题</groupName>
      <ability>L2_HalfPunc</ability>
      <abilityName>全半角检查</abilityName>
      <candidateList>
        <item>)</item>
      </candidateList>
      <explain>文本全半角错误。</explain>
      <paraID>191D8ED7</paraID>
      <start>6</start>
      <end>7</end>
      <status>unmodified</status>
      <modifiedWord/>
      <trackRevisions>false</trackRevisions>
    </reviewItem>
    <reviewItem>
      <errorID>2e62f950-2a8c-434a-99c9-3f0ec91e1ceb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140DCAB3</paraID>
      <start>0</start>
      <end>2</end>
      <status>unmodified</status>
      <modifiedWord/>
      <trackRevisions>false</trackRevisions>
    </reviewItem>
    <reviewItem>
      <errorID>2da77d9a-f8d9-40ba-99e3-79d8b5968b50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BE0ADFE</paraID>
      <start>234</start>
      <end>235</end>
      <status>unmodified</status>
      <modifiedWord/>
      <trackRevisions>false</trackRevisions>
    </reviewItem>
    <reviewItem>
      <errorID>75142051-38e9-4545-887e-92121b1eaa8a</errorID>
      <errorWord>）中</errorWord>
      <group>L1_Word</group>
      <groupName>字词问题</groupName>
      <ability>L2_Typo</ability>
      <abilityName>字词错误</abilityName>
      <candidateList>
        <item>）</item>
      </candidateList>
      <explain/>
      <paraID>2305CAD3</paraID>
      <start>29</start>
      <end>31</end>
      <status>unmodified</status>
      <modifiedWord/>
      <trackRevisions>false</trackRevisions>
    </reviewItem>
    <reviewItem>
      <errorID>04193d34-ffeb-4031-a686-7013c1dba45b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6A1A1697</paraID>
      <start>22</start>
      <end>23</end>
      <status>unmodified</status>
      <modifiedWord/>
      <trackRevisions>false</trackRevisions>
    </reviewItem>
    <reviewItem>
      <errorID>c18fd8ac-f930-47a2-bb9e-52fe172b460e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19B385CE</paraID>
      <start>0</start>
      <end>2</end>
      <status>unmodified</status>
      <modifiedWord/>
      <trackRevisions>false</trackRevisions>
    </reviewItem>
    <reviewItem>
      <errorID>6259806b-3b26-42d0-9889-9b089554ecee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707D7E25</paraID>
      <start>0</start>
      <end>2</end>
      <status>unmodified</status>
      <modifiedWord/>
      <trackRevisions>false</trackRevisions>
    </reviewItem>
    <reviewItem>
      <errorID>57e2cf6f-d35c-4f9f-ac5b-a17b2655b2cf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7C8F2480</paraID>
      <start>0</start>
      <end>2</end>
      <status>unmodified</status>
      <modifiedWord/>
      <trackRevisions>false</trackRevisions>
    </reviewItem>
    <reviewItem>
      <errorID>530e066f-da14-4e77-b3d3-a56e167e162b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65FF4ADE</paraID>
      <start>0</start>
      <end>2</end>
      <status>unmodified</status>
      <modifiedWord/>
      <trackRevisions>false</trackRevisions>
    </reviewItem>
    <reviewItem>
      <errorID>89a5763b-e9a8-4a87-a02f-91a3e4ab717e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1508ACAD</paraID>
      <start>0</start>
      <end>2</end>
      <status>unmodified</status>
      <modifiedWord/>
      <trackRevisions>false</trackRevisions>
    </reviewItem>
    <reviewItem>
      <errorID>ba1306a5-931e-4a8b-8ab0-03966e6e6280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18F7B9E8</paraID>
      <start>0</start>
      <end>2</end>
      <status>unmodified</status>
      <modifiedWord/>
      <trackRevisions>false</trackRevisions>
    </reviewItem>
    <reviewItem>
      <errorID>46699c3b-60df-4d57-9f71-8ccedf46be2c</errorID>
      <errorWord>（</errorWord>
      <group>L1_Format</group>
      <groupName>格式问题</groupName>
      <ability>L2_HalfPunc</ability>
      <abilityName>全半角检查</abilityName>
      <candidateList>
        <item>(</item>
      </candidateList>
      <explain>文本全半角错误。</explain>
      <paraID>18A2CCED</paraID>
      <start>0</start>
      <end>1</end>
      <status>unmodified</status>
      <modifiedWord/>
      <trackRevisions>false</trackRevisions>
    </reviewItem>
    <reviewItem>
      <errorID>fd2a2724-6d64-452c-b493-439946f903ed</errorID>
      <errorWord>）</errorWord>
      <group>L1_Format</group>
      <groupName>格式问题</groupName>
      <ability>L2_HalfPunc</ability>
      <abilityName>全半角检查</abilityName>
      <candidateList>
        <item>)</item>
      </candidateList>
      <explain>文本全半角错误。</explain>
      <paraID>18A2CCED</paraID>
      <start>13</start>
      <end>14</end>
      <status>unmodified</status>
      <modifiedWord/>
      <trackRevisions>false</trackRevisions>
    </reviewItem>
    <reviewItem>
      <errorID>0ee755d3-8d54-49c7-adaf-10b0c351f04e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50AD3CB6</paraID>
      <start>0</start>
      <end>2</end>
      <status>unmodified</status>
      <modifiedWord/>
      <trackRevisions>false</trackRevisions>
    </reviewItem>
    <reviewItem>
      <errorID>3c6085e7-5448-4891-8e2f-c2dfde39693f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3617F23F</paraID>
      <start>0</start>
      <end>2</end>
      <status>unmodified</status>
      <modifiedWord/>
      <trackRevisions>false</trackRevisions>
    </reviewItem>
    <reviewItem>
      <errorID>5cd96c65-c4e9-4735-a6cf-afdfa5a64630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7E4F8B25</paraID>
      <start>0</start>
      <end>2</end>
      <status>unmodified</status>
      <modifiedWord/>
      <trackRevisions>false</trackRevisions>
    </reviewItem>
    <reviewItem>
      <errorID>4580d284-721c-4f7d-805a-21249eeb7786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279A3281</paraID>
      <start>0</start>
      <end>2</end>
      <status>unmodified</status>
      <modifiedWord/>
      <trackRevisions>false</trackRevisions>
    </reviewItem>
    <reviewItem>
      <errorID>d8dc2f95-6cfc-41d4-8ec5-fab5c7d3d811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71D753CA</paraID>
      <start>0</start>
      <end>2</end>
      <status>unmodified</status>
      <modifiedWord/>
      <trackRevisions>false</trackRevisions>
    </reviewItem>
    <reviewItem>
      <errorID>9812537b-3f2f-4789-83ee-0ea25a779aa0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4BE6191D</paraID>
      <start>0</start>
      <end>2</end>
      <status>unmodified</status>
      <modifiedWord/>
      <trackRevisions>false</trackRevisions>
    </reviewItem>
    <reviewItem>
      <errorID>d80e88f2-8f38-4e9d-8135-0abbe26534b6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4EC9A2CE</paraID>
      <start>0</start>
      <end>2</end>
      <status>unmodified</status>
      <modifiedWord/>
      <trackRevisions>false</trackRevisions>
    </reviewItem>
    <reviewItem>
      <errorID>217555ba-6e89-49b4-bf8c-003747f9a06a</errorID>
      <errorWord>：</errorWord>
      <group>L1_Format</group>
      <groupName>格式问题</groupName>
      <ability>L2_HalfPunc</ability>
      <abilityName>全半角检查</abilityName>
      <candidateList>
        <item>:</item>
      </candidateList>
      <explain>文本全半角错误。</explain>
      <paraID>4EC9A2CE</paraID>
      <start>20</start>
      <end>21</end>
      <status>unmodified</status>
      <modifiedWord/>
      <trackRevisions>false</trackRevisions>
    </reviewItem>
    <reviewItem>
      <errorID>5c19c08c-23cd-4a50-87d6-3695fe6f50aa</errorID>
      <errorWord>：</errorWord>
      <group>L1_Format</group>
      <groupName>格式问题</groupName>
      <ability>L2_HalfPunc</ability>
      <abilityName>全半角检查</abilityName>
      <candidateList>
        <item>:</item>
      </candidateList>
      <explain>文本全半角错误。</explain>
      <paraID>4EC9A2CE</paraID>
      <start>26</start>
      <end>27</end>
      <status>unmodified</status>
      <modifiedWord/>
      <trackRevisions>false</trackRevisions>
    </reviewItem>
    <reviewItem>
      <errorID>a9e2c038-3d95-4bfa-bb22-43420468bb45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4A76A2CA</paraID>
      <start>0</start>
      <end>2</end>
      <status>unmodified</status>
      <modifiedWord/>
      <trackRevisions>false</trackRevisions>
    </reviewItem>
    <reviewItem>
      <errorID>2d796d2b-4728-471e-8376-2e7cd2879bdd</errorID>
      <errorWord>程</errorWord>
      <group>L1_Word</group>
      <groupName>字词问题</groupName>
      <ability>L2_Typo</ability>
      <abilityName>字词错误</abilityName>
      <candidateList>
        <item>程中</item>
      </candidateList>
      <explain/>
      <paraID>143016D5</paraID>
      <start>264</start>
      <end>265</end>
      <status>unmodified</status>
      <modifiedWord/>
      <trackRevisions>false</trackRevisions>
    </reviewItem>
    <reviewItem>
      <errorID>d9b38cfb-4fd2-4e37-ad46-89ee7da2bf87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250F9BD9</paraID>
      <start>0</start>
      <end>2</end>
      <status>unmodified</status>
      <modifiedWord/>
      <trackRevisions>false</trackRevisions>
    </reviewItem>
    <reviewItem>
      <errorID>e4013818-e311-46a7-bfc4-e7e375fc346e</errorID>
      <errorWord>石蜡油</errorWord>
      <group>L1_Knowledge</group>
      <groupName>知识性问题</groupName>
      <ability>L2_Term</ability>
      <abilityName>专业术语</abilityName>
      <candidateList>
        <item>液状石蜡</item>
      </candidateList>
      <explain>医学名词[石蜡油]为不规范表述或旧称，其规范书面表述为[液状石蜡]。</explain>
      <paraID>75613C2F</paraID>
      <start>39</start>
      <end>42</end>
      <status>unmodified</status>
      <modifiedWord/>
      <trackRevisions>false</trackRevisions>
    </reviewItem>
    <reviewItem>
      <errorID>e2139d5e-fe20-47fb-aba7-bf19ce427774</errorID>
      <errorWord>0.2%-0.4%</errorWord>
      <group>L1_Knowledge</group>
      <groupName>知识性问题</groupName>
      <ability>L2_Knowledge</ability>
      <abilityName>其他知识</abilityName>
      <candidateList>
        <item>0.2%—0.4%</item>
      </candidateList>
      <explain>1. “0.2%-0.4%”中的单位“%”仅出现在后一个数字上，容易引起歧义；根据《现代汉语标点符号数字用法规范手册》，数字表示范围两边需要使用统一的格式。2. 根据标点国标 4.13 中的规则，数字、时间或地域连接符应使用（视觉上更长的）“—”或“～”。</explain>
      <paraID>3DD3D131</paraID>
      <start>220</start>
      <end>229</end>
      <status>unmodified</status>
      <modifiedWord/>
      <trackRevisions>false</trackRevisions>
    </reviewItem>
    <reviewItem>
      <errorID>1ca2a689-b695-445e-a47b-9e3c37bc3e9e</errorID>
      <errorWord>-</errorWord>
      <group>L1_Format</group>
      <groupName>格式问题</groupName>
      <ability>L2_HalfPunc</ability>
      <abilityName>全半角检查</abilityName>
      <candidateList>
        <item>－</item>
      </candidateList>
      <explain>文本全半角错误。</explain>
      <paraID>4DE46B33</paraID>
      <start>44</start>
      <end>45</end>
      <status>unmodified</status>
      <modifiedWord/>
      <trackRevisions>false</trackRevisions>
    </reviewItem>
    <reviewItem>
      <errorID>9a01c6f3-2f66-4d58-917e-3fdd7eb13b7f</errorID>
      <errorWord>10%-20%</errorWord>
      <group>L1_Knowledge</group>
      <groupName>知识性问题</groupName>
      <ability>L2_Knowledge</ability>
      <abilityName>其他知识</abilityName>
      <candidateList>
        <item>10%—20%</item>
      </candidateList>
      <explain>1. “10%-20%”中的单位“%”仅出现在后一个数字上，容易引起歧义；根据《现代汉语标点符号数字用法规范手册》，数字表示范围两边需要使用统一的格式。2. 根据标点国标 4.13 中的规则，数字、时间或地域连接符应使用（视觉上更长的）“—”或“～”。</explain>
      <paraID>4D093669</paraID>
      <start>37</start>
      <end>44</end>
      <status>unmodified</status>
      <modifiedWord/>
      <trackRevisions>false</trackRevisions>
    </reviewItem>
    <reviewItem>
      <errorID>a3418346-86e5-4893-a906-4fdd425ac17d</errorID>
      <errorWord>（</errorWord>
      <group>L1_Punc</group>
      <groupName>标点问题</groupName>
      <ability>L2_Punc</ability>
      <abilityName>标点符号检查</abilityName>
      <candidateList/>
      <explain>同一形式括号套用。</explain>
      <paraID>195C58C2</paraID>
      <start>26</start>
      <end>27</end>
      <status>unmodified</status>
      <modifiedWord/>
      <trackRevisions>false</trackRevisions>
    </reviewItem>
    <reviewItem>
      <errorID>3b8f9692-3017-4366-90dd-2e0d54175a26</errorID>
      <errorWord>）</errorWord>
      <group>L1_Punc</group>
      <groupName>标点问题</groupName>
      <ability>L2_Punc</ability>
      <abilityName>标点符号检查</abilityName>
      <candidateList/>
      <explain>同一形式括号套用。</explain>
      <paraID>195C58C2</paraID>
      <start>41</start>
      <end>42</end>
      <status>unmodified</status>
      <modifiedWord/>
      <trackRevisions>false</trackRevisions>
    </reviewItem>
    <reviewItem>
      <errorID>2228fb4b-570a-4216-b6b7-5c280413a56e</errorID>
      <errorWord>5%-15%</errorWord>
      <group>L1_Knowledge</group>
      <groupName>知识性问题</groupName>
      <ability>L2_Knowledge</ability>
      <abilityName>其他知识</abilityName>
      <candidateList>
        <item>5%—15%</item>
      </candidateList>
      <explain>1. “5%-15%”中的单位“%”仅出现在后一个数字上，容易引起歧义；根据《现代汉语标点符号数字用法规范手册》，数字表示范围两边需要使用统一的格式。2. 根据标点国标 4.13 中的规则，数字、时间或地域连接符应使用（视觉上更长的）“—”或“～”。</explain>
      <paraID>34C8F8B7</paraID>
      <start>40</start>
      <end>46</end>
      <status>unmodified</status>
      <modifiedWord/>
      <trackRevisions>false</trackRevisions>
    </reviewItem>
    <reviewItem>
      <errorID>c73bb7d7-9988-4fcc-a251-cdfd6580a2f9</errorID>
      <errorWord>-</errorWord>
      <group>L1_Format</group>
      <groupName>格式问题</groupName>
      <ability>L2_HalfPunc</ability>
      <abilityName>全半角检查</abilityName>
      <candidateList>
        <item>－</item>
      </candidateList>
      <explain>文本全半角错误。</explain>
      <paraID>5BB81166</paraID>
      <start>4</start>
      <end>5</end>
      <status>unmodified</status>
      <modifiedWord/>
      <trackRevisions>false</trackRevisions>
    </reviewItem>
    <reviewItem>
      <errorID>2a5f6973-6324-47b7-949f-a59b6e216643</errorID>
      <errorWord>~</errorWord>
      <group>L1_Format</group>
      <groupName>格式问题</groupName>
      <ability>L2_HalfPunc</ability>
      <abilityName>全半角检查</abilityName>
      <candidateList>
        <item>～</item>
      </candidateList>
      <explain>文本全半角错误。</explain>
      <paraID>73F43374</paraID>
      <start>30</start>
      <end>31</end>
      <status>unmodified</status>
      <modifiedWord/>
      <trackRevisions>false</trackRevisions>
    </reviewItem>
    <reviewItem>
      <errorID>0e9ff118-5201-482f-87fd-cc643ab2b4be</errorID>
      <errorWord>：</errorWord>
      <group>L1_Format</group>
      <groupName>格式问题</groupName>
      <ability>L2_HalfPunc</ability>
      <abilityName>全半角检查</abilityName>
      <candidateList>
        <item>:</item>
      </candidateList>
      <explain>文本全半角错误。</explain>
      <paraID>1E94027B</paraID>
      <start>53</start>
      <end>54</end>
      <status>unmodified</status>
      <modifiedWord/>
      <trackRevisions>false</trackRevisions>
    </reviewItem>
    <reviewItem>
      <errorID>0808a79d-9454-4dab-a427-9ec0bce40464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1CBDBDFD</paraID>
      <start>0</start>
      <end>2</end>
      <status>unmodified</status>
      <modifiedWord/>
      <trackRevisions>false</trackRevisions>
    </reviewItem>
    <reviewItem>
      <errorID>b4f43052-ee54-43bf-bad0-7c5d8a3e125c</errorID>
      <errorWord>（</errorWord>
      <group>L1_Format</group>
      <groupName>格式问题</groupName>
      <ability>L2_HalfPunc</ability>
      <abilityName>全半角检查</abilityName>
      <candidateList>
        <item>(</item>
      </candidateList>
      <explain>文本全半角错误。</explain>
      <paraID>13798159</paraID>
      <start>0</start>
      <end>1</end>
      <status>unmodified</status>
      <modifiedWord/>
      <trackRevisions>false</trackRevisions>
    </reviewItem>
    <reviewItem>
      <errorID>e6726165-2ea3-4317-a4cb-0761b15c4870</errorID>
      <errorWord>）</errorWord>
      <group>L1_Format</group>
      <groupName>格式问题</groupName>
      <ability>L2_HalfPunc</ability>
      <abilityName>全半角检查</abilityName>
      <candidateList>
        <item>)</item>
      </candidateList>
      <explain>文本全半角错误。</explain>
      <paraID>13798159</paraID>
      <start>6</start>
      <end>7</end>
      <status>unmodified</status>
      <modifiedWord/>
      <trackRevisions>false</trackRevisions>
    </reviewItem>
    <reviewItem>
      <errorID>4c7d3a7c-66d9-40cf-a1e9-f01c80211b83</errorID>
      <errorWord>（</errorWord>
      <group>L1_Format</group>
      <groupName>格式问题</groupName>
      <ability>L2_HalfPunc</ability>
      <abilityName>全半角检查</abilityName>
      <candidateList>
        <item>(</item>
      </candidateList>
      <explain>文本全半角错误。</explain>
      <paraID>5DD297E5</paraID>
      <start>0</start>
      <end>1</end>
      <status>unmodified</status>
      <modifiedWord/>
      <trackRevisions>false</trackRevisions>
    </reviewItem>
    <reviewItem>
      <errorID>32a779b7-db69-4454-8b4b-ffcfe027c3eb</errorID>
      <errorWord>）</errorWord>
      <group>L1_Format</group>
      <groupName>格式问题</groupName>
      <ability>L2_HalfPunc</ability>
      <abilityName>全半角检查</abilityName>
      <candidateList>
        <item>)</item>
      </candidateList>
      <explain>文本全半角错误。</explain>
      <paraID>5DD297E5</paraID>
      <start>5</start>
      <end>6</end>
      <status>unmodified</status>
      <modifiedWord/>
      <trackRevisions>false</trackRevisions>
    </reviewItem>
    <reviewItem>
      <errorID>e05f70bb-14a3-419c-af72-e25c022dfe75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667444FC</paraID>
      <start>0</start>
      <end>2</end>
      <status>unmodified</status>
      <modifiedWord/>
      <trackRevisions>false</trackRevisions>
    </reviewItem>
    <reviewItem>
      <errorID>9fe321e0-f7fd-43c3-9fd8-e385ab8605f2</errorID>
      <errorWord>石蜡油</errorWord>
      <group>L1_Knowledge</group>
      <groupName>知识性问题</groupName>
      <ability>L2_Term</ability>
      <abilityName>专业术语</abilityName>
      <candidateList>
        <item>液状石蜡</item>
      </candidateList>
      <explain>医学名词[石蜡油]为不规范表述或旧称，其规范书面表述为[液状石蜡]。</explain>
      <paraID>50DCBC25</paraID>
      <start>52</start>
      <end>55</end>
      <status>unmodified</status>
      <modifiedWord/>
      <trackRevisions>false</trackRevisions>
    </reviewItem>
    <reviewItem>
      <errorID>16ebd960-1d29-4a81-a0a6-e58518643df8</errorID>
      <errorWord>石蜡油</errorWord>
      <group>L1_Knowledge</group>
      <groupName>知识性问题</groupName>
      <ability>L2_Term</ability>
      <abilityName>专业术语</abilityName>
      <candidateList>
        <item>液状石蜡</item>
      </candidateList>
      <explain>医学名词[石蜡油]为不规范表述或旧称，其规范书面表述为[液状石蜡]。</explain>
      <paraID>104BAF13</paraID>
      <start>55</start>
      <end>58</end>
      <status>unmodified</status>
      <modifiedWord/>
      <trackRevisions>false</trackRevisions>
    </reviewItem>
    <reviewItem>
      <errorID>955bdb48-5f61-4a40-a88a-688667f85762</errorID>
      <errorWord>石蜡油</errorWord>
      <group>L1_Knowledge</group>
      <groupName>知识性问题</groupName>
      <ability>L2_Term</ability>
      <abilityName>专业术语</abilityName>
      <candidateList>
        <item>液状石蜡</item>
      </candidateList>
      <explain>医学名词[石蜡油]为不规范表述或旧称，其规范书面表述为[液状石蜡]。</explain>
      <paraID>385BD084</paraID>
      <start>16</start>
      <end>19</end>
      <status>unmodified</status>
      <modifiedWord/>
      <trackRevisions>false</trackRevisions>
    </reviewItem>
    <reviewItem>
      <errorID>11e42f4d-c3fc-44ae-bfc5-365eb258afe4</errorID>
      <errorWord>：</errorWord>
      <group>L1_Format</group>
      <groupName>格式问题</groupName>
      <ability>L2_HalfPunc</ability>
      <abilityName>全半角检查</abilityName>
      <candidateList>
        <item>:</item>
      </candidateList>
      <explain>文本全半角错误。</explain>
      <paraID>53941C7E</paraID>
      <start>147</start>
      <end>148</end>
      <status>unmodified</status>
      <modifiedWord/>
      <trackRevisions>false</trackRevisions>
    </reviewItem>
    <reviewItem>
      <errorID>08845cb8-071b-493f-8a83-3f6d46f30fbe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1185ECF1</paraID>
      <start>0</start>
      <end>2</end>
      <status>unmodified</status>
      <modifiedWord/>
      <trackRevisions>false</trackRevisions>
    </reviewItem>
    <reviewItem>
      <errorID>eb91387b-4ef2-490c-a4ff-982691a86b5e</errorID>
      <errorWord>石蜡油</errorWord>
      <group>L1_Knowledge</group>
      <groupName>知识性问题</groupName>
      <ability>L2_Term</ability>
      <abilityName>专业术语</abilityName>
      <candidateList>
        <item>液状石蜡</item>
      </candidateList>
      <explain>医学名词[石蜡油]为不规范表述或旧称，其规范书面表述为[液状石蜡]。</explain>
      <paraID>50140308</paraID>
      <start>17</start>
      <end>20</end>
      <status>unmodified</status>
      <modifiedWord/>
      <trackRevisions>false</trackRevisions>
    </reviewItem>
    <reviewItem>
      <errorID>2e3d8d81-2a3b-4fd5-b9b5-2f61e5bc7d39</errorID>
      <errorWord>石蜡油</errorWord>
      <group>L1_Knowledge</group>
      <groupName>知识性问题</groupName>
      <ability>L2_Term</ability>
      <abilityName>专业术语</abilityName>
      <candidateList>
        <item>液状石蜡</item>
      </candidateList>
      <explain>医学名词[石蜡油]为不规范表述或旧称，其规范书面表述为[液状石蜡]。</explain>
      <paraID>50140308</paraID>
      <start>81</start>
      <end>84</end>
      <status>unmodified</status>
      <modifiedWord/>
      <trackRevisions>false</trackRevisions>
    </reviewItem>
    <reviewItem>
      <errorID>c51423e4-cccd-4300-b951-ee94b9a98d6a</errorID>
      <errorWord>石蜡油</errorWord>
      <group>L1_Knowledge</group>
      <groupName>知识性问题</groupName>
      <ability>L2_Term</ability>
      <abilityName>专业术语</abilityName>
      <candidateList>
        <item>液状石蜡</item>
      </candidateList>
      <explain>医学名词[石蜡油]为不规范表述或旧称，其规范书面表述为[液状石蜡]。</explain>
      <paraID>76C50577</paraID>
      <start>13</start>
      <end>16</end>
      <status>unmodified</status>
      <modifiedWord/>
      <trackRevisions>false</trackRevisions>
    </reviewItem>
    <reviewItem>
      <errorID>b9b06853-83e1-4a0d-8679-252b33ddaebb</errorID>
      <errorWord>石蜡油</errorWord>
      <group>L1_Knowledge</group>
      <groupName>知识性问题</groupName>
      <ability>L2_Term</ability>
      <abilityName>专业术语</abilityName>
      <candidateList>
        <item>液状石蜡</item>
      </candidateList>
      <explain>医学名词[石蜡油]为不规范表述或旧称，其规范书面表述为[液状石蜡]。</explain>
      <paraID>76C50577</paraID>
      <start>83</start>
      <end>86</end>
      <status>unmodified</status>
      <modifiedWord/>
      <trackRevisions>false</trackRevisions>
    </reviewItem>
    <reviewItem>
      <errorID>45424a8e-d485-446b-8fea-9e8e47a5f7fb</errorID>
      <errorWord>空隙</errorWord>
      <group>L1_Word</group>
      <groupName>字词问题</groupName>
      <ability>L2_Typo</ability>
      <abilityName>字词错误</abilityName>
      <candidateList>
        <item>孔隙</item>
      </candidateList>
      <explain>存在发音相同字词的误用。</explain>
      <paraID> 30D5082</paraID>
      <start>46</start>
      <end>48</end>
      <status>modified</status>
      <modifiedWord>孔隙</modifiedWord>
      <trackRevisions>false</trackRevisions>
    </reviewItem>
    <reviewItem>
      <errorID>5de75d73-77fc-4437-a570-21d9d591faa6</errorID>
      <errorWord>-</errorWord>
      <group>L1_Format</group>
      <groupName>格式问题</groupName>
      <ability>L2_HalfPunc</ability>
      <abilityName>全半角检查</abilityName>
      <candidateList>
        <item>－</item>
      </candidateList>
      <explain>文本全半角错误。</explain>
      <paraID> A5EF303</paraID>
      <start>26</start>
      <end>27</end>
      <status>unmodified</status>
      <modifiedWord/>
      <trackRevisions>false</trackRevisions>
    </reviewItem>
    <reviewItem>
      <errorID>a676291f-9aca-4836-8a1d-b7a801bbd50b</errorID>
      <errorWord>-</errorWord>
      <group>L1_Format</group>
      <groupName>格式问题</groupName>
      <ability>L2_HalfPunc</ability>
      <abilityName>全半角检查</abilityName>
      <candidateList>
        <item>－</item>
      </candidateList>
      <explain>文本全半角错误。</explain>
      <paraID>1958C327</paraID>
      <start>166</start>
      <end>167</end>
      <status>unmodified</status>
      <modifiedWord/>
      <trackRevisions>false</trackRevisions>
    </reviewItem>
    <reviewItem>
      <errorID>d4f2b88e-d187-4016-a236-1f74ab135236</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3373E647</paraID>
      <start>0</start>
      <end>2</end>
      <status>unmodified</status>
      <modifiedWord/>
      <trackRevisions>false</trackRevisions>
    </reviewItem>
    <reviewItem>
      <errorID>24e35ba5-3625-4e4f-af30-dc15a3f60032</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53F5B0CD</paraID>
      <start>0</start>
      <end>2</end>
      <status>unmodified</status>
      <modifiedWord/>
      <trackRevisions>false</trackRevisions>
    </reviewItem>
    <reviewItem>
      <errorID>e83674cf-aef4-4689-ab9c-d23f0bee4b9e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70CCDD5D</paraID>
      <start>0</start>
      <end>2</end>
      <status>unmodified</status>
      <modifiedWord/>
      <trackRevisions>false</trackRevisions>
    </reviewItem>
    <reviewItem>
      <errorID>66be2fa6-8e2b-44b9-919a-eba1000ada06</errorID>
      <errorWord>：</errorWord>
      <group>L1_Format</group>
      <groupName>格式问题</groupName>
      <ability>L2_HalfPunc</ability>
      <abilityName>全半角检查</abilityName>
      <candidateList>
        <item>:</item>
      </candidateList>
      <explain>文本全半角错误。</explain>
      <paraID>674D6621</paraID>
      <start>84</start>
      <end>85</end>
      <status>unmodified</status>
      <modifiedWord/>
      <trackRevisions>false</trackRevisions>
    </reviewItem>
    <reviewItem>
      <errorID>4dc94a6a-b6bd-4ec8-825f-fd27b699b8e8</errorID>
      <errorWord>：</errorWord>
      <group>L1_Format</group>
      <groupName>格式问题</groupName>
      <ability>L2_HalfPunc</ability>
      <abilityName>全半角检查</abilityName>
      <candidateList>
        <item>:</item>
      </candidateList>
      <explain>文本全半角错误。</explain>
      <paraID>674D6621</paraID>
      <start>144</start>
      <end>145</end>
      <status>unmodified</status>
      <modifiedWord/>
      <trackRevisions>false</trackRevisions>
    </reviewItem>
    <reviewItem>
      <errorID>c72b8d9e-4ceb-4e3c-9774-b0d9dfc3106d</errorID>
      <errorWord>：</errorWord>
      <group>L1_Format</group>
      <groupName>格式问题</groupName>
      <ability>L2_HalfPunc</ability>
      <abilityName>全半角检查</abilityName>
      <candidateList>
        <item>:</item>
      </candidateList>
      <explain>文本全半角错误。</explain>
      <paraID> 1463DAD</paraID>
      <start>134</start>
      <end>135</end>
      <status>unmodified</status>
      <modifiedWord/>
      <trackRevisions>false</trackRevisions>
    </reviewItem>
    <reviewItem>
      <errorID>4c9a1192-c0d7-431b-a2a4-ef2936c02772</errorID>
      <errorWord>：</errorWord>
      <group>L1_Format</group>
      <groupName>格式问题</groupName>
      <ability>L2_HalfPunc</ability>
      <abilityName>全半角检查</abilityName>
      <candidateList>
        <item>:</item>
      </candidateList>
      <explain>文本全半角错误。</explain>
      <paraID>6130D5DB</paraID>
      <start>131</start>
      <end>132</end>
      <status>unmodified</status>
      <modifiedWord/>
      <trackRevisions>false</trackRevisions>
    </reviewItem>
    <reviewItem>
      <errorID>9b0bd93f-3a9a-49b2-9490-fd35c7823014</errorID>
      <errorWord>：</errorWord>
      <group>L1_Format</group>
      <groupName>格式问题</groupName>
      <ability>L2_HalfPunc</ability>
      <abilityName>全半角检查</abilityName>
      <candidateList>
        <item>:</item>
      </candidateList>
      <explain>文本全半角错误。</explain>
      <paraID>1E81BE3B</paraID>
      <start>57</start>
      <end>58</end>
      <status>unmodified</status>
      <modifiedWord/>
      <trackRevisions>false</trackRevisions>
    </reviewItem>
    <reviewItem>
      <errorID>184ca7ee-aeaa-4245-87d3-b01b720834da</errorID>
      <errorWord>：</errorWord>
      <group>L1_Format</group>
      <groupName>格式问题</groupName>
      <ability>L2_HalfPunc</ability>
      <abilityName>全半角检查</abilityName>
      <candidateList>
        <item>:</item>
      </candidateList>
      <explain>文本全半角错误。</explain>
      <paraID>1E81BE3B</paraID>
      <start>126</start>
      <end>127</end>
      <status>unmodified</status>
      <modifiedWord/>
      <trackRevisions>false</trackRevisions>
    </reviewItem>
    <reviewItem>
      <errorID>209a5fd9-35ee-47a9-bcc2-bb1403b20cf8</errorID>
      <errorWord>：</errorWord>
      <group>L1_Format</group>
      <groupName>格式问题</groupName>
      <ability>L2_HalfPunc</ability>
      <abilityName>全半角检查</abilityName>
      <candidateList>
        <item>:</item>
      </candidateList>
      <explain>文本全半角错误。</explain>
      <paraID>54E06812</paraID>
      <start>89</start>
      <end>90</end>
      <status>unmodified</status>
      <modifiedWord/>
      <trackRevisions>false</trackRevisions>
    </reviewItem>
    <reviewItem>
      <errorID>cf0edb50-dea5-47ed-ba77-81c84f9dee31</errorID>
      <errorWord>（</errorWord>
      <group>L1_Format</group>
      <groupName>格式问题</groupName>
      <ability>L2_HalfPunc</ability>
      <abilityName>全半角检查</abilityName>
      <candidateList>
        <item>(</item>
      </candidateList>
      <explain>文本全半角错误。</explain>
      <paraID>4286C089</paraID>
      <start>1</start>
      <end>2</end>
      <status>unmodified</status>
      <modifiedWord/>
      <trackRevisions>false</trackRevisions>
    </reviewItem>
    <reviewItem>
      <errorID>815a0a95-fdd8-41b6-9d6d-ac8e308c029e</errorID>
      <errorWord>）</errorWord>
      <group>L1_Format</group>
      <groupName>格式问题</groupName>
      <ability>L2_HalfPunc</ability>
      <abilityName>全半角检查</abilityName>
      <candidateList>
        <item>)</item>
      </candidateList>
      <explain>文本全半角错误。</explain>
      <paraID>4286C089</paraID>
      <start>3</start>
      <end>4</end>
      <status>unmodified</status>
      <modifiedWord/>
      <trackRevisions>false</trackRevisions>
    </reviewItem>
    <reviewItem>
      <errorID>a5e8a953-6768-4d8a-8b5e-1eaa6a8f72d2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38EAFB58</paraID>
      <start>0</start>
      <end>2</end>
      <status>unmodified</status>
      <modifiedWord/>
      <trackRevisions>false</trackRevisions>
    </reviewItem>
    <reviewItem>
      <errorID>ffc7a28f-8545-4903-8a84-afea1ba0f055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5AC4923B</paraID>
      <start>0</start>
      <end>2</end>
      <status>unmodified</status>
      <modifiedWord/>
      <trackRevisions>false</trackRevisions>
    </reviewItem>
    <reviewItem>
      <errorID>ee9e8840-49d7-44e5-a3e9-feaa91feb92e</errorID>
      <errorWord>-</errorWord>
      <group>L1_Format</group>
      <groupName>格式问题</groupName>
      <ability>L2_HalfPunc</ability>
      <abilityName>全半角检查</abilityName>
      <candidateList>
        <item>－</item>
      </candidateList>
      <explain>文本全半角错误。</explain>
      <paraID>3B3D50ED</paraID>
      <start>26</start>
      <end>27</end>
      <status>unmodified</status>
      <modifiedWord/>
      <trackRevisions>false</trackRevisions>
    </reviewItem>
    <reviewItem>
      <errorID>b4967f1f-ea88-40e8-95df-9ffc82a54d23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64BAF63B</paraID>
      <start>0</start>
      <end>2</end>
      <status>unmodified</status>
      <modifiedWord/>
      <trackRevisions>false</trackRevisions>
    </reviewItem>
    <reviewItem>
      <errorID>4616c577-59f3-4cd0-b0d8-cfcafbc15b10</errorID>
      <errorWord>（</errorWord>
      <group>L1_Punc</group>
      <groupName>标点问题</groupName>
      <ability>L2_Punc</ability>
      <abilityName>标点符号检查</abilityName>
      <candidateList/>
      <explain>同一形式括号套用。</explain>
      <paraID>56D236EC</paraID>
      <start>167</start>
      <end>168</end>
      <status>unmodified</status>
      <modifiedWord/>
      <trackRevisions>false</trackRevisions>
    </reviewItem>
    <reviewItem>
      <errorID>6e9f3992-5542-4eb5-acd3-df3ef3cd32e9</errorID>
      <errorWord>）</errorWord>
      <group>L1_Punc</group>
      <groupName>标点问题</groupName>
      <ability>L2_Punc</ability>
      <abilityName>标点符号检查</abilityName>
      <candidateList/>
      <explain>同一形式括号套用。</explain>
      <paraID>56D236EC</paraID>
      <start>171</start>
      <end>172</end>
      <status>unmodified</status>
      <modifiedWord/>
      <trackRevisions>false</trackRevisions>
    </reviewItem>
    <reviewItem>
      <errorID>9a962942-5b48-483a-9b3e-80777087f61a</errorID>
      <errorWord>（</errorWord>
      <group>L1_Punc</group>
      <groupName>标点问题</groupName>
      <ability>L2_Punc</ability>
      <abilityName>标点符号检查</abilityName>
      <candidateList/>
      <explain>同一形式括号套用。</explain>
      <paraID>2EB7EDA2</paraID>
      <start>164</start>
      <end>165</end>
      <status>unmodified</status>
      <modifiedWord/>
      <trackRevisions>false</trackRevisions>
    </reviewItem>
    <reviewItem>
      <errorID>70711287-a970-4797-a63d-3a6d1d47c2c9</errorID>
      <errorWord>）</errorWord>
      <group>L1_Punc</group>
      <groupName>标点问题</groupName>
      <ability>L2_Punc</ability>
      <abilityName>标点符号检查</abilityName>
      <candidateList/>
      <explain>同一形式括号套用。</explain>
      <paraID>2EB7EDA2</paraID>
      <start>168</start>
      <end>169</end>
      <status>unmodified</status>
      <modifiedWord/>
      <trackRevisions>false</trackRevisions>
    </reviewItem>
    <reviewItem>
      <errorID>076e22b5-0211-4c50-8989-ef16f1dbac03</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64E03EB1</paraID>
      <start>0</start>
      <end>2</end>
      <status>unmodified</status>
      <modifiedWord/>
      <trackRevisions>false</trackRevisions>
    </reviewItem>
    <reviewItem>
      <errorID>fa0996e6-f3e7-439e-9f95-4434e01ecd23</errorID>
      <errorWord>-</errorWord>
      <group>L1_Format</group>
      <groupName>格式问题</groupName>
      <ability>L2_HalfPunc</ability>
      <abilityName>全半角检查</abilityName>
      <candidateList>
        <item>－</item>
      </candidateList>
      <explain>文本全半角错误。</explain>
      <paraID>3AF740D5</paraID>
      <start>26</start>
      <end>27</end>
      <status>unmodified</status>
      <modifiedWord/>
      <trackRevisions>false</trackRevisions>
    </reviewItem>
    <reviewItem>
      <errorID>20a6cba6-7950-444f-805f-ec3fbc646cef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4937E5BD</paraID>
      <start>0</start>
      <end>2</end>
      <status>unmodified</status>
      <modifiedWord/>
      <trackRevisions>false</trackRevisions>
    </reviewItem>
    <reviewItem>
      <errorID>b80a0156-9b70-4109-98b8-e9d3f6d83737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3B2FE211</paraID>
      <start>0</start>
      <end>2</end>
      <status>unmodified</status>
      <modifiedWord/>
      <trackRevisions>false</trackRevisions>
    </reviewItem>
    <reviewItem>
      <errorID>762e38a6-7878-4eac-9d59-cf2e226b3ed7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64A8EC1A</paraID>
      <start>0</start>
      <end>2</end>
      <status>unmodified</status>
      <modifiedWord/>
      <trackRevisions>false</trackRevisions>
    </reviewItem>
    <reviewItem>
      <errorID>2ae9ce35-dfe4-49b0-af61-ffe205f6ee1d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1EFEE50D</paraID>
      <start>0</start>
      <end>2</end>
      <status>unmodified</status>
      <modifiedWord/>
      <trackRevisions>false</trackRevisions>
    </reviewItem>
    <reviewItem>
      <errorID>5c709cb6-4e09-45d7-a7a1-8ed0e1647d8e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38E5AAAA</paraID>
      <start>0</start>
      <end>2</end>
      <status>unmodified</status>
      <modifiedWord/>
      <trackRevisions>false</trackRevisions>
    </reviewItem>
    <reviewItem>
      <errorID>21a2a709-6364-469c-9435-de72c47ec1a2</errorID>
      <errorWord>（</errorWord>
      <group>L1_Format</group>
      <groupName>格式问题</groupName>
      <ability>L2_HalfPunc</ability>
      <abilityName>全半角检查</abilityName>
      <candidateList>
        <item>(</item>
      </candidateList>
      <explain>文本全半角错误。</explain>
      <paraID>48AC55C6</paraID>
      <start>0</start>
      <end>1</end>
      <status>unmodified</status>
      <modifiedWord/>
      <trackRevisions>false</trackRevisions>
    </reviewItem>
    <reviewItem>
      <errorID>0a387617-40d2-4f0d-99cb-4186864e6e39</errorID>
      <errorWord>）</errorWord>
      <group>L1_Format</group>
      <groupName>格式问题</groupName>
      <ability>L2_HalfPunc</ability>
      <abilityName>全半角检查</abilityName>
      <candidateList>
        <item>)</item>
      </candidateList>
      <explain>文本全半角错误。</explain>
      <paraID>48AC55C6</paraID>
      <start>4</start>
      <end>5</end>
      <status>unmodified</status>
      <modifiedWord/>
      <trackRevisions>false</trackRevisions>
    </reviewItem>
    <reviewItem>
      <errorID>0467c049-ea55-4973-84be-a2ee76afc930</errorID>
      <errorWord>（</errorWord>
      <group>L1_Format</group>
      <groupName>格式问题</groupName>
      <ability>L2_HalfPunc</ability>
      <abilityName>全半角检查</abilityName>
      <candidateList>
        <item>(</item>
      </candidateList>
      <explain>文本全半角错误。</explain>
      <paraID>41778098</paraID>
      <start>0</start>
      <end>1</end>
      <status>unmodified</status>
      <modifiedWord/>
      <trackRevisions>false</trackRevisions>
    </reviewItem>
    <reviewItem>
      <errorID>83ab5ad3-f8a9-43d3-81e6-d224c7321e4a</errorID>
      <errorWord>）</errorWord>
      <group>L1_Format</group>
      <groupName>格式问题</groupName>
      <ability>L2_HalfPunc</ability>
      <abilityName>全半角检查</abilityName>
      <candidateList>
        <item>)</item>
      </candidateList>
      <explain>文本全半角错误。</explain>
      <paraID>41778098</paraID>
      <start>4</start>
      <end>5</end>
      <status>unmodified</status>
      <modifiedWord/>
      <trackRevisions>false</trackRevisions>
    </reviewItem>
    <reviewItem>
      <errorID>6ac256a4-1cdb-4945-b323-1ef91227ff85</errorID>
      <errorWord>，</errorWord>
      <group>L1_Format</group>
      <groupName>格式问题</groupName>
      <ability>L2_HalfPunc</ability>
      <abilityName>全半角检查</abilityName>
      <candidateList>
        <item>, </item>
      </candidateList>
      <explain>文本全半角错误。</explain>
      <paraID>1DE02949</paraID>
      <start>1</start>
      <end>2</end>
      <status>unmodified</status>
      <modifiedWord/>
      <trackRevisions>false</trackRevisions>
    </reviewItem>
    <reviewItem>
      <errorID>06af80a5-0a06-45bd-b75e-f6fb2726dcf3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3201C0C2</paraID>
      <start>0</start>
      <end>2</end>
      <status>unmodified</status>
      <modifiedWord/>
      <trackRevisions>false</trackRevisions>
    </reviewItem>
    <reviewItem>
      <errorID>073f1517-6b35-45b4-b1c0-3d87b86e7738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6E48FF03</paraID>
      <start>29</start>
      <end>32</end>
      <status>unmodified</status>
      <modifiedWord/>
      <trackRevisions>false</trackRevisions>
    </reviewItem>
    <reviewItem>
      <errorID>d8e86724-27b9-42f8-b0e0-7a9884627fd0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14B75985</paraID>
      <start>143</start>
      <end>144</end>
      <status>unmodified</status>
      <modifiedWord/>
      <trackRevisions>false</trackRevisions>
    </reviewItem>
    <reviewItem>
      <errorID>67d358e9-0a06-4422-a1bf-330c489e6b47</errorID>
      <errorWord>（</errorWord>
      <group>L1_Format</group>
      <groupName>格式问题</groupName>
      <ability>L2_HalfPunc</ability>
      <abilityName>全半角检查</abilityName>
      <candidateList>
        <item>(</item>
      </candidateList>
      <explain>文本全半角错误。</explain>
      <paraID>50CE331C</paraID>
      <start>1</start>
      <end>2</end>
      <status>unmodified</status>
      <modifiedWord/>
      <trackRevisions>false</trackRevisions>
    </reviewItem>
    <reviewItem>
      <errorID>8d8e3bd2-6fdb-411e-ae6c-b8460559394b</errorID>
      <errorWord>）</errorWord>
      <group>L1_Format</group>
      <groupName>格式问题</groupName>
      <ability>L2_HalfPunc</ability>
      <abilityName>全半角检查</abilityName>
      <candidateList>
        <item>)</item>
      </candidateList>
      <explain>文本全半角错误。</explain>
      <paraID>50CE331C</paraID>
      <start>3</start>
      <end>4</end>
      <status>unmodified</status>
      <modifiedWord/>
      <trackRevisions>false</trackRevisions>
    </reviewItem>
    <reviewItem>
      <errorID>899d3189-b119-4e77-b604-440a2a4d7da4</errorID>
      <errorWord>&gt;</errorWord>
      <group>L1_Punc</group>
      <groupName>标点问题</groupName>
      <ability>L2_Punc</ability>
      <abilityName>标点符号检查</abilityName>
      <candidateList/>
      <explain/>
      <paraID>3DF12975</paraID>
      <start>0</start>
      <end>1</end>
      <status>unmodified</status>
      <modifiedWord/>
      <trackRevisions>false</trackRevisions>
    </reviewItem>
    <reviewItem>
      <errorID>0aaa6c0b-98a5-42e1-aa4c-67bb28b6a637</errorID>
      <errorWord>交通部</errorWord>
      <group>L1_Knowledge</group>
      <groupName>知识性问题</groupName>
      <ability>L2_Knowledge</ability>
      <abilityName>其他知识</abilityName>
      <candidateList>
        <item>交通运输部</item>
      </candidateList>
      <explain/>
      <paraID>439D692D</paraID>
      <start>162</start>
      <end>165</end>
      <status>unmodified</status>
      <modifiedWord/>
      <trackRevisions>false</trackRevisions>
    </reviewItem>
    <reviewItem>
      <errorID>ccfacd6f-22c5-4c44-86af-0da7de3179ea</errorID>
      <errorWord>（</errorWord>
      <group>L1_Punc</group>
      <groupName>标点问题</groupName>
      <ability>L2_Punc</ability>
      <abilityName>标点符号检查</abilityName>
      <candidateList/>
      <explain>同一形式括号套用。</explain>
      <paraID>439D692D</paraID>
      <start>166</start>
      <end>167</end>
      <status>unmodified</status>
      <modifiedWord/>
      <trackRevisions>false</trackRevisions>
    </reviewItem>
    <reviewItem>
      <errorID>cc1e5c34-7c43-4e52-85d5-151cabee8951</errorID>
      <errorWord>）</errorWord>
      <group>L1_Punc</group>
      <groupName>标点问题</groupName>
      <ability>L2_Punc</ability>
      <abilityName>标点符号检查</abilityName>
      <candidateList/>
      <explain>同一形式括号套用。</explain>
      <paraID>439D692D</paraID>
      <start>172</start>
      <end>173</end>
      <status>unmodified</status>
      <modifiedWord/>
      <trackRevisions>false</trackRevisions>
    </reviewItem>
    <reviewItem>
      <errorID>cf7ef748-f6b8-4f10-ab24-66eaa3dd7df8</errorID>
      <errorWord>管理办法》中</errorWord>
      <group>L1_Word</group>
      <groupName>字词问题</groupName>
      <ability>L2_Typo</ability>
      <abilityName>字词错误</abilityName>
      <candidateList>
        <item>管理办法》</item>
      </candidateList>
      <explain/>
      <paraID>6E86A014</paraID>
      <start>40</start>
      <end>46</end>
      <status>unmodified</status>
      <modifiedWord/>
      <trackRevisions>false</trackRevisions>
    </reviewItem>
    <reviewItem>
      <errorID>1cbd29e1-7e49-46ff-b973-dedfc9fc372a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7F3C65FE</paraID>
      <start>0</start>
      <end>2</end>
      <status>unmodified</status>
      <modifiedWord/>
      <trackRevisions>false</trackRevisions>
    </reviewItem>
    <reviewItem>
      <errorID>f4eb9c26-b643-4ba3-b89a-17e05a51d5af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4F24862F</paraID>
      <start>0</start>
      <end>2</end>
      <status>unmodified</status>
      <modifiedWord/>
      <trackRevisions>false</trackRevisions>
    </reviewItem>
    <reviewItem>
      <errorID>ee89b946-7402-4652-bca9-1bcf78bf23d7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2F7028DE</paraID>
      <start>0</start>
      <end>2</end>
      <status>unmodified</status>
      <modifiedWord/>
      <trackRevisions>false</trackRevisions>
    </reviewItem>
    <reviewItem>
      <errorID>c194ac95-19b7-477a-9d5c-d864ef5ee3b0</errorID>
      <errorWord>（</errorWord>
      <group>L1_Format</group>
      <groupName>格式问题</groupName>
      <ability>L2_HalfPunc</ability>
      <abilityName>全半角检查</abilityName>
      <candidateList>
        <item>(</item>
      </candidateList>
      <explain>文本全半角错误。</explain>
      <paraID>57DEBC00</paraID>
      <start>2</start>
      <end>3</end>
      <status>unmodified</status>
      <modifiedWord/>
      <trackRevisions>false</trackRevisions>
    </reviewItem>
    <reviewItem>
      <errorID>336cbc2c-d390-4e32-ad5d-7649964048c6</errorID>
      <errorWord>）</errorWord>
      <group>L1_Format</group>
      <groupName>格式问题</groupName>
      <ability>L2_HalfPunc</ability>
      <abilityName>全半角检查</abilityName>
      <candidateList>
        <item>)</item>
      </candidateList>
      <explain>文本全半角错误。</explain>
      <paraID>57DEBC00</paraID>
      <start>4</start>
      <end>5</end>
      <status>unmodified</status>
      <modifiedWord/>
      <trackRevisions>false</trackRevisions>
    </reviewItem>
    <reviewItem>
      <errorID>fde31b58-87a7-43c8-8f2c-a5f9355fbbf5</errorID>
      <errorWord>“</errorWord>
      <group>L1_Punc</group>
      <groupName>标点问题</groupName>
      <ability>L2_Punc</ability>
      <abilityName>标点符号检查</abilityName>
      <candidateList/>
      <explain>此处标点可能未正确匹配，请检查句子中是否存在标点冗余、缺失或使用错误的情况。</explain>
      <paraID>59BAAAFF</paraID>
      <start>97</start>
      <end>98</end>
      <status>unmodified</status>
      <modifiedWord/>
      <trackRevisions>false</trackRevisions>
    </reviewItem>
    <reviewItem>
      <errorID>f8ff3e71-9102-42d4-80f9-71e116f90052</errorID>
      <errorWord>输运</errorWord>
      <group>L1_Word</group>
      <groupName>字词问题</groupName>
      <ability>L2_Typo</ability>
      <abilityName>字词错误</abilityName>
      <candidateList>
        <item>运输</item>
      </candidateList>
      <explain/>
      <paraID>59BAAAFF</paraID>
      <start>128</start>
      <end>130</end>
      <status>modified</status>
      <modifiedWord>运输</modifiedWord>
      <trackRevisions>false</trackRevisions>
    </reviewItem>
    <reviewItem>
      <errorID>105207de-1b81-47c2-b301-00641d51d4e0</errorID>
      <errorWord>法律、法规</errorWord>
      <group>L1_Word</group>
      <groupName>字词问题</groupName>
      <ability>L2_Typo</ability>
      <abilityName>字词错误</abilityName>
      <candidateList>
        <item>法律法规</item>
      </candidateList>
      <explain/>
      <paraID>47033BA5</paraID>
      <start>5</start>
      <end>9</end>
      <status>modified</status>
      <modifiedWord>法律法规</modifiedWord>
      <trackRevisions>false</trackRevisions>
    </reviewItem>
    <reviewItem>
      <errorID>1315f775-7eef-49fe-b08a-e243a6fd8dab</errorID>
      <errorWord>-</errorWord>
      <group>L1_Format</group>
      <groupName>格式问题</groupName>
      <ability>L2_HalfPunc</ability>
      <abilityName>全半角检查</abilityName>
      <candidateList>
        <item>－</item>
      </candidateList>
      <explain>文本全半角错误。</explain>
      <paraID> 8CD9491</paraID>
      <start>43</start>
      <end>44</end>
      <status>unmodified</status>
      <modifiedWord/>
      <trackRevisions>false</trackRevisions>
    </reviewItem>
    <reviewItem>
      <errorID>c7bc112b-1dd7-4609-a24b-1fb1e7cab34e</errorID>
      <errorWord>具</errorWord>
      <group>L1_Word</group>
      <groupName>字词问题</groupName>
      <ability>L2_Typo</ability>
      <abilityName>字词错误</abilityName>
      <candidateList>
        <item>具有</item>
      </candidateList>
      <explain>〈动〉有（多用于抽象事物）：～信心｜～伟大的意义。</explain>
      <paraID>1DE23510</paraID>
      <start>12</start>
      <end>13</end>
      <status>unmodified</status>
      <modifiedWord/>
      <trackRevisions>false</trackRevisions>
    </reviewItem>
    <reviewItem>
      <errorID>4edd14ca-8e27-4c7f-a102-e33916c3ecae</errorID>
      <errorWord>(</errorWord>
      <group>L1_Format</group>
      <groupName>格式问题</groupName>
      <ability>L2_HalfPunc</ability>
      <abilityName>全半角检查</abilityName>
      <candidateList>
        <item>（</item>
      </candidateList>
      <explain>文本全半角错误。</explain>
      <paraID>5B1F9CB5</paraID>
      <start>10</start>
      <end>11</end>
      <status>unmodified</status>
      <modifiedWord/>
      <trackRevisions>false</trackRevisions>
    </reviewItem>
    <reviewItem>
      <errorID>b3b902c5-a71f-4d46-9d13-d7117e4bda40</errorID>
      <errorWord>(</errorWord>
      <group>L1_Format</group>
      <groupName>格式问题</groupName>
      <ability>L2_HalfPunc</ability>
      <abilityName>全半角检查</abilityName>
      <candidateList>
        <item>（</item>
      </candidateList>
      <explain>文本全半角错误。</explain>
      <paraID>4B5B27CE</paraID>
      <start>6</start>
      <end>7</end>
      <status>unmodified</status>
      <modifiedWord/>
      <trackRevisions>false</trackRevisions>
    </reviewItem>
    <reviewItem>
      <errorID>825f3dda-6006-4a2a-9708-b7552dcaad53</errorID>
      <errorWord>：</errorWord>
      <group>L1_Format</group>
      <groupName>格式问题</groupName>
      <ability>L2_HalfPunc</ability>
      <abilityName>全半角检查</abilityName>
      <candidateList>
        <item>: </item>
      </candidateList>
      <explain>文本全半角错误。</explain>
      <paraID>3CE37592</paraID>
      <start>12</start>
      <end>13</end>
      <status>unmodified</status>
      <modifiedWord/>
      <trackRevisions>false</trackRevisions>
    </reviewItem>
    <reviewItem>
      <errorID>6d07b9fd-8e30-4823-8a0f-be1f762c3013</errorID>
      <errorWord>。</errorWord>
      <group>L1_Format</group>
      <groupName>格式问题</groupName>
      <ability>L2_HalfPunc</ability>
      <abilityName>全半角检查</abilityName>
      <candidateList>
        <item>.</item>
      </candidateList>
      <explain>文本全半角错误。</explain>
      <paraID>3CE37592</paraID>
      <start>55</start>
      <end>56</end>
      <status>unmodified</status>
      <modifiedWord/>
      <trackRevisions>false</trackRevisions>
    </reviewItem>
    <reviewItem>
      <errorID>a8889c43-3c5f-4b08-bb13-8a2bc1385e9c</errorID>
      <errorWord>）</errorWord>
      <group>L1_Format</group>
      <groupName>格式问题</groupName>
      <ability>L2_HalfPunc</ability>
      <abilityName>全半角检查</abilityName>
      <candidateList>
        <item>)</item>
      </candidateList>
      <explain>文本全半角错误。</explain>
      <paraID>6FB8C53E</paraID>
      <start>11</start>
      <end>12</end>
      <status>unmodified</status>
      <modifiedWord/>
      <trackRevisions>false</trackRevisions>
    </reviewItem>
    <reviewItem>
      <errorID>240fff76-0a8e-408d-ad86-0eb487c8b6d2</errorID>
      <errorWord>～</errorWord>
      <group>L1_Format</group>
      <groupName>格式问题</groupName>
      <ability>L2_HalfPunc</ability>
      <abilityName>全半角检查</abilityName>
      <candidateList>
        <item>~</item>
      </candidateList>
      <explain>文本全半角错误。</explain>
      <paraID>30E82AC4</paraID>
      <start>3</start>
      <end>4</end>
      <status>unmodified</status>
      <modifiedWord/>
      <trackRevisions>false</trackRevisions>
    </reviewItem>
    <reviewItem>
      <errorID>0e55830c-11e3-4f8a-87b9-f97c14474069</errorID>
      <errorWord>饱和蒸汽</errorWord>
      <group>L1_Word</group>
      <groupName>字词问题</groupName>
      <ability>L2_Typo</ability>
      <abilityName>字词错误</abilityName>
      <candidateList>
        <item>饱和蒸气</item>
      </candidateList>
      <explain/>
      <paraID>1ED6D534</paraID>
      <start>0</start>
      <end>4</end>
      <status>unmodified</status>
      <modifiedWord/>
      <trackRevisions>false</trackRevisions>
    </reviewItem>
    <reviewItem>
      <errorID>68cf394a-7065-49d2-ab8b-a3c5fc334c83</errorID>
      <errorWord>征状</errorWord>
      <group>L1_Word</group>
      <groupName>字词问题</groupName>
      <ability>L2_Typo</ability>
      <abilityName>字词错误</abilityName>
      <candidateList>
        <item>症状</item>
      </candidateList>
      <explain/>
      <paraID>780EDEFE</paraID>
      <start>74</start>
      <end>76</end>
      <status>modified</status>
      <modifiedWord>症状</modifiedWord>
      <trackRevisions>false</trackRevisions>
    </reviewItem>
    <reviewItem>
      <errorID>6c1e7ad5-9cf0-4562-8bf8-aebebbd68303</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6C05D48A</paraID>
      <start>0</start>
      <end>2</end>
      <status>unmodified</status>
      <modifiedWord/>
      <trackRevisions>false</trackRevisions>
    </reviewItem>
    <reviewItem>
      <errorID>f4852af7-20b3-42e6-8f1b-8c747129748c</errorID>
      <errorWord>泄露</errorWord>
      <group>L1_Word</group>
      <groupName>字词问题</groupName>
      <ability>L2_Typo</ability>
      <abilityName>字词错误</abilityName>
      <candidateList>
        <item>泄漏</item>
      </candidateList>
      <explain/>
      <paraID>3371A47E</paraID>
      <start>12</start>
      <end>14</end>
      <status>modified</status>
      <modifiedWord>泄漏</modifiedWord>
      <trackRevisions>false</trackRevisions>
    </reviewItem>
    <reviewItem>
      <errorID>7323be63-2802-49b8-b6d6-d9e3f602b6fb</errorID>
      <errorWord>泄露</errorWord>
      <group>L1_Word</group>
      <groupName>字词问题</groupName>
      <ability>L2_Typo</ability>
      <abilityName>字词错误</abilityName>
      <candidateList>
        <item>泄漏</item>
      </candidateList>
      <explain/>
      <paraID>2C375461</paraID>
      <start>12</start>
      <end>14</end>
      <status>modified</status>
      <modifiedWord>泄漏</modifiedWord>
      <trackRevisions>false</trackRevisions>
    </reviewItem>
    <reviewItem>
      <errorID>f653f525-4825-42b2-bbe3-54978c921be8</errorID>
      <errorWord>为为</errorWord>
      <group>L1_Word</group>
      <groupName>字词问题</groupName>
      <ability>L2_Typo</ability>
      <abilityName>字词错误</abilityName>
      <candidateList>
        <item>为</item>
      </candidateList>
      <explain>（爲、為）wèi❶〈书〉帮助；卫护：～吕氏者右袒，～刘氏者左袒。❷〈介〉表示行为的对象；替：～你庆幸｜～人民服务｜～这本书写一篇序。❸〈介〉表示原因、目的：大家都～这件事高兴｜～建设伟大祖国而奋斗。❹〈书〉〈介〉对；向：不足～外人道。</explain>
      <paraID> 2B1F4EF</paraID>
      <start>45</start>
      <end>46</end>
      <status>modified</status>
      <modifiedWord>为</modifiedWord>
      <trackRevisions>false</trackRevisions>
    </reviewItem>
    <reviewItem>
      <errorID>9081be1f-765d-4100-8f39-fcf04b1f3843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2B1F4EF</paraID>
      <start>71</start>
      <end>72</end>
      <status>unmodified</status>
      <modifiedWord/>
      <trackRevisions>false</trackRevisions>
    </reviewItem>
    <reviewItem>
      <errorID>d40dd2ae-7207-471e-99e7-9771dd407e08</errorID>
      <errorWord>泄露</errorWord>
      <group>L1_Word</group>
      <groupName>字词问题</groupName>
      <ability>L2_Typo</ability>
      <abilityName>字词错误</abilityName>
      <candidateList>
        <item>泄漏</item>
      </candidateList>
      <explain/>
      <paraID>17032317</paraID>
      <start>10</start>
      <end>12</end>
      <status>modified</status>
      <modifiedWord>泄漏</modifiedWord>
      <trackRevisions>false</trackRevisions>
    </reviewItem>
    <reviewItem>
      <errorID>ad5475f2-426a-4f38-a18c-ddda410bf923</errorID>
      <errorWord>泄露</errorWord>
      <group>L1_Word</group>
      <groupName>字词问题</groupName>
      <ability>L2_Typo</ability>
      <abilityName>字词错误</abilityName>
      <candidateList>
        <item>泄漏</item>
      </candidateList>
      <explain/>
      <paraID>34A76E80</paraID>
      <start>10</start>
      <end>12</end>
      <status>modified</status>
      <modifiedWord>泄漏</modifiedWord>
      <trackRevisions>false</trackRevisions>
    </reviewItem>
    <reviewItem>
      <errorID>fcdb8fc2-c248-48b6-a350-0649a5862c5d</errorID>
      <errorWord>下线</errorWord>
      <group>L1_Word</group>
      <groupName>字词问题</groupName>
      <ability>L2_Typo</ability>
      <abilityName>字词错误</abilityName>
      <candidateList>
        <item>下限</item>
      </candidateList>
      <explain/>
      <paraID>53288C03</paraID>
      <start>83</start>
      <end>85</end>
      <status>modified</status>
      <modifiedWord>下限</modifiedWord>
      <trackRevisions>false</trackRevisions>
    </reviewItem>
    <reviewItem>
      <errorID>2ff67c6d-6419-4ff5-8dde-bb591dc697cb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53288C03</paraID>
      <start>93</start>
      <end>94</end>
      <status>unmodified</status>
      <modifiedWord/>
      <trackRevisions>false</trackRevisions>
    </reviewItem>
    <reviewItem>
      <errorID>646e026a-448f-4955-a0fc-d5c2ef1e892a</errorID>
      <errorWord>采</errorWord>
      <group>L1_Word</group>
      <groupName>字词问题</groupName>
      <ability>L2_Typo</ability>
      <abilityName>字词错误</abilityName>
      <candidateList>
        <item>采集</item>
      </candidateList>
      <explain>〈动〉收集；搜罗：～标本｜～民间歌谣。</explain>
      <paraID> 699DA35</paraID>
      <start>10</start>
      <end>11</end>
      <status>unmodified</status>
      <modifiedWord/>
      <trackRevisions>false</trackRevisions>
    </reviewItem>
    <reviewItem>
      <errorID>98fd50e4-476d-4b4a-8c77-67b47912bc6f</errorID>
      <errorWord>泄露</errorWord>
      <group>L1_Word</group>
      <groupName>字词问题</groupName>
      <ability>L2_Typo</ability>
      <abilityName>字词错误</abilityName>
      <candidateList>
        <item>泄漏</item>
      </candidateList>
      <explain/>
      <paraID>7E9FEA7B</paraID>
      <start>23</start>
      <end>25</end>
      <status>modified</status>
      <modifiedWord>泄漏</modifiedWord>
      <trackRevisions>false</trackRevisions>
    </reviewItem>
    <reviewItem>
      <errorID>13891397-fae2-436a-afe2-e05e563dfbf6</errorID>
      <errorWord>程</errorWord>
      <group>L1_Word</group>
      <groupName>字词问题</groupName>
      <ability>L2_Typo</ability>
      <abilityName>字词错误</abilityName>
      <candidateList>
        <item>程中</item>
      </candidateList>
      <explain/>
      <paraID>7E907D5E</paraID>
      <start>24</start>
      <end>25</end>
      <status>unmodified</status>
      <modifiedWord/>
      <trackRevisions>false</trackRevisions>
    </reviewItem>
    <reviewItem>
      <errorID>ab28f03a-7741-4eb2-9b51-117fd860fd63</errorID>
      <errorWord>、或</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772BCD80</paraID>
      <start>95</start>
      <end>97</end>
      <status>unmodified</status>
      <modifiedWord/>
      <trackRevisions>false</trackRevisions>
    </reviewItem>
    <reviewItem>
      <errorID>17a11ec9-fa7b-4b34-a58a-91e8f2466c07</errorID>
      <errorWord>几率</errorWord>
      <group>L1_Word</group>
      <groupName>字词问题</groupName>
      <ability>L2_Typo</ability>
      <abilityName>字词错误</abilityName>
      <candidateList>
        <item>概率</item>
      </candidateList>
      <explain/>
      <paraID>258D1791</paraID>
      <start>56</start>
      <end>58</end>
      <status>modified</status>
      <modifiedWord>概率</modifiedWord>
      <trackRevisions>false</trackRevisions>
    </reviewItem>
    <reviewItem>
      <errorID>e66f31df-80a8-4e74-8828-0ad3626de168</errorID>
      <errorWord>结和</errorWord>
      <group>L1_Word</group>
      <groupName>字词问题</groupName>
      <ability>L2_Typo</ability>
      <abilityName>字词错误</abilityName>
      <candidateList>
        <item>结合</item>
      </candidateList>
      <explain/>
      <paraID>3E8F0B95</paraID>
      <start>8</start>
      <end>10</end>
      <status>modified</status>
      <modifiedWord>结合</modifiedWord>
      <trackRevisions>false</trackRevisions>
    </reviewItem>
    <reviewItem>
      <errorID>743eed0f-7c62-452b-be8f-209995647a24</errorID>
      <errorWord>&gt;</errorWord>
      <group>L1_Punc</group>
      <groupName>标点问题</groupName>
      <ability>L2_Punc</ability>
      <abilityName>标点符号检查</abilityName>
      <candidateList/>
      <explain/>
      <paraID>6E56E092</paraID>
      <start>0</start>
      <end>1</end>
      <status>unmodified</status>
      <modifiedWord/>
      <trackRevisions>false</trackRevisions>
    </reviewItem>
    <reviewItem>
      <errorID>f2b42cd0-242c-465c-b544-5bc3a8b6a62c</errorID>
      <errorWord>下午17时50</errorWord>
      <group>L1_Knowledge</group>
      <groupName>知识性问题</groupName>
      <ability>L2_Time</ability>
      <abilityName>日期时间</abilityName>
      <candidateList>
        <item>17时50</item>
      </candidateList>
      <explain>24小时制的时间，不需要强调“下午”。</explain>
      <paraID>5958FEA0</paraID>
      <start>12</start>
      <end>19</end>
      <status>unmodified</status>
      <modifiedWord/>
      <trackRevisions>false</trackRevisions>
    </reviewItem>
    <reviewItem>
      <errorID>31b74a8e-c6b5-4b00-ab44-51fb295dd2de</errorID>
      <errorWord>]</errorWord>
      <group>L1_Punc</group>
      <groupName>标点问题</groupName>
      <ability>L2_Punc</ability>
      <abilityName>标点符号检查</abilityName>
      <candidateList/>
      <explain>此处标点可能未正确匹配，请检查句子中是否存在标点冗余、缺失或使用错误的情况。</explain>
      <paraID>5958FEA0</paraID>
      <start>49</start>
      <end>50</end>
      <status>unmodified</status>
      <modifiedWord/>
      <trackRevisions>false</trackRevisions>
    </reviewItem>
    <reviewItem>
      <errorID>b7c83602-7cd3-4e6f-993a-bec7e196334e</errorID>
      <errorWord>消防官兵</errorWord>
      <group>L1_Word</group>
      <groupName>字词问题</groupName>
      <ability>L2_Typo</ability>
      <abilityName>字词错误</abilityName>
      <candidateList>
        <item>消防救援人员</item>
      </candidateList>
      <explain/>
      <paraID>5AC982EB</paraID>
      <start>85</start>
      <end>91</end>
      <status>modified</status>
      <modifiedWord>消防救援人员</modifiedWord>
      <trackRevisions>false</trackRevisions>
    </reviewItem>
    <reviewItem>
      <errorID>0f0e5d61-c64f-4bab-93ad-de61e21cd966</errorID>
      <errorWord>&gt;</errorWord>
      <group>L1_Punc</group>
      <groupName>标点问题</groupName>
      <ability>L2_Punc</ability>
      <abilityName>标点符号检查</abilityName>
      <candidateList/>
      <explain/>
      <paraID>3C6913C5</paraID>
      <start>0</start>
      <end>1</end>
      <status>unmodified</status>
      <modifiedWord/>
      <trackRevisions>false</trackRevisions>
    </reviewItem>
    <reviewItem>
      <errorID>7eb602df-ad86-48e1-8a42-03950e0b71a9</errorID>
      <errorWord>程</errorWord>
      <group>L1_Word</group>
      <groupName>字词问题</groupName>
      <ability>L2_Typo</ability>
      <abilityName>字词错误</abilityName>
      <candidateList>
        <item>程中</item>
      </candidateList>
      <explain/>
      <paraID> 7DC5B40</paraID>
      <start>19</start>
      <end>20</end>
      <status>unmodified</status>
      <modifiedWord/>
      <trackRevisions>false</trackRevisions>
    </reviewItem>
    <reviewItem>
      <errorID>255e842d-342b-4960-9c22-a0184b310930</errorID>
      <errorWord>1.5%-6%</errorWord>
      <group>L1_Knowledge</group>
      <groupName>知识性问题</groupName>
      <ability>L2_Knowledge</ability>
      <abilityName>其他知识</abilityName>
      <candidateList>
        <item>1.5%—6%</item>
      </candidateList>
      <explain>1. “1.5%-6%”中的单位“%”仅出现在后一个数字上，容易引起歧义；根据《现代汉语标点符号数字用法规范手册》，数字表示范围两边需要使用统一的格式。2. 根据标点国标 4.13 中的规则，数字、时间或地域连接符应使用（视觉上更长的）“—”或“～”。</explain>
      <paraID>1A5B3C6A</paraID>
      <start>16</start>
      <end>23</end>
      <status>unmodified</status>
      <modifiedWord/>
      <trackRevisions>false</trackRevisions>
    </reviewItem>
    <reviewItem>
      <errorID>04747fa7-b5c5-4a73-aa99-44949b998843</errorID>
      <errorWord>-</errorWord>
      <group>L1_Format</group>
      <groupName>格式问题</groupName>
      <ability>L2_HalfPunc</ability>
      <abilityName>全半角检查</abilityName>
      <candidateList>
        <item>－</item>
      </candidateList>
      <explain>文本全半角错误。</explain>
      <paraID>15C3C8EC</paraID>
      <start>6</start>
      <end>7</end>
      <status>unmodified</status>
      <modifiedWord/>
      <trackRevisions>false</trackRevisions>
    </reviewItem>
    <reviewItem>
      <errorID>5a0c2c23-2f76-45ce-89b2-403069f7559c</errorID>
      <errorWord>-</errorWord>
      <group>L1_Format</group>
      <groupName>格式问题</groupName>
      <ability>L2_HalfPunc</ability>
      <abilityName>全半角检查</abilityName>
      <candidateList>
        <item>－</item>
      </candidateList>
      <explain>文本全半角错误。</explain>
      <paraID>15C3C8EC</paraID>
      <start>13</start>
      <end>14</end>
      <status>unmodified</status>
      <modifiedWord/>
      <trackRevisions>false</trackRevisions>
    </reviewItem>
    <reviewItem>
      <errorID>625d6978-a0f4-4257-b2f4-855a4f512a97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7ECF85CE</paraID>
      <start>84</start>
      <end>85</end>
      <status>unmodified</status>
      <modifiedWord/>
      <trackRevisions>false</trackRevisions>
    </reviewItem>
    <reviewItem>
      <errorID>4126f215-758e-4257-9375-d489df8b7055</errorID>
      <errorWord>泄露</errorWord>
      <group>L1_Word</group>
      <groupName>字词问题</groupName>
      <ability>L2_Typo</ability>
      <abilityName>字词错误</abilityName>
      <candidateList>
        <item>泄漏</item>
      </candidateList>
      <explain>存在发音相同字词的误用。</explain>
      <paraID>471C4D90</paraID>
      <start>34</start>
      <end>36</end>
      <status>modified</status>
      <modifiedWord>泄漏</modifiedWord>
      <trackRevisions>false</trackRevisions>
    </reviewItem>
    <reviewItem>
      <errorID>d670312d-c3d3-45db-95f2-2412b41fe541</errorID>
      <errorWord>泄露</errorWord>
      <group>L1_Word</group>
      <groupName>字词问题</groupName>
      <ability>L2_Typo</ability>
      <abilityName>字词错误</abilityName>
      <candidateList>
        <item>泄漏</item>
      </candidateList>
      <explain>存在发音相同字词的误用。</explain>
      <paraID>471C4D90</paraID>
      <start>68</start>
      <end>70</end>
      <status>modified</status>
      <modifiedWord>泄漏</modifiedWord>
      <trackRevisions>false</trackRevisions>
    </reviewItem>
    <reviewItem>
      <errorID>39bf9a28-0382-451c-b534-922109fa8e94</errorID>
      <errorWord>泄露</errorWord>
      <group>L1_Word</group>
      <groupName>字词问题</groupName>
      <ability>L2_Typo</ability>
      <abilityName>字词错误</abilityName>
      <candidateList>
        <item>泄漏</item>
      </candidateList>
      <explain/>
      <paraID>471C4D90</paraID>
      <start>101</start>
      <end>103</end>
      <status>modified</status>
      <modifiedWord>泄漏</modifiedWord>
      <trackRevisions>false</trackRevisions>
    </reviewItem>
    <reviewItem>
      <errorID>676941a2-47d8-40eb-8554-97df7400c984</errorID>
      <errorWord>；</errorWord>
      <group>L1_Word</group>
      <groupName>字词问题</groupName>
      <ability>L2_Typo</ability>
      <abilityName>字词错误</abilityName>
      <candidateList>
        <item>；将</item>
      </candidateList>
      <explain/>
      <paraID>471C4D90</paraID>
      <start>144</start>
      <end>145</end>
      <status>unmodified</status>
      <modifiedWord/>
      <trackRevisions>false</trackRevisions>
    </reviewItem>
    <reviewItem>
      <errorID>4e6ad56e-01dc-4e22-8617-a66a81d2fb2e</errorID>
      <errorWord>泄露</errorWord>
      <group>L1_Word</group>
      <groupName>字词问题</groupName>
      <ability>L2_Typo</ability>
      <abilityName>字词错误</abilityName>
      <candidateList>
        <item>泄漏</item>
      </candidateList>
      <explain>存在发音相同字词的误用。</explain>
      <paraID>471C4D90</paraID>
      <start>169</start>
      <end>171</end>
      <status>modified</status>
      <modifiedWord>泄漏</modifiedWord>
      <trackRevisions>false</trackRevisions>
    </reviewItem>
    <reviewItem>
      <errorID>c932c6ac-7840-4a95-899b-411b8915731e</errorID>
      <errorWord>做出判断</errorWord>
      <group>L1_Word</group>
      <groupName>字词问题</groupName>
      <ability>L2_Typo</ability>
      <abilityName>字词错误</abilityName>
      <candidateList>
        <item>作出判断</item>
      </candidateList>
      <explain/>
      <paraID>63521EB2</paraID>
      <start>171</start>
      <end>175</end>
      <status>modified</status>
      <modifiedWord>作出判断</modifiedWord>
      <trackRevisions>false</trackRevisions>
    </reviewItem>
    <reviewItem>
      <errorID>55e7b384-fd2b-44ce-95a5-52c8d211360d</errorID>
      <errorWord>及其</errorWord>
      <group>L1_Word</group>
      <groupName>字词问题</groupName>
      <ability>L2_Typo</ability>
      <abilityName>字词错误</abilityName>
      <candidateList>
        <item>极其</item>
      </candidateList>
      <explain>〈副〉非常；极端：～重视｜～光荣｜受到了～深刻的教育。</explain>
      <paraID>74FC38FF</paraID>
      <start>7</start>
      <end>9</end>
      <status>modified</status>
      <modifiedWord>极其</modifiedWord>
      <trackRevisions>false</trackRevisions>
    </reviewItem>
    <reviewItem>
      <errorID>815394c9-f30a-470b-ad74-ee7b54593f7e</errorID>
      <errorWord>、</errorWord>
      <group>L1_Punc</group>
      <groupName>标点问题</groupName>
      <ability>L2_Punc</ability>
      <abilityName>标点符号检查</abilityName>
      <candidateList>
        <item>.</item>
      </candidateList>
      <explain/>
      <paraID>145AB3EC</paraID>
      <start>1</start>
      <end>2</end>
      <status>unmodified</status>
      <modifiedWord/>
      <trackRevisions>false</trackRevisions>
    </reviewItem>
    <reviewItem>
      <errorID>c9356668-2b55-4df0-b892-647acdb0add5</errorID>
      <errorWord>、</errorWord>
      <group>L1_Punc</group>
      <groupName>标点问题</groupName>
      <ability>L2_Punc</ability>
      <abilityName>标点符号检查</abilityName>
      <candidateList>
        <item>.</item>
      </candidateList>
      <explain/>
      <paraID>6419C886</paraID>
      <start>1</start>
      <end>2</end>
      <status>unmodified</status>
      <modifiedWord/>
      <trackRevisions>false</trackRevisions>
    </reviewItem>
    <reviewItem>
      <errorID>6111ead5-3b30-4e17-9acb-6a5105a858e6</errorID>
      <errorWord>、</errorWord>
      <group>L1_Punc</group>
      <groupName>标点问题</groupName>
      <ability>L2_Punc</ability>
      <abilityName>标点符号检查</abilityName>
      <candidateList>
        <item>.</item>
      </candidateList>
      <explain/>
      <paraID>73A6B865</paraID>
      <start>1</start>
      <end>2</end>
      <status>unmodified</status>
      <modifiedWord/>
      <trackRevisions>false</trackRevisions>
    </reviewItem>
    <reviewItem>
      <errorID>f57244b9-eb2e-40f4-812e-b94f2949f2a0</errorID>
      <errorWord>、</errorWord>
      <group>L1_Punc</group>
      <groupName>标点问题</groupName>
      <ability>L2_Punc</ability>
      <abilityName>标点符号检查</abilityName>
      <candidateList>
        <item>.</item>
      </candidateList>
      <explain/>
      <paraID>532C529E</paraID>
      <start>1</start>
      <end>2</end>
      <status>unmodified</status>
      <modifiedWord/>
      <trackRevisions>false</trackRevisions>
    </reviewItem>
    <reviewItem>
      <errorID>bbd166d7-d3c7-4c8f-a07c-51e8d042a70a</errorID>
      <errorWord>、</errorWord>
      <group>L1_Punc</group>
      <groupName>标点问题</groupName>
      <ability>L2_Punc</ability>
      <abilityName>标点符号检查</abilityName>
      <candidateList>
        <item>.</item>
      </candidateList>
      <explain/>
      <paraID>6E85B778</paraID>
      <start>1</start>
      <end>2</end>
      <status>unmodified</status>
      <modifiedWord/>
      <trackRevisions>false</trackRevisions>
    </reviewItem>
    <reviewItem>
      <errorID>0360eada-f4ad-441f-b0e2-f39ab97362f1</errorID>
      <errorWord>、</errorWord>
      <group>L1_Punc</group>
      <groupName>标点问题</groupName>
      <ability>L2_Punc</ability>
      <abilityName>标点符号检查</abilityName>
      <candidateList>
        <item>.</item>
      </candidateList>
      <explain/>
      <paraID>4ED2640C</paraID>
      <start>1</start>
      <end>2</end>
      <status>unmodified</status>
      <modifiedWord/>
      <trackRevisions>false</trackRevisions>
    </reviewItem>
    <reviewItem>
      <errorID>828774c5-8f07-4a77-bde8-f0d84bc4731d</errorID>
      <errorWord>、</errorWord>
      <group>L1_Punc</group>
      <groupName>标点问题</groupName>
      <ability>L2_Punc</ability>
      <abilityName>标点符号检查</abilityName>
      <candidateList>
        <item>.</item>
      </candidateList>
      <explain/>
      <paraID>6E1B2066</paraID>
      <start>1</start>
      <end>2</end>
      <status>unmodified</status>
      <modifiedWord/>
      <trackRevisions>false</trackRevisions>
    </reviewItem>
    <reviewItem>
      <errorID>d47ba8f8-a398-4bf0-b170-1dba98c6dd2a</errorID>
      <errorWord>、</errorWord>
      <group>L1_Punc</group>
      <groupName>标点问题</groupName>
      <ability>L2_Punc</ability>
      <abilityName>标点符号检查</abilityName>
      <candidateList>
        <item>.</item>
      </candidateList>
      <explain/>
      <paraID>691DA9A0</paraID>
      <start>1</start>
      <end>2</end>
      <status>unmodified</status>
      <modifiedWord/>
      <trackRevisions>false</trackRevisions>
    </reviewItem>
    <reviewItem>
      <errorID>7b302db6-3817-4747-bdc8-00bbcf16a340</errorID>
      <errorWord>、</errorWord>
      <group>L1_Punc</group>
      <groupName>标点问题</groupName>
      <ability>L2_Punc</ability>
      <abilityName>标点符号检查</abilityName>
      <candidateList>
        <item>.</item>
      </candidateList>
      <explain/>
      <paraID>4F22A785</paraID>
      <start>1</start>
      <end>2</end>
      <status>unmodified</status>
      <modifiedWord/>
      <trackRevisions>false</trackRevisions>
    </reviewItem>
    <reviewItem>
      <errorID>d8a348d0-814f-43bd-9c7a-549ad54ed465</errorID>
      <errorWord>、</errorWord>
      <group>L1_Punc</group>
      <groupName>标点问题</groupName>
      <ability>L2_Punc</ability>
      <abilityName>标点符号检查</abilityName>
      <candidateList>
        <item>.</item>
      </candidateList>
      <explain/>
      <paraID>62CA27A7</paraID>
      <start>1</start>
      <end>2</end>
      <status>unmodified</status>
      <modifiedWord/>
      <trackRevisions>false</trackRevisions>
    </reviewItem>
    <reviewItem>
      <errorID>ef334f98-1607-45b1-9c71-650298a8bc61</errorID>
      <errorWord>、</errorWord>
      <group>L1_Punc</group>
      <groupName>标点问题</groupName>
      <ability>L2_Punc</ability>
      <abilityName>标点符号检查</abilityName>
      <candidateList>
        <item>.</item>
      </candidateList>
      <explain/>
      <paraID>729FA822</paraID>
      <start>1</start>
      <end>2</end>
      <status>unmodified</status>
      <modifiedWord/>
      <trackRevisions>false</trackRevisions>
    </reviewItem>
    <reviewItem>
      <errorID>2b9e8f30-8f26-4bfb-be2d-9639c68092be</errorID>
      <errorWord>、</errorWord>
      <group>L1_Punc</group>
      <groupName>标点问题</groupName>
      <ability>L2_Punc</ability>
      <abilityName>标点符号检查</abilityName>
      <candidateList>
        <item>.</item>
      </candidateList>
      <explain/>
      <paraID>249DEF1E</paraID>
      <start>1</start>
      <end>2</end>
      <status>unmodified</status>
      <modifiedWord/>
      <trackRevisions>false</trackRevisions>
    </reviewItem>
    <reviewItem>
      <errorID>27e39030-f2ff-41f4-954f-fcecadc969eb</errorID>
      <errorWord>、</errorWord>
      <group>L1_Punc</group>
      <groupName>标点问题</groupName>
      <ability>L2_Punc</ability>
      <abilityName>标点符号检查</abilityName>
      <candidateList>
        <item>.</item>
      </candidateList>
      <explain/>
      <paraID>3D490430</paraID>
      <start>1</start>
      <end>2</end>
      <status>unmodified</status>
      <modifiedWord/>
      <trackRevisions>false</trackRevisions>
    </reviewItem>
    <reviewItem>
      <errorID>8d46068e-bc5e-4b24-b6c9-713c87aa680d</errorID>
      <errorWord>、</errorWord>
      <group>L1_Punc</group>
      <groupName>标点问题</groupName>
      <ability>L2_Punc</ability>
      <abilityName>标点符号检查</abilityName>
      <candidateList>
        <item>.</item>
      </candidateList>
      <explain/>
      <paraID>6213CE53</paraID>
      <start>1</start>
      <end>2</end>
      <status>unmodified</status>
      <modifiedWord/>
      <trackRevisions>false</trackRevisions>
    </reviewItem>
    <reviewItem>
      <errorID>a1ac593a-af19-454a-9dd4-8da3c2356174</errorID>
      <errorWord>人</errorWord>
      <group>L1_Word</group>
      <groupName>字词问题</groupName>
      <ability>L2_Typo</ability>
      <abilityName>字词错误</abilityName>
      <candidateList>
        <item>人员</item>
      </candidateList>
      <explain>〈名〉担任某种职务的人：机关工作～｜值班～｜～配备。</explain>
      <paraID>6213CE53</paraID>
      <start>60</start>
      <end>61</end>
      <status>unmodified</status>
      <modifiedWord/>
      <trackRevisions>false</trackRevisions>
    </reviewItem>
    <reviewItem>
      <errorID>de78d8ab-611d-4457-84db-3dddb7bc58a5</errorID>
      <errorWord>、</errorWord>
      <group>L1_Punc</group>
      <groupName>标点问题</groupName>
      <ability>L2_Punc</ability>
      <abilityName>标点符号检查</abilityName>
      <candidateList>
        <item>.</item>
      </candidateList>
      <explain/>
      <paraID>26AC6887</paraID>
      <start>1</start>
      <end>2</end>
      <status>unmodified</status>
      <modifiedWord/>
      <trackRevisions>false</trackRevisions>
    </reviewItem>
    <reviewItem>
      <errorID>86868db8-7eb5-454a-909e-c37f547459b9</errorID>
      <errorWord>、</errorWord>
      <group>L1_Punc</group>
      <groupName>标点问题</groupName>
      <ability>L2_Punc</ability>
      <abilityName>标点符号检查</abilityName>
      <candidateList>
        <item>.</item>
      </candidateList>
      <explain/>
      <paraID>45E221F5</paraID>
      <start>1</start>
      <end>2</end>
      <status>unmodified</status>
      <modifiedWord/>
      <trackRevisions>false</trackRevisions>
    </reviewItem>
    <reviewItem>
      <errorID>026430a4-82ef-4a88-83f7-1592a5a815b3</errorID>
      <errorWord>、</errorWord>
      <group>L1_Punc</group>
      <groupName>标点问题</groupName>
      <ability>L2_Punc</ability>
      <abilityName>标点符号检查</abilityName>
      <candidateList>
        <item>.</item>
      </candidateList>
      <explain/>
      <paraID>2947A568</paraID>
      <start>1</start>
      <end>2</end>
      <status>unmodified</status>
      <modifiedWord/>
      <trackRevisions>false</trackRevisions>
    </reviewItem>
    <reviewItem>
      <errorID>1ec655c9-433c-4d50-9d81-da07b2b17cc2</errorID>
      <errorWord>、</errorWord>
      <group>L1_Punc</group>
      <groupName>标点问题</groupName>
      <ability>L2_Punc</ability>
      <abilityName>标点符号检查</abilityName>
      <candidateList>
        <item>.</item>
      </candidateList>
      <explain/>
      <paraID>64314BC6</paraID>
      <start>1</start>
      <end>2</end>
      <status>unmodified</status>
      <modifiedWord/>
      <trackRevisions>false</trackRevisions>
    </reviewItem>
    <reviewItem>
      <errorID>6a658e41-35a3-4e26-a460-9d9f7542221f</errorID>
      <errorWord>、</errorWord>
      <group>L1_Punc</group>
      <groupName>标点问题</groupName>
      <ability>L2_Punc</ability>
      <abilityName>标点符号检查</abilityName>
      <candidateList>
        <item>.</item>
      </candidateList>
      <explain/>
      <paraID>5E5B829D</paraID>
      <start>1</start>
      <end>2</end>
      <status>unmodified</status>
      <modifiedWord/>
      <trackRevisions>false</trackRevisions>
    </reviewItem>
    <reviewItem>
      <errorID>ff63f9f3-ca8e-4b1c-8d76-ffb930a7d477</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4300A463</paraID>
      <start>0</start>
      <end>2</end>
      <status>unmodified</status>
      <modifiedWord/>
      <trackRevisions>false</trackRevisions>
    </reviewItem>
    <reviewItem>
      <errorID>0348048e-28f1-498a-8ad0-9386c5a191b2</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FC30C08</paraID>
      <start>0</start>
      <end>2</end>
      <status>unmodified</status>
      <modifiedWord/>
      <trackRevisions>false</trackRevisions>
    </reviewItem>
    <reviewItem>
      <errorID>32fc13fe-dcaf-454b-ad83-a589ce60b407</errorID>
      <errorWord>c、</errorWord>
      <group>L1_Format</group>
      <groupName>格式问题</groupName>
      <ability>L2_Ordinal</ability>
      <abilityName>序号格式</abilityName>
      <candidateList>
        <item>c.</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15F8C7ED</paraID>
      <start>0</start>
      <end>2</end>
      <status>unmodified</status>
      <modifiedWord/>
      <trackRevisions>false</trackRevisions>
    </reviewItem>
    <reviewItem>
      <errorID>7e1fd766-2ce9-46d4-84b8-d98c5dd3efaf</errorID>
      <errorWord>d、</errorWord>
      <group>L1_Format</group>
      <groupName>格式问题</groupName>
      <ability>L2_Ordinal</ability>
      <abilityName>序号格式</abilityName>
      <candidateList>
        <item>d.</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3EA2F90A</paraID>
      <start>0</start>
      <end>2</end>
      <status>unmodified</status>
      <modifiedWord/>
      <trackRevisions>false</trackRevisions>
    </reviewItem>
    <reviewItem>
      <errorID>2458bca0-962e-4d45-8c2b-f5f648007225</errorID>
      <errorWord>e、</errorWord>
      <group>L1_Format</group>
      <groupName>格式问题</groupName>
      <ability>L2_Ordinal</ability>
      <abilityName>序号格式</abilityName>
      <candidateList>
        <item>e.</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1D218B52</paraID>
      <start>0</start>
      <end>2</end>
      <status>unmodified</status>
      <modifiedWord/>
      <trackRevisions>false</trackRevisions>
    </reviewItem>
    <reviewItem>
      <errorID>b590aa8e-58cb-4510-933a-3958a9663e11</errorID>
      <errorWord>f、</errorWord>
      <group>L1_Format</group>
      <groupName>格式问题</groupName>
      <ability>L2_Ordinal</ability>
      <abilityName>序号格式</abilityName>
      <candidateList>
        <item>f.</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4EE0631A</paraID>
      <start>0</start>
      <end>2</end>
      <status>unmodified</status>
      <modifiedWord/>
      <trackRevisions>false</trackRevisions>
    </reviewItem>
    <reviewItem>
      <errorID>6cf3ad4b-d2c8-4207-ad86-e02e97a50919</errorID>
      <errorWord>g、</errorWord>
      <group>L1_Format</group>
      <groupName>格式问题</groupName>
      <ability>L2_Ordinal</ability>
      <abilityName>序号格式</abilityName>
      <candidateList>
        <item>g.</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60C78336</paraID>
      <start>0</start>
      <end>2</end>
      <status>unmodified</status>
      <modifiedWord/>
      <trackRevisions>false</trackRevisions>
    </reviewItem>
    <reviewItem>
      <errorID>20281fa9-f298-4482-b421-20232312f1e5</errorID>
      <errorWord>、</errorWord>
      <group>L1_Punc</group>
      <groupName>标点问题</groupName>
      <ability>L2_Punc</ability>
      <abilityName>标点符号检查</abilityName>
      <candidateList>
        <item>.</item>
      </candidateList>
      <explain/>
      <paraID> 84E987E</paraID>
      <start>1</start>
      <end>2</end>
      <status>unmodified</status>
      <modifiedWord/>
      <trackRevisions>false</trackRevisions>
    </reviewItem>
    <reviewItem>
      <errorID>3e3fda87-c44b-4dce-979e-148c48745072</errorID>
      <errorWord>、</errorWord>
      <group>L1_Punc</group>
      <groupName>标点问题</groupName>
      <ability>L2_Punc</ability>
      <abilityName>标点符号检查</abilityName>
      <candidateList>
        <item>.</item>
      </candidateList>
      <explain/>
      <paraID>4D439A9B</paraID>
      <start>1</start>
      <end>2</end>
      <status>unmodified</status>
      <modifiedWord/>
      <trackRevisions>false</trackRevisions>
    </reviewItem>
    <reviewItem>
      <errorID>b9963e32-dce0-42eb-82dc-c339f9cb5acd</errorID>
      <errorWord>、</errorWord>
      <group>L1_Punc</group>
      <groupName>标点问题</groupName>
      <ability>L2_Punc</ability>
      <abilityName>标点符号检查</abilityName>
      <candidateList>
        <item>.</item>
      </candidateList>
      <explain/>
      <paraID>61B29A1F</paraID>
      <start>1</start>
      <end>2</end>
      <status>unmodified</status>
      <modifiedWord/>
      <trackRevisions>false</trackRevisions>
    </reviewItem>
    <reviewItem>
      <errorID>34267763-4aae-4766-ae26-15b4bb5217fc</errorID>
      <errorWord>、</errorWord>
      <group>L1_Punc</group>
      <groupName>标点问题</groupName>
      <ability>L2_Punc</ability>
      <abilityName>标点符号检查</abilityName>
      <candidateList>
        <item>.</item>
      </candidateList>
      <explain/>
      <paraID>21CA4A5A</paraID>
      <start>1</start>
      <end>2</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a4adaa6-5b4a-4fab-a7a6-3b7a89c6a1a4}">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185</Pages>
  <Words>656</Words>
  <Characters>720</Characters>
  <Lines>344</Lines>
  <Paragraphs>97</Paragraphs>
  <TotalTime>18</TotalTime>
  <ScaleCrop>false</ScaleCrop>
  <LinksUpToDate>false</LinksUpToDate>
  <CharactersWithSpaces>817</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王德鹏</cp:lastModifiedBy>
  <cp:lastPrinted>2026-04-08T06:02:00Z</cp:lastPrinted>
  <dcterms:modified xsi:type="dcterms:W3CDTF">2026-05-12T03:16:24Z</dcterms:modified>
  <dc:title>附件2</dc:title>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2B6290BAA46C4E509BC6EA4E9B29DB9D_13</vt:lpwstr>
  </property>
  <property fmtid="{D5CDD505-2E9C-101B-9397-08002B2CF9AE}" pid="4" name="KSOTemplateDocerSaveRecord">
    <vt:lpwstr>eyJoZGlkIjoiZGE3N2JlODE1ZTg1NzRmZDQ5NzRiZGEzM2E0NGQ0YWUiLCJ1c2VySWQiOiI1OTA4ODU4MzUifQ==</vt:lpwstr>
  </property>
</Properties>
</file>