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drawing>
          <wp:inline distT="0" distB="0" distL="114300" distR="114300">
            <wp:extent cx="5269865" cy="7247255"/>
            <wp:effectExtent l="0" t="0" r="6985" b="10795"/>
            <wp:docPr id="1" name="图片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1"/>
                    <pic:cNvPicPr>
                      <a:picLocks noChangeAspect="1"/>
                    </pic:cNvPicPr>
                  </pic:nvPicPr>
                  <pic:blipFill>
                    <a:blip r:embed="rId4"/>
                    <a:stretch>
                      <a:fillRect/>
                    </a:stretch>
                  </pic:blipFill>
                  <pic:spPr>
                    <a:xfrm>
                      <a:off x="0" y="0"/>
                      <a:ext cx="5269865" cy="7247255"/>
                    </a:xfrm>
                    <a:prstGeom prst="rect">
                      <a:avLst/>
                    </a:prstGeom>
                  </pic:spPr>
                </pic:pic>
              </a:graphicData>
            </a:graphic>
          </wp:inline>
        </w:drawing>
      </w:r>
      <w:r>
        <w:rPr>
          <w:rFonts w:hint="eastAsia"/>
          <w:sz w:val="32"/>
          <w:szCs w:val="32"/>
        </w:rPr>
        <w:drawing>
          <wp:inline distT="0" distB="0" distL="114300" distR="114300">
            <wp:extent cx="5269865" cy="7247255"/>
            <wp:effectExtent l="0" t="0" r="6985" b="10795"/>
            <wp:docPr id="2" name="图片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2"/>
                    <pic:cNvPicPr>
                      <a:picLocks noChangeAspect="1"/>
                    </pic:cNvPicPr>
                  </pic:nvPicPr>
                  <pic:blipFill>
                    <a:blip r:embed="rId5"/>
                    <a:stretch>
                      <a:fillRect/>
                    </a:stretch>
                  </pic:blipFill>
                  <pic:spPr>
                    <a:xfrm>
                      <a:off x="0" y="0"/>
                      <a:ext cx="5269865" cy="7247255"/>
                    </a:xfrm>
                    <a:prstGeom prst="rect">
                      <a:avLst/>
                    </a:prstGeom>
                  </pic:spPr>
                </pic:pic>
              </a:graphicData>
            </a:graphic>
          </wp:inline>
        </w:drawing>
      </w:r>
      <w:r>
        <w:rPr>
          <w:rFonts w:hint="eastAsia"/>
          <w:sz w:val="32"/>
          <w:szCs w:val="32"/>
        </w:rPr>
        <w:drawing>
          <wp:inline distT="0" distB="0" distL="114300" distR="114300">
            <wp:extent cx="5269865" cy="7247255"/>
            <wp:effectExtent l="0" t="0" r="6985" b="10795"/>
            <wp:docPr id="3" name="图片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3"/>
                    <pic:cNvPicPr>
                      <a:picLocks noChangeAspect="1"/>
                    </pic:cNvPicPr>
                  </pic:nvPicPr>
                  <pic:blipFill>
                    <a:blip r:embed="rId6"/>
                    <a:stretch>
                      <a:fillRect/>
                    </a:stretch>
                  </pic:blipFill>
                  <pic:spPr>
                    <a:xfrm>
                      <a:off x="0" y="0"/>
                      <a:ext cx="5269865" cy="7247255"/>
                    </a:xfrm>
                    <a:prstGeom prst="rect">
                      <a:avLst/>
                    </a:prstGeom>
                  </pic:spPr>
                </pic:pic>
              </a:graphicData>
            </a:graphic>
          </wp:inline>
        </w:drawing>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bookmarkStart w:id="0" w:name="_GoBack"/>
      <w:bookmarkEnd w:id="0"/>
      <w:r>
        <w:rPr>
          <w:rFonts w:hint="eastAsia"/>
          <w:sz w:val="32"/>
          <w:szCs w:val="32"/>
        </w:rPr>
        <w:t>附件</w:t>
      </w:r>
    </w:p>
    <w:p>
      <w:pPr>
        <w:rPr>
          <w:rFonts w:hint="eastAsia"/>
          <w:sz w:val="32"/>
          <w:szCs w:val="32"/>
        </w:rPr>
      </w:pPr>
    </w:p>
    <w:p>
      <w:pPr>
        <w:jc w:val="center"/>
        <w:rPr>
          <w:rFonts w:hint="eastAsia"/>
          <w:b/>
          <w:sz w:val="44"/>
          <w:szCs w:val="44"/>
        </w:rPr>
      </w:pPr>
      <w:r>
        <w:rPr>
          <w:rFonts w:hint="eastAsia"/>
          <w:b/>
          <w:sz w:val="44"/>
          <w:szCs w:val="44"/>
        </w:rPr>
        <w:t>桦川县关于对文化市场领域</w:t>
      </w:r>
    </w:p>
    <w:p>
      <w:pPr>
        <w:jc w:val="center"/>
        <w:rPr>
          <w:rFonts w:hint="eastAsia"/>
          <w:b/>
          <w:sz w:val="44"/>
          <w:szCs w:val="44"/>
        </w:rPr>
      </w:pPr>
      <w:r>
        <w:rPr>
          <w:rFonts w:hint="eastAsia"/>
          <w:b/>
          <w:sz w:val="44"/>
          <w:szCs w:val="44"/>
        </w:rPr>
        <w:t>严重违法失信市场主体及有关人员</w:t>
      </w:r>
    </w:p>
    <w:p>
      <w:pPr>
        <w:jc w:val="center"/>
        <w:rPr>
          <w:rFonts w:hint="eastAsia"/>
          <w:b/>
          <w:sz w:val="44"/>
          <w:szCs w:val="44"/>
        </w:rPr>
      </w:pPr>
      <w:r>
        <w:rPr>
          <w:rFonts w:hint="eastAsia"/>
          <w:b/>
          <w:sz w:val="44"/>
          <w:szCs w:val="44"/>
        </w:rPr>
        <w:t>开展联合惩戒的合作备忘录</w:t>
      </w:r>
    </w:p>
    <w:p>
      <w:pPr>
        <w:jc w:val="center"/>
        <w:rPr>
          <w:rFonts w:hint="eastAsia"/>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为贯彻落实我县社会信用体系建设总体部署，加强我市社会信用体系建设，根据国家发展改革委员会、文旅部等16个部门联合印发的《关于对文化市场领域严重违法失信市场主体及有关人员开展联合惩戒的合作备忘录》（发改财金[2018]1933号）文件精神，加快推进文化诚信体系建设，加大文化市场领城严重失信行为惩戒力度，县发展改革委、中国人民银行桦川县支行、县文体广电和旅游局、县委组织部、县委宣传部、县统战部、县文明办、县财政局、县人力资源社会保障局、县自然资源局、县税务局、县市场监督管理局、县总工会等部门就针对文化市场领城严重失信相关责任主体实施联合惩戒措施达成如下一致意见。</w:t>
      </w:r>
    </w:p>
    <w:p>
      <w:pPr>
        <w:ind w:firstLine="640" w:firstLineChars="200"/>
        <w:rPr>
          <w:rFonts w:hint="eastAsia" w:ascii="黑体" w:hAnsi="黑体" w:eastAsia="黑体"/>
          <w:sz w:val="32"/>
          <w:szCs w:val="32"/>
        </w:rPr>
      </w:pPr>
      <w:r>
        <w:rPr>
          <w:rFonts w:hint="eastAsia" w:ascii="黑体" w:hAnsi="黑体" w:eastAsia="黑体"/>
          <w:sz w:val="32"/>
          <w:szCs w:val="32"/>
        </w:rPr>
        <w:t>一、联合惩戒对象</w:t>
      </w:r>
    </w:p>
    <w:p>
      <w:pPr>
        <w:ind w:firstLine="640" w:firstLineChars="200"/>
        <w:rPr>
          <w:rFonts w:hint="eastAsia" w:ascii="仿宋" w:hAnsi="仿宋" w:eastAsia="仿宋"/>
          <w:sz w:val="32"/>
          <w:szCs w:val="32"/>
        </w:rPr>
      </w:pPr>
      <w:r>
        <w:rPr>
          <w:rFonts w:hint="eastAsia" w:ascii="仿宋" w:hAnsi="仿宋" w:eastAsia="仿宋"/>
          <w:sz w:val="32"/>
          <w:szCs w:val="32"/>
        </w:rPr>
        <w:t>联合惩戒对象为因严重违法失信被列入全国文化市场黑名单的市场主体及其法定代表人或者主要负责人。本备忘录所称文化市场主体包括从事营业性演出、娱乐场所、艺术品、互联网上网服务、网络文化等经营活动的企业和个体工商户。</w:t>
      </w:r>
    </w:p>
    <w:p>
      <w:pPr>
        <w:ind w:firstLine="640" w:firstLineChars="200"/>
        <w:rPr>
          <w:rFonts w:hint="eastAsia" w:ascii="仿宋" w:hAnsi="仿宋" w:eastAsia="仿宋"/>
          <w:sz w:val="32"/>
          <w:szCs w:val="32"/>
        </w:rPr>
      </w:pPr>
      <w:r>
        <w:rPr>
          <w:rFonts w:hint="eastAsia" w:ascii="仿宋" w:hAnsi="仿宋" w:eastAsia="仿宋"/>
          <w:sz w:val="32"/>
          <w:szCs w:val="32"/>
        </w:rPr>
        <w:t>文化市场主体因违反相关法律法规受到行政处罚或者未经许可从事文化市场经营活动，有下列情形之一的，将文化市场主体及其法定代表人或者主要负责人列入全国文化市场黑名单管理：</w:t>
      </w:r>
    </w:p>
    <w:p>
      <w:pPr>
        <w:ind w:firstLine="640" w:firstLineChars="200"/>
        <w:rPr>
          <w:rFonts w:hint="eastAsia" w:ascii="仿宋" w:hAnsi="仿宋" w:eastAsia="仿宋"/>
          <w:sz w:val="32"/>
          <w:szCs w:val="32"/>
        </w:rPr>
      </w:pPr>
      <w:r>
        <w:rPr>
          <w:rFonts w:hint="eastAsia" w:ascii="仿宋" w:hAnsi="仿宋" w:eastAsia="仿宋"/>
          <w:sz w:val="32"/>
          <w:szCs w:val="32"/>
        </w:rPr>
        <w:t>1.擅自从事文化市场经营活动，造成重大事故或恶劣社会影响的；</w:t>
      </w:r>
    </w:p>
    <w:p>
      <w:pPr>
        <w:ind w:firstLine="640" w:firstLineChars="200"/>
        <w:rPr>
          <w:rFonts w:hint="eastAsia" w:ascii="仿宋" w:hAnsi="仿宋" w:eastAsia="仿宋"/>
          <w:sz w:val="32"/>
          <w:szCs w:val="32"/>
        </w:rPr>
      </w:pPr>
      <w:r>
        <w:rPr>
          <w:rFonts w:hint="eastAsia" w:ascii="仿宋" w:hAnsi="仿宋" w:eastAsia="仿宋"/>
          <w:sz w:val="32"/>
          <w:szCs w:val="32"/>
        </w:rPr>
        <w:t>2.受到文化和旅游行政部门或者文化市场综合执法机构吊销许可证行政处罚的;</w:t>
      </w:r>
    </w:p>
    <w:p>
      <w:pPr>
        <w:ind w:firstLine="640" w:firstLineChars="200"/>
        <w:rPr>
          <w:rFonts w:hint="eastAsia" w:ascii="仿宋" w:hAnsi="仿宋" w:eastAsia="仿宋"/>
          <w:sz w:val="32"/>
          <w:szCs w:val="32"/>
        </w:rPr>
      </w:pPr>
      <w:r>
        <w:rPr>
          <w:rFonts w:hint="eastAsia" w:ascii="仿宋" w:hAnsi="仿宋" w:eastAsia="仿宋"/>
          <w:sz w:val="32"/>
          <w:szCs w:val="32"/>
        </w:rPr>
        <w:t>3.因欺骗、故意隐匿、伪造变造材料等不正当手段取得许可证、批准文件被文化和旅游行政部门撤销的，或者伪造、编造许可证、批准文件证据确凿的；</w:t>
      </w:r>
    </w:p>
    <w:p>
      <w:pPr>
        <w:ind w:firstLine="640" w:firstLineChars="200"/>
        <w:rPr>
          <w:rFonts w:hint="eastAsia" w:ascii="仿宋" w:hAnsi="仿宋" w:eastAsia="仿宋"/>
          <w:sz w:val="32"/>
          <w:szCs w:val="32"/>
        </w:rPr>
      </w:pPr>
      <w:r>
        <w:rPr>
          <w:rFonts w:hint="eastAsia" w:ascii="仿宋" w:hAnsi="仿宋" w:eastAsia="仿宋"/>
          <w:sz w:val="32"/>
          <w:szCs w:val="32"/>
        </w:rPr>
        <w:t>4.法律法规规章规定的其他应当列入全国文化市场黑名单的情形。</w:t>
      </w:r>
    </w:p>
    <w:p>
      <w:pPr>
        <w:ind w:firstLine="640" w:firstLineChars="200"/>
        <w:rPr>
          <w:rFonts w:hint="eastAsia" w:ascii="黑体" w:hAnsi="黑体" w:eastAsia="黑体"/>
          <w:sz w:val="32"/>
          <w:szCs w:val="32"/>
        </w:rPr>
      </w:pPr>
      <w:r>
        <w:rPr>
          <w:rFonts w:hint="eastAsia" w:ascii="黑体" w:hAnsi="黑体" w:eastAsia="黑体"/>
          <w:sz w:val="32"/>
          <w:szCs w:val="32"/>
        </w:rPr>
        <w:t>二、联合惩戒措施</w:t>
      </w:r>
    </w:p>
    <w:p>
      <w:pPr>
        <w:ind w:firstLine="640" w:firstLineChars="200"/>
        <w:rPr>
          <w:rFonts w:hint="eastAsia" w:ascii="仿宋" w:hAnsi="仿宋" w:eastAsia="仿宋"/>
          <w:sz w:val="32"/>
          <w:szCs w:val="32"/>
        </w:rPr>
      </w:pPr>
      <w:r>
        <w:rPr>
          <w:rFonts w:hint="eastAsia" w:ascii="仿宋" w:hAnsi="仿宋" w:eastAsia="仿宋"/>
          <w:sz w:val="32"/>
          <w:szCs w:val="32"/>
        </w:rPr>
        <w:t>各部门按照有关规定，对联合惩戒对象采取下列一种或多种惩戒措施（相关法律及政策依据见附表）：</w:t>
      </w:r>
    </w:p>
    <w:p>
      <w:pPr>
        <w:ind w:firstLine="643" w:firstLineChars="200"/>
        <w:rPr>
          <w:rFonts w:hint="eastAsia" w:ascii="楷体" w:hAnsi="楷体" w:eastAsia="楷体"/>
          <w:b/>
          <w:sz w:val="32"/>
          <w:szCs w:val="32"/>
        </w:rPr>
      </w:pPr>
      <w:r>
        <w:rPr>
          <w:rFonts w:hint="eastAsia" w:ascii="楷体" w:hAnsi="楷体" w:eastAsia="楷体"/>
          <w:b/>
          <w:sz w:val="32"/>
          <w:szCs w:val="32"/>
        </w:rPr>
        <w:t>（一）桦川县文体广电和旅游局采取的惩戒措施</w:t>
      </w:r>
    </w:p>
    <w:p>
      <w:pPr>
        <w:ind w:firstLine="640" w:firstLineChars="200"/>
        <w:rPr>
          <w:rFonts w:hint="eastAsia" w:ascii="仿宋" w:hAnsi="仿宋" w:eastAsia="仿宋"/>
          <w:sz w:val="32"/>
          <w:szCs w:val="32"/>
        </w:rPr>
      </w:pPr>
      <w:r>
        <w:rPr>
          <w:rFonts w:hint="eastAsia" w:ascii="仿宋" w:hAnsi="仿宋" w:eastAsia="仿宋"/>
          <w:sz w:val="32"/>
          <w:szCs w:val="32"/>
        </w:rPr>
        <w:t>1.在申请行政审批项目方面从严审核。</w:t>
      </w:r>
    </w:p>
    <w:p>
      <w:pPr>
        <w:ind w:firstLine="640" w:firstLineChars="200"/>
        <w:rPr>
          <w:rFonts w:hint="eastAsia" w:ascii="仿宋" w:hAnsi="仿宋" w:eastAsia="仿宋"/>
          <w:sz w:val="32"/>
          <w:szCs w:val="32"/>
        </w:rPr>
      </w:pPr>
      <w:r>
        <w:rPr>
          <w:rFonts w:hint="eastAsia" w:ascii="仿宋" w:hAnsi="仿宋" w:eastAsia="仿宋"/>
          <w:sz w:val="32"/>
          <w:szCs w:val="32"/>
        </w:rPr>
        <w:t>2.依法依规在市场准入等方面实施限制或者禁止措施。</w:t>
      </w:r>
    </w:p>
    <w:p>
      <w:pPr>
        <w:ind w:firstLine="640" w:firstLineChars="200"/>
        <w:rPr>
          <w:rFonts w:hint="eastAsia" w:ascii="仿宋" w:hAnsi="仿宋" w:eastAsia="仿宋"/>
          <w:sz w:val="32"/>
          <w:szCs w:val="32"/>
        </w:rPr>
      </w:pPr>
      <w:r>
        <w:rPr>
          <w:rFonts w:hint="eastAsia" w:ascii="仿宋" w:hAnsi="仿宋" w:eastAsia="仿宋"/>
          <w:sz w:val="32"/>
          <w:szCs w:val="32"/>
        </w:rPr>
        <w:t>3.纳入重点监管对象，增加检查频次，加大监管力度。</w:t>
      </w:r>
    </w:p>
    <w:p>
      <w:pPr>
        <w:ind w:firstLine="640" w:firstLineChars="200"/>
        <w:rPr>
          <w:rFonts w:hint="eastAsia" w:ascii="仿宋" w:hAnsi="仿宋" w:eastAsia="仿宋"/>
          <w:sz w:val="32"/>
          <w:szCs w:val="32"/>
        </w:rPr>
      </w:pPr>
      <w:r>
        <w:rPr>
          <w:rFonts w:hint="eastAsia" w:ascii="仿宋" w:hAnsi="仿宋" w:eastAsia="仿宋"/>
          <w:sz w:val="32"/>
          <w:szCs w:val="32"/>
        </w:rPr>
        <w:t>4.依法依规对再次违法违规行为给予从重处罚。</w:t>
      </w:r>
    </w:p>
    <w:p>
      <w:pPr>
        <w:ind w:firstLine="640" w:firstLineChars="200"/>
        <w:rPr>
          <w:rFonts w:hint="eastAsia" w:ascii="仿宋" w:hAnsi="仿宋" w:eastAsia="仿宋"/>
          <w:sz w:val="32"/>
          <w:szCs w:val="32"/>
        </w:rPr>
      </w:pPr>
      <w:r>
        <w:rPr>
          <w:rFonts w:hint="eastAsia" w:ascii="仿宋" w:hAnsi="仿宋" w:eastAsia="仿宋"/>
          <w:sz w:val="32"/>
          <w:szCs w:val="32"/>
        </w:rPr>
        <w:t>5.禁止参与国家、省、市文化类以及其他奖项的评选。</w:t>
      </w:r>
    </w:p>
    <w:p>
      <w:pPr>
        <w:ind w:firstLine="640" w:firstLineChars="200"/>
        <w:rPr>
          <w:rFonts w:hint="eastAsia" w:ascii="仿宋" w:hAnsi="仿宋" w:eastAsia="仿宋"/>
          <w:sz w:val="32"/>
          <w:szCs w:val="32"/>
        </w:rPr>
      </w:pPr>
      <w:r>
        <w:rPr>
          <w:rFonts w:hint="eastAsia" w:ascii="仿宋" w:hAnsi="仿宋" w:eastAsia="仿宋"/>
          <w:sz w:val="32"/>
          <w:szCs w:val="32"/>
        </w:rPr>
        <w:t>6.限制参与或者享受县文体广电和旅游局支持的政策试点、师范项目以及资金扶持等优惠措施。</w:t>
      </w:r>
    </w:p>
    <w:p>
      <w:pPr>
        <w:ind w:firstLine="643" w:firstLineChars="200"/>
        <w:rPr>
          <w:rFonts w:hint="eastAsia" w:ascii="楷体" w:hAnsi="楷体" w:eastAsia="楷体"/>
          <w:b/>
          <w:sz w:val="32"/>
          <w:szCs w:val="32"/>
        </w:rPr>
      </w:pPr>
      <w:r>
        <w:rPr>
          <w:rFonts w:hint="eastAsia" w:ascii="楷体" w:hAnsi="楷体" w:eastAsia="楷体"/>
          <w:b/>
          <w:sz w:val="32"/>
          <w:szCs w:val="32"/>
        </w:rPr>
        <w:t>（二）跨部门联合惩戒措施</w:t>
      </w:r>
    </w:p>
    <w:p>
      <w:pPr>
        <w:ind w:firstLine="640" w:firstLineChars="200"/>
        <w:rPr>
          <w:rFonts w:hint="eastAsia" w:ascii="仿宋" w:hAnsi="仿宋" w:eastAsia="仿宋"/>
          <w:sz w:val="32"/>
          <w:szCs w:val="32"/>
        </w:rPr>
      </w:pPr>
      <w:r>
        <w:rPr>
          <w:rFonts w:hint="eastAsia" w:ascii="仿宋" w:hAnsi="仿宋" w:eastAsia="仿宋"/>
          <w:sz w:val="32"/>
          <w:szCs w:val="32"/>
        </w:rPr>
        <w:t>1.禁止参与“五个一工程”、道德模范、全国和省五一劳动奖、全国和省工人先锋号等荣誉称号或者奖项的评选。（实施部门：县委宣传部、县文明办、县总工会）</w:t>
      </w:r>
    </w:p>
    <w:p>
      <w:pPr>
        <w:ind w:firstLine="640" w:firstLineChars="200"/>
        <w:rPr>
          <w:rFonts w:hint="eastAsia" w:ascii="仿宋" w:hAnsi="仿宋" w:eastAsia="仿宋"/>
          <w:sz w:val="32"/>
          <w:szCs w:val="32"/>
        </w:rPr>
      </w:pPr>
      <w:r>
        <w:rPr>
          <w:rFonts w:hint="eastAsia" w:ascii="仿宋" w:hAnsi="仿宋" w:eastAsia="仿宋"/>
          <w:sz w:val="32"/>
          <w:szCs w:val="32"/>
        </w:rPr>
        <w:t>2.限制担任娱乐场所、互联网上网服务营业场所、经营性互联网文化单位、文艺表演团体、演出经纪机构、演出场所经营单位的法定代表人或者主要负责人。（实施部门：县市场监督管理局、县文体广电和旅游局）</w:t>
      </w:r>
    </w:p>
    <w:p>
      <w:pPr>
        <w:ind w:firstLine="640" w:firstLineChars="200"/>
        <w:rPr>
          <w:rFonts w:hint="eastAsia" w:ascii="仿宋" w:hAnsi="仿宋" w:eastAsia="仿宋"/>
          <w:sz w:val="32"/>
          <w:szCs w:val="32"/>
        </w:rPr>
      </w:pPr>
      <w:r>
        <w:rPr>
          <w:rFonts w:hint="eastAsia" w:ascii="仿宋" w:hAnsi="仿宋" w:eastAsia="仿宋"/>
          <w:sz w:val="32"/>
          <w:szCs w:val="32"/>
        </w:rPr>
        <w:t>3.将失信信息作为投资入股商业银行以及银行授信决策和信贷管理的重要参考。（实施部门：中国人民银行桦川县支行）</w:t>
      </w:r>
    </w:p>
    <w:p>
      <w:pPr>
        <w:ind w:firstLine="640" w:firstLineChars="200"/>
        <w:rPr>
          <w:rFonts w:hint="eastAsia" w:ascii="仿宋" w:hAnsi="仿宋" w:eastAsia="仿宋"/>
          <w:sz w:val="32"/>
          <w:szCs w:val="32"/>
        </w:rPr>
      </w:pPr>
      <w:r>
        <w:rPr>
          <w:rFonts w:hint="eastAsia" w:ascii="仿宋" w:hAnsi="仿宋" w:eastAsia="仿宋"/>
          <w:sz w:val="32"/>
          <w:szCs w:val="32"/>
        </w:rPr>
        <w:t>4.依法对申请发行企业债券不予受理；依法将失信信息作为注册发行非金融企业债券融资工具的参考；依法将失信责任主体的违法失信纪录作为公司债券核准或者备案的参考。（实施部门：中国人民银行桦川县支行）</w:t>
      </w:r>
    </w:p>
    <w:p>
      <w:pPr>
        <w:ind w:firstLine="640" w:firstLineChars="200"/>
        <w:rPr>
          <w:rFonts w:hint="eastAsia" w:ascii="仿宋" w:hAnsi="仿宋" w:eastAsia="仿宋"/>
          <w:sz w:val="32"/>
          <w:szCs w:val="32"/>
        </w:rPr>
      </w:pPr>
      <w:r>
        <w:rPr>
          <w:rFonts w:hint="eastAsia" w:ascii="仿宋" w:hAnsi="仿宋" w:eastAsia="仿宋"/>
          <w:sz w:val="32"/>
          <w:szCs w:val="32"/>
        </w:rPr>
        <w:t>5.将失信信息作为纳税信用管理的审慎性参考。（实施部门：县税务局）</w:t>
      </w:r>
    </w:p>
    <w:p>
      <w:pPr>
        <w:ind w:firstLine="640" w:firstLineChars="200"/>
        <w:rPr>
          <w:rFonts w:hint="eastAsia" w:ascii="仿宋" w:hAnsi="仿宋" w:eastAsia="仿宋"/>
          <w:sz w:val="32"/>
          <w:szCs w:val="32"/>
        </w:rPr>
      </w:pPr>
      <w:r>
        <w:rPr>
          <w:rFonts w:hint="eastAsia" w:ascii="仿宋" w:hAnsi="仿宋" w:eastAsia="仿宋"/>
          <w:sz w:val="32"/>
          <w:szCs w:val="32"/>
        </w:rPr>
        <w:t>6.依法在一定时期内禁止作为供应商参加政府采购活动。（实施部门：县财政局）</w:t>
      </w:r>
    </w:p>
    <w:p>
      <w:pPr>
        <w:ind w:firstLine="640" w:firstLineChars="200"/>
        <w:rPr>
          <w:rFonts w:hint="eastAsia" w:ascii="仿宋" w:hAnsi="仿宋" w:eastAsia="仿宋"/>
          <w:sz w:val="32"/>
          <w:szCs w:val="32"/>
        </w:rPr>
      </w:pPr>
      <w:r>
        <w:rPr>
          <w:rFonts w:hint="eastAsia" w:ascii="仿宋" w:hAnsi="仿宋" w:eastAsia="仿宋"/>
          <w:sz w:val="32"/>
          <w:szCs w:val="32"/>
        </w:rPr>
        <w:t>7.对取得政府供应土地进行必要限制。（实施部门：县自然资源局）</w:t>
      </w:r>
    </w:p>
    <w:p>
      <w:pPr>
        <w:ind w:firstLine="640" w:firstLineChars="200"/>
        <w:rPr>
          <w:rFonts w:hint="eastAsia" w:ascii="仿宋" w:hAnsi="仿宋" w:eastAsia="仿宋"/>
          <w:sz w:val="32"/>
          <w:szCs w:val="32"/>
        </w:rPr>
      </w:pPr>
      <w:r>
        <w:rPr>
          <w:rFonts w:hint="eastAsia" w:ascii="仿宋" w:hAnsi="仿宋" w:eastAsia="仿宋"/>
          <w:sz w:val="32"/>
          <w:szCs w:val="32"/>
        </w:rPr>
        <w:t>8.将失信信息作为招标投标的重要参考。（实施部门：县发展和改革局）</w:t>
      </w:r>
    </w:p>
    <w:p>
      <w:pPr>
        <w:ind w:firstLine="640" w:firstLineChars="200"/>
        <w:rPr>
          <w:rFonts w:hint="eastAsia" w:ascii="仿宋" w:hAnsi="仿宋" w:eastAsia="仿宋"/>
          <w:sz w:val="32"/>
          <w:szCs w:val="32"/>
        </w:rPr>
      </w:pPr>
      <w:r>
        <w:rPr>
          <w:rFonts w:hint="eastAsia" w:ascii="仿宋" w:hAnsi="仿宋" w:eastAsia="仿宋"/>
          <w:sz w:val="32"/>
          <w:szCs w:val="32"/>
        </w:rPr>
        <w:t>9.将失信信息作为申请政府性资金支持的重要参考。（实施部门：县发展和改革局、县财政局、县文体广电和旅游局）</w:t>
      </w:r>
    </w:p>
    <w:p>
      <w:pPr>
        <w:ind w:firstLine="640" w:firstLineChars="200"/>
        <w:rPr>
          <w:rFonts w:hint="eastAsia" w:ascii="仿宋" w:hAnsi="仿宋" w:eastAsia="仿宋"/>
          <w:sz w:val="32"/>
          <w:szCs w:val="32"/>
        </w:rPr>
      </w:pPr>
      <w:r>
        <w:rPr>
          <w:rFonts w:hint="eastAsia" w:ascii="仿宋" w:hAnsi="仿宋" w:eastAsia="仿宋"/>
          <w:sz w:val="32"/>
          <w:szCs w:val="32"/>
        </w:rPr>
        <w:t>10.限制招录（聘）失信人为公务员或事业单位工作人员。（实施部门：县委组织部、县人力资源和社会保障局）</w:t>
      </w:r>
    </w:p>
    <w:p>
      <w:pPr>
        <w:ind w:firstLine="640" w:firstLineChars="200"/>
        <w:rPr>
          <w:rFonts w:hint="eastAsia" w:ascii="仿宋" w:hAnsi="仿宋" w:eastAsia="仿宋"/>
          <w:sz w:val="32"/>
          <w:szCs w:val="32"/>
        </w:rPr>
      </w:pPr>
      <w:r>
        <w:rPr>
          <w:rFonts w:hint="eastAsia" w:ascii="仿宋" w:hAnsi="仿宋" w:eastAsia="仿宋"/>
          <w:sz w:val="32"/>
          <w:szCs w:val="32"/>
        </w:rPr>
        <w:t>11.限制推荐为人大代表候选人、政协委员人选。（实施部门：县统战部、县委组织部）</w:t>
      </w:r>
    </w:p>
    <w:p>
      <w:pPr>
        <w:ind w:firstLine="640" w:firstLineChars="200"/>
        <w:rPr>
          <w:rFonts w:hint="eastAsia" w:ascii="仿宋" w:hAnsi="仿宋" w:eastAsia="仿宋"/>
          <w:sz w:val="32"/>
          <w:szCs w:val="32"/>
        </w:rPr>
      </w:pPr>
      <w:r>
        <w:rPr>
          <w:rFonts w:hint="eastAsia" w:ascii="仿宋" w:hAnsi="仿宋" w:eastAsia="仿宋"/>
          <w:sz w:val="32"/>
          <w:szCs w:val="32"/>
        </w:rPr>
        <w:t>12.相关市场监督管理部门提高日常监督检查频次，加大随机抽查力度。（实施部门：各市场监管、行业主管部门）</w:t>
      </w:r>
    </w:p>
    <w:p>
      <w:pPr>
        <w:ind w:firstLine="640" w:firstLineChars="200"/>
        <w:rPr>
          <w:rFonts w:hint="eastAsia" w:ascii="仿宋" w:hAnsi="仿宋" w:eastAsia="仿宋"/>
          <w:sz w:val="32"/>
          <w:szCs w:val="32"/>
        </w:rPr>
      </w:pPr>
      <w:r>
        <w:rPr>
          <w:rFonts w:hint="eastAsia" w:ascii="仿宋" w:hAnsi="仿宋" w:eastAsia="仿宋"/>
          <w:sz w:val="32"/>
          <w:szCs w:val="32"/>
        </w:rPr>
        <w:t>13.通过中国文化市场网、“信用中国”网站和国家企业信用信息公示系统依法向社会公布。（实施部门：县文体广电和旅游局、县市场监督管理局）</w:t>
      </w:r>
    </w:p>
    <w:p>
      <w:pPr>
        <w:ind w:firstLine="640" w:firstLineChars="200"/>
        <w:rPr>
          <w:rFonts w:hint="eastAsia" w:ascii="仿宋" w:hAnsi="仿宋" w:eastAsia="仿宋"/>
          <w:sz w:val="32"/>
          <w:szCs w:val="32"/>
        </w:rPr>
      </w:pPr>
      <w:r>
        <w:rPr>
          <w:rFonts w:hint="eastAsia" w:ascii="仿宋" w:hAnsi="仿宋" w:eastAsia="仿宋"/>
          <w:sz w:val="32"/>
          <w:szCs w:val="32"/>
        </w:rPr>
        <w:t>14.将失信信息纳入信用信息基础数据库，记入企业及个人信用记录。（实施部门：中国人民银行桦川县支行）</w:t>
      </w:r>
    </w:p>
    <w:p>
      <w:pPr>
        <w:ind w:firstLine="640" w:firstLineChars="200"/>
        <w:rPr>
          <w:rFonts w:hint="eastAsia" w:ascii="黑体" w:hAnsi="黑体" w:eastAsia="黑体"/>
          <w:sz w:val="32"/>
          <w:szCs w:val="32"/>
        </w:rPr>
      </w:pPr>
      <w:r>
        <w:rPr>
          <w:rFonts w:hint="eastAsia" w:ascii="黑体" w:hAnsi="黑体" w:eastAsia="黑体"/>
          <w:sz w:val="32"/>
          <w:szCs w:val="32"/>
        </w:rPr>
        <w:t>三、联合惩戒的实施方式</w:t>
      </w:r>
    </w:p>
    <w:p>
      <w:pPr>
        <w:ind w:firstLine="640" w:firstLineChars="200"/>
        <w:rPr>
          <w:rFonts w:hint="eastAsia" w:ascii="仿宋" w:hAnsi="仿宋" w:eastAsia="仿宋"/>
          <w:sz w:val="32"/>
          <w:szCs w:val="32"/>
        </w:rPr>
      </w:pPr>
      <w:r>
        <w:rPr>
          <w:rFonts w:hint="eastAsia" w:ascii="仿宋" w:hAnsi="仿宋" w:eastAsia="仿宋"/>
          <w:sz w:val="32"/>
          <w:szCs w:val="32"/>
        </w:rPr>
        <w:t>文体广电和旅游局负责建立县文化市场黑名单管理制度，向社会统一发布文化市场黑名单，并通过全国信用信息共享平台向参与失信联合惩戒的各有关部门定期提供，同时依法依规在“信用中国”网站、国家企业信用信息公示系统等网站公布。各有关部门获取文化市场黑名单后，根据本备忘录约定的内容实施惩戒措施，并按照实际情况将联合惩戒措施的实施情况通过全国信用信息共享平台联合奖惩子系统反馈至县发展和改革局、县文体广电和旅游局。</w:t>
      </w:r>
    </w:p>
    <w:p>
      <w:pPr>
        <w:ind w:firstLine="640" w:firstLineChars="200"/>
        <w:rPr>
          <w:rFonts w:hint="eastAsia" w:ascii="黑体" w:hAnsi="黑体" w:eastAsia="黑体"/>
          <w:sz w:val="32"/>
          <w:szCs w:val="32"/>
        </w:rPr>
      </w:pPr>
      <w:r>
        <w:rPr>
          <w:rFonts w:hint="eastAsia" w:ascii="黑体" w:hAnsi="黑体" w:eastAsia="黑体"/>
          <w:sz w:val="32"/>
          <w:szCs w:val="32"/>
        </w:rPr>
        <w:t>四、联合惩戒动态管理</w:t>
      </w:r>
    </w:p>
    <w:p>
      <w:pPr>
        <w:ind w:firstLine="640" w:firstLineChars="200"/>
        <w:rPr>
          <w:rFonts w:hint="eastAsia" w:ascii="仿宋" w:hAnsi="仿宋" w:eastAsia="仿宋"/>
          <w:sz w:val="32"/>
          <w:szCs w:val="32"/>
        </w:rPr>
      </w:pPr>
      <w:r>
        <w:rPr>
          <w:rFonts w:hint="eastAsia" w:ascii="仿宋" w:hAnsi="仿宋" w:eastAsia="仿宋"/>
          <w:sz w:val="32"/>
          <w:szCs w:val="32"/>
        </w:rPr>
        <w:t>县文体广电和放游局对文化市场黑名单实施动态管理，县文化市场主体及其法定代表人或者主要负责人列入期满后，依程序从全国文化市场黑名单中予以移除，黑名单纪录在电子档案中长期保存。文体广电和旅游局在全国信用信息共享平台中及时更新全国文化市场黑名单信息，各有关部门依据各自法规职责，依照法律法规和有关规定实施或解除惩戒措施。</w:t>
      </w:r>
    </w:p>
    <w:p>
      <w:pPr>
        <w:ind w:firstLine="640" w:firstLineChars="200"/>
        <w:rPr>
          <w:rFonts w:hint="eastAsia" w:ascii="黑体" w:hAnsi="黑体" w:eastAsia="黑体"/>
          <w:sz w:val="32"/>
          <w:szCs w:val="32"/>
        </w:rPr>
      </w:pPr>
      <w:r>
        <w:rPr>
          <w:rFonts w:hint="eastAsia" w:ascii="黑体" w:hAnsi="黑体" w:eastAsia="黑体"/>
          <w:sz w:val="32"/>
          <w:szCs w:val="32"/>
        </w:rPr>
        <w:t>五、其他事宜</w:t>
      </w:r>
    </w:p>
    <w:p>
      <w:pPr>
        <w:ind w:firstLine="640" w:firstLineChars="200"/>
        <w:rPr>
          <w:rFonts w:ascii="仿宋" w:hAnsi="仿宋" w:eastAsia="仿宋"/>
          <w:sz w:val="32"/>
          <w:szCs w:val="32"/>
        </w:rPr>
      </w:pPr>
      <w:r>
        <w:rPr>
          <w:rFonts w:hint="eastAsia" w:ascii="仿宋" w:hAnsi="仿宋" w:eastAsia="仿宋"/>
          <w:sz w:val="32"/>
          <w:szCs w:val="32"/>
        </w:rPr>
        <w:t>各部门应当密切协作，积极落实本备忘录，实施过程中涉及部门之间协调配合的问题，由各部门协商解决。本备忘录签署后，各项惩戒措施依据的法律法规、规章及规范性文件有修改或者调整的，以修改后的法律法规、规章及规范性文件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61E8"/>
    <w:rsid w:val="001B6549"/>
    <w:rsid w:val="002E1552"/>
    <w:rsid w:val="00395932"/>
    <w:rsid w:val="003D5D13"/>
    <w:rsid w:val="003D5F62"/>
    <w:rsid w:val="003E6EBF"/>
    <w:rsid w:val="004D324D"/>
    <w:rsid w:val="007B61E8"/>
    <w:rsid w:val="008E406C"/>
    <w:rsid w:val="009326C1"/>
    <w:rsid w:val="0097349F"/>
    <w:rsid w:val="00CA3AB9"/>
    <w:rsid w:val="00E24971"/>
    <w:rsid w:val="00E76ADD"/>
    <w:rsid w:val="00FE40D9"/>
    <w:rsid w:val="7E9E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332</Words>
  <Characters>1894</Characters>
  <Lines>15</Lines>
  <Paragraphs>4</Paragraphs>
  <TotalTime>59</TotalTime>
  <ScaleCrop>false</ScaleCrop>
  <LinksUpToDate>false</LinksUpToDate>
  <CharactersWithSpaces>2222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2020-11-23T02:35:00Z</dcterms:created>
  <dc:creator>Administrator</dc:creator>
  <cp:lastModifiedBy>Can I walk into your heart?</cp:lastModifiedBy>
  <dcterms:modified xsi:type="dcterms:W3CDTF">2020-12-01T06:35:05Z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